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2.1 pr."/>
        <w:tag w:val="part_14b94a4b73b4469381409ea4af2e34e6"/>
        <w:id w:val="-455408005"/>
        <w:lock w:val="sdtLocked"/>
      </w:sdtPr>
      <w:sdtEndPr/>
      <w:sdtContent>
        <w:p w14:paraId="008049CD" w14:textId="77777777" w:rsidR="00EA1ED2" w:rsidRDefault="00EA1ED2">
          <w:pPr>
            <w:tabs>
              <w:tab w:val="center" w:pos="4986"/>
              <w:tab w:val="right" w:pos="9972"/>
            </w:tabs>
          </w:pPr>
        </w:p>
        <w:p w14:paraId="34D79279" w14:textId="77777777" w:rsidR="00EA1ED2" w:rsidRDefault="00EA1ED2">
          <w:pPr>
            <w:tabs>
              <w:tab w:val="center" w:pos="4819"/>
              <w:tab w:val="right" w:pos="9638"/>
            </w:tabs>
          </w:pPr>
        </w:p>
        <w:p w14:paraId="56E468F2" w14:textId="77777777" w:rsidR="00EA1ED2" w:rsidRDefault="00EA1ED2">
          <w:pPr>
            <w:tabs>
              <w:tab w:val="center" w:pos="4819"/>
              <w:tab w:val="right" w:pos="9638"/>
            </w:tabs>
          </w:pPr>
        </w:p>
        <w:p w14:paraId="139ADE1D" w14:textId="77777777" w:rsidR="00EA1ED2" w:rsidRDefault="00EA1ED2">
          <w:pPr>
            <w:spacing w:line="276" w:lineRule="auto"/>
            <w:jc w:val="center"/>
            <w:rPr>
              <w:rFonts w:ascii="Calibri" w:eastAsia="Calibri" w:hAnsi="Calibri"/>
              <w:sz w:val="22"/>
              <w:szCs w:val="22"/>
            </w:rPr>
          </w:pPr>
        </w:p>
        <w:p w14:paraId="3747BBFA" w14:textId="77777777" w:rsidR="00EA1ED2" w:rsidRDefault="00EA1ED2">
          <w:pPr>
            <w:rPr>
              <w:sz w:val="18"/>
              <w:szCs w:val="18"/>
            </w:rPr>
          </w:pPr>
        </w:p>
        <w:p w14:paraId="56033D8F" w14:textId="335E0A47" w:rsidR="00EA1ED2" w:rsidRDefault="00BE6F25">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12  </w:t>
          </w:r>
          <w:sdt>
            <w:sdtPr>
              <w:alias w:val="Numeris"/>
              <w:tag w:val="nr_14b94a4b73b4469381409ea4af2e34e6"/>
              <w:id w:val="1501926306"/>
              <w:lock w:val="sdtLocked"/>
            </w:sdtPr>
            <w:sdtEndPr/>
            <w:sdtContent>
              <w:r>
                <w:rPr>
                  <w:szCs w:val="24"/>
                </w:rPr>
                <w:t>12.1</w:t>
              </w:r>
            </w:sdtContent>
          </w:sdt>
          <w:r>
            <w:rPr>
              <w:szCs w:val="24"/>
            </w:rPr>
            <w:t xml:space="preserve"> priedas</w:t>
          </w:r>
        </w:p>
        <w:p w14:paraId="555D8BB0" w14:textId="77777777" w:rsidR="00EA1ED2" w:rsidRDefault="00EA1ED2">
          <w:pPr>
            <w:jc w:val="center"/>
            <w:rPr>
              <w:szCs w:val="24"/>
            </w:rPr>
          </w:pPr>
        </w:p>
        <w:p w14:paraId="00C4B8A1" w14:textId="77777777" w:rsidR="00EA1ED2" w:rsidRDefault="00BE6F25">
          <w:pPr>
            <w:jc w:val="center"/>
            <w:rPr>
              <w:rFonts w:eastAsia="Calibri"/>
              <w:b/>
              <w:bCs/>
              <w:szCs w:val="24"/>
            </w:rPr>
          </w:pPr>
          <w:sdt>
            <w:sdtPr>
              <w:alias w:val="Pavadinimas"/>
              <w:tag w:val="title_14b94a4b73b4469381409ea4af2e34e6"/>
              <w:id w:val="-9761892"/>
              <w:lock w:val="sdtLocked"/>
            </w:sdtPr>
            <w:sdtEndPr/>
            <w:sdtContent>
              <w:r>
                <w:rPr>
                  <w:rFonts w:eastAsia="Calibri"/>
                  <w:b/>
                  <w:bCs/>
                  <w:szCs w:val="24"/>
                </w:rPr>
                <w:t>PROJEKTO (ĮSKA</w:t>
              </w:r>
              <w:r>
                <w:rPr>
                  <w:rFonts w:eastAsia="Calibri"/>
                  <w:b/>
                  <w:bCs/>
                  <w:szCs w:val="24"/>
                </w:rPr>
                <w:t>ITANT JUNGTINĮ PROJEKTĄ) ATITIKTIES REIKŠMINGOS ŽALOS NEDARYMO HORIZONTALIAJAM PRINCIPUI VERTINIMO REIKALAVIMŲ APRAŠAS</w:t>
              </w:r>
            </w:sdtContent>
          </w:sdt>
        </w:p>
        <w:p w14:paraId="15EBBC3A" w14:textId="77777777" w:rsidR="00EA1ED2" w:rsidRDefault="00EA1ED2">
          <w:pPr>
            <w:jc w:val="center"/>
            <w:rPr>
              <w:rFonts w:eastAsia="Calibri"/>
              <w:b/>
              <w:bCs/>
              <w:szCs w:val="24"/>
            </w:rPr>
          </w:pPr>
        </w:p>
        <w:p w14:paraId="0FA0B858" w14:textId="77777777" w:rsidR="00EA1ED2" w:rsidRDefault="00BE6F25">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23CCBA96" w14:textId="77777777" w:rsidR="00EA1ED2" w:rsidRDefault="00BE6F25">
          <w:pPr>
            <w:spacing w:line="276" w:lineRule="auto"/>
            <w:jc w:val="both"/>
            <w:rPr>
              <w:rFonts w:eastAsia="Calibri"/>
              <w:bCs/>
              <w:szCs w:val="24"/>
            </w:rPr>
          </w:pPr>
          <w:r>
            <w:t xml:space="preserve">X </w:t>
          </w:r>
          <w:r>
            <w:rPr>
              <w:rFonts w:eastAsia="Calibri"/>
              <w:bCs/>
              <w:szCs w:val="24"/>
            </w:rPr>
            <w:t xml:space="preserve">Ekonomikos gaivinimo ir atsparumo didinimo priemonė </w:t>
          </w:r>
          <w:r>
            <w:rPr>
              <w:rFonts w:eastAsia="Calibri"/>
              <w:bCs/>
              <w:szCs w:val="24"/>
            </w:rPr>
            <w:t>(toliau – EGADP)</w:t>
          </w:r>
        </w:p>
        <w:p w14:paraId="001EC794" w14:textId="77777777" w:rsidR="00EA1ED2" w:rsidRDefault="00BE6F25">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37DB21A4" w14:textId="77777777" w:rsidR="00EA1ED2" w:rsidRDefault="00EA1ED2">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EA1ED2" w14:paraId="6D1493C1" w14:textId="77777777">
            <w:tc>
              <w:tcPr>
                <w:tcW w:w="3261" w:type="dxa"/>
              </w:tcPr>
              <w:p w14:paraId="6CA65A7E" w14:textId="77777777" w:rsidR="00EA1ED2" w:rsidRDefault="00BE6F25">
                <w:pPr>
                  <w:jc w:val="center"/>
                  <w:rPr>
                    <w:rFonts w:eastAsia="Calibri"/>
                    <w:b/>
                    <w:szCs w:val="24"/>
                  </w:rPr>
                </w:pPr>
                <w:r>
                  <w:rPr>
                    <w:rFonts w:eastAsia="Calibri"/>
                    <w:b/>
                    <w:szCs w:val="24"/>
                  </w:rPr>
                  <w:t>Aplinkos tikslai</w:t>
                </w:r>
              </w:p>
              <w:p w14:paraId="44EA9660" w14:textId="77777777" w:rsidR="00EA1ED2" w:rsidRDefault="00BE6F25">
                <w:pPr>
                  <w:jc w:val="both"/>
                  <w:rPr>
                    <w:rFonts w:eastAsia="Calibri"/>
                    <w:b/>
                    <w:szCs w:val="24"/>
                  </w:rPr>
                </w:pPr>
                <w:r>
                  <w:rPr>
                    <w:rFonts w:eastAsia="Calibri"/>
                    <w:szCs w:val="24"/>
                  </w:rPr>
                  <w:t>(</w:t>
                </w:r>
                <w:r>
                  <w:rPr>
                    <w:rFonts w:eastAsia="Calibri"/>
                    <w:i/>
                    <w:szCs w:val="24"/>
                  </w:rPr>
                  <w:t xml:space="preserve">pagal 2020 m. birželio 18 d. Europos Parlamento ir Tarybos reglamentą (ES) Nr. 2020/852 dėl sistemos tvariam investavimui palengvinti sukūrimo, kuriuo iš </w:t>
                </w:r>
                <w:r>
                  <w:rPr>
                    <w:rFonts w:eastAsia="Calibri"/>
                    <w:i/>
                    <w:szCs w:val="24"/>
                  </w:rPr>
                  <w:t>dalies keičiamas Reglamentas (ES) Nr. 2019/2088)</w:t>
                </w:r>
              </w:p>
            </w:tc>
            <w:tc>
              <w:tcPr>
                <w:tcW w:w="5670" w:type="dxa"/>
              </w:tcPr>
              <w:p w14:paraId="7697AB6D" w14:textId="77777777" w:rsidR="00EA1ED2" w:rsidRDefault="00BE6F25">
                <w:pPr>
                  <w:jc w:val="center"/>
                  <w:rPr>
                    <w:rFonts w:eastAsia="Calibri"/>
                    <w:b/>
                    <w:szCs w:val="24"/>
                  </w:rPr>
                </w:pPr>
                <w:r>
                  <w:rPr>
                    <w:rFonts w:eastAsia="Calibri"/>
                    <w:b/>
                    <w:szCs w:val="24"/>
                  </w:rPr>
                  <w:t>Pagrindimas</w:t>
                </w:r>
              </w:p>
              <w:p w14:paraId="33986A89" w14:textId="77777777" w:rsidR="00EA1ED2" w:rsidRDefault="00BE6F25">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w:t>
                </w:r>
                <w:r>
                  <w:rPr>
                    <w:rFonts w:eastAsia="Calibri"/>
                    <w:bCs/>
                    <w:i/>
                    <w:szCs w:val="24"/>
                  </w:rPr>
                  <w:t>ansuotinai veiklai)</w:t>
                </w:r>
              </w:p>
            </w:tc>
            <w:tc>
              <w:tcPr>
                <w:tcW w:w="5334" w:type="dxa"/>
              </w:tcPr>
              <w:p w14:paraId="793BE002" w14:textId="77777777" w:rsidR="00EA1ED2" w:rsidRDefault="00BE6F25">
                <w:pPr>
                  <w:jc w:val="center"/>
                  <w:rPr>
                    <w:rFonts w:eastAsia="Calibri"/>
                    <w:i/>
                    <w:szCs w:val="24"/>
                  </w:rPr>
                </w:pPr>
                <w:r>
                  <w:rPr>
                    <w:rFonts w:eastAsia="Calibri"/>
                    <w:b/>
                    <w:szCs w:val="24"/>
                  </w:rPr>
                  <w:t>Pagrindimo dokumentai</w:t>
                </w:r>
              </w:p>
              <w:p w14:paraId="090DAF8E" w14:textId="77777777" w:rsidR="00EA1ED2" w:rsidRDefault="00BE6F25">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A1ED2" w14:paraId="158BB71D" w14:textId="77777777">
            <w:tc>
              <w:tcPr>
                <w:tcW w:w="3261" w:type="dxa"/>
              </w:tcPr>
              <w:p w14:paraId="497543A8" w14:textId="77777777" w:rsidR="00EA1ED2" w:rsidRDefault="00BE6F25">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32B15747" w14:textId="77777777" w:rsidR="00EA1ED2" w:rsidRDefault="00BE6F25">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 šiltnamio efektą sukeliančių dujų išsiskyrimo. P</w:t>
                </w:r>
                <w:r>
                  <w:rPr>
                    <w:rFonts w:eastAsia="Calibri"/>
                    <w:bCs/>
                    <w:iCs/>
                    <w:szCs w:val="24"/>
                  </w:rPr>
                  <w:t xml:space="preserve">lanuojamos </w:t>
                </w:r>
                <w:r>
                  <w:rPr>
                    <w:rFonts w:eastAsia="Calibri"/>
                    <w:bCs/>
                    <w:iCs/>
                    <w:szCs w:val="24"/>
                  </w:rPr>
                  <w:lastRenderedPageBreak/>
                  <w:t>priemonės veiklos (pagal savo pobūdį) neturi jokio tiesioginio ar netiesioginio neigiamo poveikio šiam aplinkos tikslui.</w:t>
                </w:r>
              </w:p>
            </w:tc>
            <w:tc>
              <w:tcPr>
                <w:tcW w:w="5334" w:type="dxa"/>
              </w:tcPr>
              <w:p w14:paraId="11917D97" w14:textId="4B9770B1" w:rsidR="00EA1ED2" w:rsidRDefault="00BE6F25">
                <w:pPr>
                  <w:tabs>
                    <w:tab w:val="left" w:pos="589"/>
                  </w:tabs>
                  <w:jc w:val="both"/>
                  <w:rPr>
                    <w:rFonts w:eastAsia="Calibri"/>
                    <w:iCs/>
                    <w:szCs w:val="24"/>
                  </w:rPr>
                </w:pPr>
                <w:r>
                  <w:rPr>
                    <w:bCs/>
                    <w:szCs w:val="24"/>
                  </w:rPr>
                  <w:lastRenderedPageBreak/>
                  <w:t xml:space="preserve">Netaikoma, nes priemonės veiklos apima </w:t>
                </w:r>
                <w:r>
                  <w:t>Elektroninės sveikatos paslaugų ir bendradarbiavimo infrastruktūros informacinę siste</w:t>
                </w:r>
                <w:r>
                  <w:t xml:space="preserv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w:t>
                </w:r>
                <w:r>
                  <w:rPr>
                    <w:szCs w:val="24"/>
                    <w:lang w:eastAsia="lt-LT"/>
                  </w:rPr>
                  <w:lastRenderedPageBreak/>
                  <w:t>medicininių paslaugų tiekėjų komponento sukūrimą; terminologijų ir klasifikatorių posistemės sukūrimą; prieigos teisių prie ESI kontrolės i</w:t>
                </w:r>
                <w:r>
                  <w:rPr>
                    <w:szCs w:val="24"/>
                    <w:lang w:eastAsia="lt-LT"/>
                  </w:rPr>
                  <w:t xml:space="preserve">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w:t>
                </w:r>
                <w:r>
                  <w:rPr>
                    <w:szCs w:val="24"/>
                    <w:lang w:eastAsia="lt-LT"/>
                  </w:rPr>
                  <w:t>uomenų saugyklų techninės dalies išplėtimą / įsigijimą; saugios įrangos atnaujinimą / įsigijimą; kt.).</w:t>
                </w:r>
              </w:p>
            </w:tc>
          </w:tr>
          <w:tr w:rsidR="00EA1ED2" w14:paraId="3A62F776" w14:textId="77777777">
            <w:tc>
              <w:tcPr>
                <w:tcW w:w="3261" w:type="dxa"/>
              </w:tcPr>
              <w:p w14:paraId="2BFCA249" w14:textId="77777777" w:rsidR="00EA1ED2" w:rsidRDefault="00BE6F25">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15EAA0B1" w14:textId="77777777" w:rsidR="00EA1ED2" w:rsidRDefault="00BE6F25">
                <w:pPr>
                  <w:jc w:val="both"/>
                  <w:rPr>
                    <w:rFonts w:eastAsia="Calibri"/>
                    <w:bCs/>
                    <w:szCs w:val="24"/>
                  </w:rPr>
                </w:pPr>
                <w:r>
                  <w:rPr>
                    <w:bCs/>
                    <w:szCs w:val="24"/>
                  </w:rPr>
                  <w:t>Vertinama, kad planuojama įgyvendinti priemonė neturi jokio poveikio šiam aplinkos tikslui arba numatomas jos povei</w:t>
                </w:r>
                <w:r>
                  <w:rPr>
                    <w:bCs/>
                    <w:szCs w:val="24"/>
                  </w:rPr>
                  <w:t xml:space="preserve">kis yra nereikšmingas, t. y. neplanuojama, kad įgyvendinama priemonė </w:t>
                </w:r>
                <w:r>
                  <w:rPr>
                    <w:szCs w:val="24"/>
                  </w:rPr>
                  <w:t xml:space="preserve">didina neigiamą dabartinio ir ateities klimato poveikį ar daro neigiamą poveikį žmonėms, gamtai ar turtui: priemonės veiklos (pagal savo pobūdį) neturi jokio tiesioginio ar netiesioginio </w:t>
                </w:r>
                <w:r>
                  <w:rPr>
                    <w:szCs w:val="24"/>
                  </w:rPr>
                  <w:t>neigiamo poveikio šiam aplinkos tikslui.</w:t>
                </w:r>
              </w:p>
            </w:tc>
            <w:tc>
              <w:tcPr>
                <w:tcW w:w="5334" w:type="dxa"/>
              </w:tcPr>
              <w:p w14:paraId="17914078" w14:textId="11158195" w:rsidR="00EA1ED2" w:rsidRDefault="00BE6F25">
                <w:pPr>
                  <w:jc w:val="both"/>
                  <w:rPr>
                    <w:rFonts w:eastAsia="Calibri"/>
                    <w:b/>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acientų registro sukūrimą; med</w:t>
                </w:r>
                <w:r>
                  <w:rPr>
                    <w:szCs w:val="24"/>
                    <w:lang w:eastAsia="lt-LT"/>
                  </w:rPr>
                  <w:t>icininių organizacijų bei medicininių paslaugų tiekėjų komponento sukūrimą; terminologijų ir klasifikatorių posistemės sukūrimą; prieigos teisių prie ESI kontrolės ir valdymo komponento sukūrimą; nacionalinės ESI saugyklos, pagrįstos šiuolaikiniais industr</w:t>
                </w:r>
                <w:r>
                  <w:rPr>
                    <w:szCs w:val="24"/>
                    <w:lang w:eastAsia="lt-LT"/>
                  </w:rPr>
                  <w:t xml:space="preserve">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w:t>
                </w:r>
                <w:r>
                  <w:rPr>
                    <w:szCs w:val="24"/>
                    <w:lang w:eastAsia="lt-LT"/>
                  </w:rPr>
                  <w:t>jimą; kt.).</w:t>
                </w:r>
              </w:p>
            </w:tc>
          </w:tr>
          <w:tr w:rsidR="00EA1ED2" w14:paraId="52F03E7C" w14:textId="77777777">
            <w:tc>
              <w:tcPr>
                <w:tcW w:w="3261" w:type="dxa"/>
              </w:tcPr>
              <w:p w14:paraId="01BC48BB" w14:textId="77777777" w:rsidR="00EA1ED2" w:rsidRDefault="00BE6F25">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2F3EDFC3" w14:textId="77777777" w:rsidR="00EA1ED2" w:rsidRDefault="00BE6F25">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w:t>
                </w:r>
                <w:r>
                  <w:rPr>
                    <w:bCs/>
                    <w:szCs w:val="24"/>
                  </w:rPr>
                  <w:t xml:space="preserve">netiesioginio poveikio per visą gyvavimo ciklą, ir laikoma, kad ji atitinka tausaus išteklių naudojimo ir apsaugos tikslą. Įgyvendinant priemonę nenumatoma kurti jokia infrastruktūra, kuri galėtų turėti poveikį tausiam vandens ir jūrų išteklių naudojimui: </w:t>
                </w:r>
                <w:r>
                  <w:rPr>
                    <w:bCs/>
                    <w:szCs w:val="24"/>
                  </w:rPr>
                  <w:t>veiklos (pagal savo pobūdį) neturi jokio tiesioginio ar netiesioginio neigiamo poveikio šiam aplinkos tikslui.</w:t>
                </w:r>
              </w:p>
            </w:tc>
            <w:tc>
              <w:tcPr>
                <w:tcW w:w="5334" w:type="dxa"/>
              </w:tcPr>
              <w:p w14:paraId="1AE80ABA" w14:textId="36373B41" w:rsidR="00EA1ED2" w:rsidRDefault="00BE6F25">
                <w:pPr>
                  <w:jc w:val="both"/>
                  <w:rPr>
                    <w:rFonts w:eastAsia="Calibri"/>
                    <w:bCs/>
                    <w:szCs w:val="24"/>
                    <w:highlight w:val="green"/>
                  </w:rPr>
                </w:pPr>
                <w:r>
                  <w:rPr>
                    <w:bCs/>
                    <w:szCs w:val="24"/>
                  </w:rPr>
                  <w:t xml:space="preserve">Netaikoma, nes priemonės veiklos apima </w:t>
                </w:r>
                <w:r>
                  <w:t>Elektroninės sveikatos paslaugų ir bendradarbiavimo infrastruktūros informacinę sistemą (toliau – ESPBI IS</w:t>
                </w:r>
                <w:r>
                  <w:t xml:space="preserve">)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w:t>
                </w:r>
                <w:r>
                  <w:rPr>
                    <w:szCs w:val="24"/>
                    <w:lang w:eastAsia="lt-LT"/>
                  </w:rPr>
                  <w:t xml:space="preserve">sukūrimą; nacionalinės ESI saugyklos, pagrįstos šiuolaikiniais industriniais standartais, </w:t>
                </w:r>
                <w:r>
                  <w:rPr>
                    <w:szCs w:val="24"/>
                    <w:lang w:eastAsia="lt-LT"/>
                  </w:rPr>
                  <w:lastRenderedPageBreak/>
                  <w:t xml:space="preserve">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w:t>
                </w:r>
                <w:r>
                  <w:rPr>
                    <w:szCs w:val="24"/>
                    <w:lang w:eastAsia="lt-LT"/>
                  </w:rPr>
                  <w:t>inės dalies išplėtimą / įsigijimą; saugios įrangos atnaujinimą / įsigijimą; kt.).</w:t>
                </w:r>
              </w:p>
            </w:tc>
          </w:tr>
          <w:tr w:rsidR="00EA1ED2" w14:paraId="26C35B80" w14:textId="77777777">
            <w:tc>
              <w:tcPr>
                <w:tcW w:w="3261" w:type="dxa"/>
              </w:tcPr>
              <w:p w14:paraId="659A0EBC" w14:textId="77777777" w:rsidR="00EA1ED2" w:rsidRDefault="00BE6F25">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5670" w:type="dxa"/>
              </w:tcPr>
              <w:p w14:paraId="067171FE" w14:textId="39F7CA9F" w:rsidR="00EA1ED2" w:rsidRDefault="00BE6F25">
                <w:pPr>
                  <w:jc w:val="both"/>
                  <w:rPr>
                    <w:bCs/>
                    <w:szCs w:val="24"/>
                  </w:rPr>
                </w:pPr>
                <w:r>
                  <w:rPr>
                    <w:bCs/>
                    <w:szCs w:val="24"/>
                  </w:rPr>
                  <w:t>Vertinama, kad planuojama įgyvendinti  priemonė neturi jokio poveikio šiam aplinkos tikslui</w:t>
                </w:r>
                <w:r>
                  <w:rPr>
                    <w:bCs/>
                    <w:szCs w:val="24"/>
                  </w:rPr>
                  <w:t xml:space="preserve">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w:t>
                </w:r>
                <w:r>
                  <w:rPr>
                    <w:bCs/>
                    <w:szCs w:val="24"/>
                  </w:rPr>
                  <w:t>inio ar netiesioginio neigiamo poveikio šiam aplinkos tikslui.</w:t>
                </w:r>
              </w:p>
            </w:tc>
            <w:tc>
              <w:tcPr>
                <w:tcW w:w="5334" w:type="dxa"/>
              </w:tcPr>
              <w:p w14:paraId="2BBA57B4" w14:textId="4EA80753" w:rsidR="00EA1ED2" w:rsidRDefault="00BE6F25">
                <w:pPr>
                  <w:jc w:val="both"/>
                  <w:rPr>
                    <w:rFonts w:eastAsia="Calibri"/>
                    <w:bCs/>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w:t>
                </w:r>
                <w:r>
                  <w:rPr>
                    <w:szCs w:val="24"/>
                    <w:lang w:eastAsia="lt-LT"/>
                  </w:rPr>
                  <w:t xml:space="preserve">registro sukūrimą; medicininių organizacijų bei medicininių paslaugų tiekėjų komponento sukūrimą; terminologijų ir klasifikatorių posistemės sukūrimą; prieigos teisių prie ESI kontrolės ir valdymo komponento sukūrimą; nacionalinės ESI saugyklos, pagrįstos </w:t>
                </w:r>
                <w:r>
                  <w:rPr>
                    <w:szCs w:val="24"/>
                    <w:lang w:eastAsia="lt-LT"/>
                  </w:rPr>
                  <w:t xml:space="preserve">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w:t>
                </w:r>
                <w:r>
                  <w:rPr>
                    <w:szCs w:val="24"/>
                    <w:lang w:eastAsia="lt-LT"/>
                  </w:rPr>
                  <w:t>os atnaujinimą / įsigijimą; kt.).</w:t>
                </w:r>
              </w:p>
            </w:tc>
          </w:tr>
          <w:tr w:rsidR="00EA1ED2" w14:paraId="7878FF03" w14:textId="77777777">
            <w:tc>
              <w:tcPr>
                <w:tcW w:w="3261" w:type="dxa"/>
              </w:tcPr>
              <w:p w14:paraId="2F99FF70" w14:textId="77777777" w:rsidR="00EA1ED2" w:rsidRDefault="00BE6F25">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41E93F88" w14:textId="77777777" w:rsidR="00EA1ED2" w:rsidRDefault="00BE6F25">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w:t>
                </w:r>
                <w:r>
                  <w:rPr>
                    <w:bCs/>
                    <w:szCs w:val="24"/>
                  </w:rPr>
                  <w:t>pirminio netiesioginio poveikio per visą gyvavimo ciklą, ir laikoma, kad ji atitinka oro, vandens ar žemės taršos prevencijos ir kontrolės tikslą: įgyvendinant priemonę nenumatoma kurti infrastruktūros, kuri turėtų įtakos ženkliai oro, vandens ir dirvožemi</w:t>
                </w:r>
                <w:r>
                  <w:rPr>
                    <w:bCs/>
                    <w:szCs w:val="24"/>
                  </w:rPr>
                  <w:t xml:space="preserve">o taršai susidaryti: veiklos (pagal savo pobūdį) neturi jokio tiesioginio ar netiesioginio neigiamo poveikio šiam aplinkos tikslui. </w:t>
                </w:r>
              </w:p>
            </w:tc>
            <w:tc>
              <w:tcPr>
                <w:tcW w:w="5334" w:type="dxa"/>
              </w:tcPr>
              <w:p w14:paraId="5B08B79E" w14:textId="7ED7A0F0" w:rsidR="00EA1ED2" w:rsidRDefault="00BE6F25">
                <w:pPr>
                  <w:jc w:val="both"/>
                  <w:rPr>
                    <w:rFonts w:eastAsia="Calibri"/>
                    <w:szCs w:val="24"/>
                    <w:highlight w:val="green"/>
                  </w:rPr>
                </w:pPr>
                <w:r>
                  <w:rPr>
                    <w:bCs/>
                    <w:szCs w:val="24"/>
                  </w:rPr>
                  <w:t xml:space="preserve">Netaikoma, nes priemonės veiklos apima </w:t>
                </w:r>
                <w:r>
                  <w:t>Elektroninės sveikatos paslaugų ir bendradarbiavimo infrastruktūros informacinę sist</w:t>
                </w:r>
                <w:r>
                  <w:t xml:space="preserve">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w:t>
                </w:r>
                <w:r>
                  <w:rPr>
                    <w:szCs w:val="24"/>
                    <w:lang w:eastAsia="lt-LT"/>
                  </w:rPr>
                  <w:t xml:space="preserve">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w:t>
                </w:r>
                <w:r>
                  <w:rPr>
                    <w:szCs w:val="24"/>
                    <w:lang w:eastAsia="lt-LT"/>
                  </w:rPr>
                  <w:t>duomenų saugyklų techninės dalies išplėtimą / įsigijimą; saugios įrangos atnaujinimą / įsigijimą; kt.).</w:t>
                </w:r>
              </w:p>
            </w:tc>
          </w:tr>
          <w:tr w:rsidR="00EA1ED2" w14:paraId="1F9CE6B5" w14:textId="77777777">
            <w:tc>
              <w:tcPr>
                <w:tcW w:w="3261" w:type="dxa"/>
              </w:tcPr>
              <w:p w14:paraId="54DC1564" w14:textId="77777777" w:rsidR="00EA1ED2" w:rsidRDefault="00BE6F25">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5670" w:type="dxa"/>
              </w:tcPr>
              <w:p w14:paraId="1A2D8E8C" w14:textId="77777777" w:rsidR="00EA1ED2" w:rsidRDefault="00BE6F25">
                <w:pPr>
                  <w:jc w:val="both"/>
                  <w:rPr>
                    <w:rFonts w:eastAsia="Calibri"/>
                    <w:bCs/>
                    <w:szCs w:val="24"/>
                  </w:rPr>
                </w:pPr>
                <w:r>
                  <w:rPr>
                    <w:bCs/>
                    <w:szCs w:val="24"/>
                  </w:rPr>
                  <w:t xml:space="preserve">Vertinama, kad planuojama įgyvendinti priemonė neturi jokio poveikio šiam aplinkos tikslui </w:t>
                </w:r>
                <w:r>
                  <w:rPr>
                    <w:bCs/>
                    <w:szCs w:val="24"/>
                  </w:rPr>
                  <w:t>arba numatomas jų poveikis yra nereikšmingas, t. y. nedaro tiesioginio ir pirminio netiesioginio poveikio per visą gyvavimo ciklą, ir laikoma, kad ši priemonė atitinka biologinės įvairovės ir ekosistemų apsaugos ir atkūrimo tikslą: nenumatoma, kad priemonė</w:t>
                </w:r>
                <w:r>
                  <w:rPr>
                    <w:bCs/>
                    <w:szCs w:val="24"/>
                  </w:rPr>
                  <w:t>s veiklos turės neigiamą poveikį biologinei įvairovei ar ekosistemų apsaugai, nes skaitmeninė infrastruktūra kuriama jau urbanizuotoje teritorijoje.</w:t>
                </w:r>
              </w:p>
            </w:tc>
            <w:tc>
              <w:tcPr>
                <w:tcW w:w="5334" w:type="dxa"/>
              </w:tcPr>
              <w:p w14:paraId="1A67EA86" w14:textId="4E4CE66A" w:rsidR="00EA1ED2" w:rsidRDefault="00BE6F25">
                <w:pPr>
                  <w:jc w:val="both"/>
                  <w:rPr>
                    <w:rFonts w:eastAsia="Calibri"/>
                    <w:szCs w:val="24"/>
                    <w:highlight w:val="green"/>
                  </w:rPr>
                </w:pPr>
                <w:r>
                  <w:rPr>
                    <w:bCs/>
                    <w:szCs w:val="24"/>
                  </w:rPr>
                  <w:t xml:space="preserve">Netaikoma, nes priemonės veiklos apima </w:t>
                </w:r>
                <w:r>
                  <w:t xml:space="preserve">Elektroninės sveikatos paslaugų ir bendradarbiavimo infrastruktūros </w:t>
                </w:r>
                <w:r>
                  <w:t xml:space="preserve">informacinę sistemą (toliau – ESPBI IS) sudarančių posistemių </w:t>
                </w:r>
                <w:proofErr w:type="spellStart"/>
                <w:r>
                  <w:t>dekomponavimą</w:t>
                </w:r>
                <w:proofErr w:type="spellEnd"/>
                <w:r>
                  <w:t xml:space="preserve"> (p</w:t>
                </w:r>
                <w:r>
                  <w:rPr>
                    <w:szCs w:val="24"/>
                    <w:lang w:eastAsia="lt-LT"/>
                  </w:rPr>
                  <w:t>acientų registro sukūrimą; medicininių organizacijų bei medicininių paslaugų tiekėjų komponento sukūrimą; terminologijų ir klasifikatorių posistemės sukūrimą; prieigos teisių pri</w:t>
                </w:r>
                <w:r>
                  <w:rPr>
                    <w:szCs w:val="24"/>
                    <w:lang w:eastAsia="lt-LT"/>
                  </w:rPr>
                  <w:t xml:space="preserve">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w:t>
                </w:r>
                <w:r>
                  <w:rPr>
                    <w:szCs w:val="24"/>
                    <w:lang w:eastAsia="lt-LT"/>
                  </w:rPr>
                  <w:t>modulius; ESPBI duomenų saugyklų techninės dalies išplėtimą /  įsigijimą; saugios įrangos atnaujinimą / įsigijimą; kt.).</w:t>
                </w:r>
              </w:p>
            </w:tc>
          </w:tr>
        </w:tbl>
        <w:sdt>
          <w:sdtPr>
            <w:alias w:val="pabaiga"/>
            <w:tag w:val="part_e1922fac6e89486396a96ac86c569d28"/>
            <w:id w:val="-1538040271"/>
            <w:lock w:val="sdtLocked"/>
          </w:sdtPr>
          <w:sdtEndPr/>
          <w:sdtContent>
            <w:p w14:paraId="614B60EE" w14:textId="77777777" w:rsidR="00EA1ED2" w:rsidRDefault="00BE6F25">
              <w:pPr>
                <w:spacing w:line="276" w:lineRule="auto"/>
                <w:jc w:val="center"/>
                <w:rPr>
                  <w:rFonts w:eastAsia="Calibri"/>
                  <w:szCs w:val="24"/>
                </w:rPr>
              </w:pPr>
              <w:r>
                <w:rPr>
                  <w:rFonts w:eastAsia="Calibri"/>
                  <w:szCs w:val="24"/>
                </w:rPr>
                <w:t>_______________</w:t>
              </w:r>
            </w:p>
            <w:p w14:paraId="23D266A0" w14:textId="77777777" w:rsidR="00EA1ED2" w:rsidRDefault="00BE6F25">
              <w:pPr>
                <w:rPr>
                  <w:rFonts w:eastAsia="Calibri"/>
                  <w:szCs w:val="24"/>
                </w:rPr>
              </w:pPr>
            </w:p>
          </w:sdtContent>
        </w:sdt>
      </w:sdtContent>
    </w:sdt>
    <w:sectPr w:rsidR="00EA1ED2">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E844F8" w14:textId="77777777" w:rsidR="00BE6F25" w:rsidRDefault="00BE6F25">
      <w:pPr>
        <w:rPr>
          <w:sz w:val="22"/>
          <w:szCs w:val="22"/>
        </w:rPr>
      </w:pPr>
      <w:r>
        <w:rPr>
          <w:sz w:val="22"/>
          <w:szCs w:val="22"/>
        </w:rPr>
        <w:separator/>
      </w:r>
    </w:p>
  </w:endnote>
  <w:endnote w:type="continuationSeparator" w:id="0">
    <w:p w14:paraId="289843E4" w14:textId="77777777" w:rsidR="00BE6F25" w:rsidRDefault="00BE6F25">
      <w:pPr>
        <w:rPr>
          <w:sz w:val="22"/>
          <w:szCs w:val="22"/>
        </w:rPr>
      </w:pPr>
      <w:r>
        <w:rPr>
          <w:sz w:val="22"/>
          <w:szCs w:val="22"/>
        </w:rPr>
        <w:continuationSeparator/>
      </w:r>
    </w:p>
  </w:endnote>
  <w:endnote w:type="continuationNotice" w:id="1">
    <w:p w14:paraId="3A38936B" w14:textId="77777777" w:rsidR="00BE6F25" w:rsidRDefault="00BE6F2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9195F" w14:textId="77777777" w:rsidR="00EA1ED2" w:rsidRDefault="00EA1ED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A1912D" w14:textId="77777777" w:rsidR="00EA1ED2" w:rsidRDefault="00EA1ED2">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AE28ED" w14:textId="77777777" w:rsidR="00EA1ED2" w:rsidRDefault="00EA1ED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BE3945" w14:textId="77777777" w:rsidR="00BE6F25" w:rsidRDefault="00BE6F25">
      <w:pPr>
        <w:rPr>
          <w:sz w:val="22"/>
          <w:szCs w:val="22"/>
        </w:rPr>
      </w:pPr>
      <w:r>
        <w:rPr>
          <w:sz w:val="22"/>
          <w:szCs w:val="22"/>
        </w:rPr>
        <w:separator/>
      </w:r>
    </w:p>
  </w:footnote>
  <w:footnote w:type="continuationSeparator" w:id="0">
    <w:p w14:paraId="424EF371" w14:textId="77777777" w:rsidR="00BE6F25" w:rsidRDefault="00BE6F25">
      <w:pPr>
        <w:rPr>
          <w:sz w:val="22"/>
          <w:szCs w:val="22"/>
        </w:rPr>
      </w:pPr>
      <w:r>
        <w:rPr>
          <w:sz w:val="22"/>
          <w:szCs w:val="22"/>
        </w:rPr>
        <w:continuationSeparator/>
      </w:r>
    </w:p>
  </w:footnote>
  <w:footnote w:type="continuationNotice" w:id="1">
    <w:p w14:paraId="06BE3362" w14:textId="77777777" w:rsidR="00BE6F25" w:rsidRDefault="00BE6F2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B5353" w14:textId="77777777" w:rsidR="00EA1ED2" w:rsidRDefault="00EA1ED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E994E" w14:textId="57699B77" w:rsidR="00EA1ED2" w:rsidRDefault="00BE6F2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25BE4">
      <w:rPr>
        <w:noProof/>
        <w:szCs w:val="22"/>
      </w:rPr>
      <w:t>4</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1B090" w14:textId="77777777" w:rsidR="00EA1ED2" w:rsidRDefault="00EA1ED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25BE4"/>
    <w:rsid w:val="00A361B0"/>
    <w:rsid w:val="00BE6F25"/>
    <w:rsid w:val="00EA1E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FE0F43"/>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925530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3.xml><?xml version="1.0" encoding="utf-8"?>
<Parts xmlns="http://lrs.lt/TAIS/DocParts">
  <Part Type="priedas" Nr="12.1" Abbr="12.1 pr." Title="PROJEKTO (ĮSKAITANT JUNGTINĮ PROJEKTĄ) ATITIKTIES REIKŠMINGOS ŽALOS NEDARYMO HORIZONTALIAJAM PRINCIPUI VERTINIMO REIKALAVIMŲ APRAŠAS" DocPartId="c0c0ebb18da5446eb9f5bdbed13ae148" PartId="14b94a4b73b4469381409ea4af2e34e6">
    <Part Type="pabaiga" DocPartId="9c6d7daef7c04cce95dc89ed49bbc563" PartId="e1922fac6e89486396a96ac86c569d28"/>
  </Part>
</Part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ADFF8244-410E-43F1-BF08-9974F59320C4}">
  <ds:schemaRefs>
    <ds:schemaRef ds:uri="http://lrs.lt/TAIS/DocParts"/>
  </ds:schemaRefs>
</ds:datastoreItem>
</file>

<file path=customXml/itemProps4.xml><?xml version="1.0" encoding="utf-8"?>
<ds:datastoreItem xmlns:ds="http://schemas.openxmlformats.org/officeDocument/2006/customXml" ds:itemID="{E7769CDE-F958-4958-94B3-381F95FF22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A29CFF7-D299-4F27-858C-DD3530FC4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5610</Words>
  <Characters>3199</Characters>
  <Application>Microsoft Office Word</Application>
  <DocSecurity>0</DocSecurity>
  <Lines>26</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HP</vt:lpstr>
      <vt:lpstr>HP</vt:lpstr>
    </vt:vector>
  </TitlesOfParts>
  <Company>HP Inc.</Company>
  <LinksUpToDate>false</LinksUpToDate>
  <CharactersWithSpaces>8792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HP</dc:title>
  <dc:creator>Virginija Levinskienė</dc:creator>
  <cp:lastModifiedBy>TAMALIŪNIENĖ Vilija</cp:lastModifiedBy>
  <cp:revision>2</cp:revision>
  <dcterms:created xsi:type="dcterms:W3CDTF">2023-07-05T07:50:00Z</dcterms:created>
  <dcterms:modified xsi:type="dcterms:W3CDTF">2023-07-05T07:50:00Z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96;#Gintaras Maželis;#90;#Laura Neliupšytė;#165;#Lina Šimkevičienė;#166;#Margarita Kairienė;#1119;#Mantas Bernotas;#1089;#Rasa Mockutė</vt:lpwstr>
  </property>
  <property fmtid="{D5CDD505-2E9C-101B-9397-08002B2CF9AE}" pid="6" name="TaxCatchAll">
    <vt:lpwstr/>
  </property>
</Properties>
</file>