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e39cfd27586412f97df12ebdcfda72e"/>
        <w:id w:val="663742704"/>
        <w:lock w:val="sdtLocked"/>
      </w:sdtPr>
      <w:sdtEndPr/>
      <w:sdtContent>
        <w:p w:rsidR="00BC34F5" w:rsidRDefault="00D808B1">
          <w:pPr>
            <w:ind w:left="9639"/>
            <w:jc w:val="both"/>
            <w:rPr>
              <w:bCs/>
              <w:szCs w:val="24"/>
            </w:rPr>
          </w:pPr>
          <w:r>
            <w:rPr>
              <w:bCs/>
              <w:szCs w:val="24"/>
            </w:rPr>
            <w:t xml:space="preserve">2021–2030 m. plėtros programos valdytojos Lietuvos Respublikos švietimo, mokslo ir sporto ministerijos švietimo plėtros programos pažangos priemonės </w:t>
          </w:r>
          <w:r>
            <w:rPr>
              <w:szCs w:val="24"/>
            </w:rPr>
            <w:t xml:space="preserve">Nr. 12-003-03-01-04 „Užtikrinti visiems prieinamą ankstyvąjį ugdymą“ </w:t>
          </w:r>
          <w:r>
            <w:rPr>
              <w:bCs/>
              <w:szCs w:val="24"/>
            </w:rPr>
            <w:t xml:space="preserve">aprašo </w:t>
          </w:r>
        </w:p>
        <w:p w:rsidR="00BC34F5" w:rsidRDefault="00082207">
          <w:pPr>
            <w:ind w:left="9639"/>
            <w:jc w:val="both"/>
            <w:rPr>
              <w:szCs w:val="24"/>
            </w:rPr>
          </w:pPr>
          <w:sdt>
            <w:sdtPr>
              <w:alias w:val="Numeris"/>
              <w:tag w:val="nr_8e39cfd27586412f97df12ebdcfda72e"/>
              <w:id w:val="-1291119984"/>
              <w:lock w:val="sdtLocked"/>
            </w:sdtPr>
            <w:sdtEndPr/>
            <w:sdtContent>
              <w:r w:rsidR="00D808B1">
                <w:rPr>
                  <w:szCs w:val="24"/>
                </w:rPr>
                <w:t>3</w:t>
              </w:r>
            </w:sdtContent>
          </w:sdt>
          <w:r w:rsidR="00D808B1">
            <w:rPr>
              <w:szCs w:val="24"/>
            </w:rPr>
            <w:t xml:space="preserve"> priedas</w:t>
          </w:r>
        </w:p>
        <w:p w:rsidR="00BC34F5" w:rsidRDefault="00BC34F5">
          <w:pPr>
            <w:jc w:val="center"/>
            <w:rPr>
              <w:iCs/>
              <w:szCs w:val="24"/>
            </w:rPr>
          </w:pPr>
        </w:p>
        <w:p w:rsidR="00BC34F5" w:rsidRDefault="00082207">
          <w:pPr>
            <w:jc w:val="center"/>
            <w:rPr>
              <w:b/>
              <w:bCs/>
              <w:szCs w:val="24"/>
            </w:rPr>
          </w:pPr>
          <w:sdt>
            <w:sdtPr>
              <w:alias w:val="Pavadinimas"/>
              <w:tag w:val="title_8e39cfd27586412f97df12ebdcfda72e"/>
              <w:id w:val="2033835055"/>
              <w:lock w:val="sdtLocked"/>
            </w:sdtPr>
            <w:sdtEndPr/>
            <w:sdtContent>
              <w:r w:rsidR="00D808B1">
                <w:rPr>
                  <w:b/>
                  <w:bCs/>
                  <w:szCs w:val="24"/>
                </w:rPr>
                <w:t xml:space="preserve">2021–2030 M. PLĖTROS PROGRAMOS VALDYTOJOS LIETUVOS RESPUBLIKOS ŠVIETIMO, MOKSLO IR SPORTO MINISTERIJOS ŠVIETIMO PLĖTROS PROGRAMOS PAŽANGOS PRIEMONĖS NR. </w:t>
              </w:r>
              <w:r w:rsidR="00D808B1">
                <w:rPr>
                  <w:b/>
                  <w:bCs/>
                  <w:lang w:eastAsia="lt-LT"/>
                </w:rPr>
                <w:t>12-003-03-01-04</w:t>
              </w:r>
              <w:r w:rsidR="00D808B1">
                <w:rPr>
                  <w:b/>
                  <w:bCs/>
                  <w:i/>
                  <w:iCs/>
                  <w:lang w:eastAsia="lt-LT"/>
                </w:rPr>
                <w:t xml:space="preserve"> </w:t>
              </w:r>
              <w:r w:rsidR="00D808B1">
                <w:rPr>
                  <w:b/>
                  <w:bCs/>
                  <w:lang w:eastAsia="lt-LT"/>
                </w:rPr>
                <w:t>„UŽTIKRINTI VISIEMS PRIEINAMĄ ANKSTYVĄJĮ UGDYMĄ“</w:t>
              </w:r>
              <w:r w:rsidR="00D808B1">
                <w:rPr>
                  <w:b/>
                  <w:bCs/>
                  <w:i/>
                  <w:iCs/>
                  <w:lang w:eastAsia="lt-LT"/>
                </w:rPr>
                <w:t xml:space="preserve"> </w:t>
              </w:r>
              <w:r w:rsidR="00D808B1">
                <w:rPr>
                  <w:b/>
                  <w:bCs/>
                  <w:szCs w:val="24"/>
                </w:rPr>
                <w:t>PROJEKTŲ FINANSAVIMO SĄLYGŲ APRAŠAS NR. 3</w:t>
              </w:r>
            </w:sdtContent>
          </w:sdt>
        </w:p>
        <w:p w:rsidR="00BC34F5" w:rsidRDefault="00BC34F5">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C34F5">
            <w:tc>
              <w:tcPr>
                <w:tcW w:w="15155" w:type="dxa"/>
                <w:gridSpan w:val="13"/>
                <w:vAlign w:val="center"/>
              </w:tcPr>
              <w:p w:rsidR="00BC34F5" w:rsidRDefault="00D808B1">
                <w:pPr>
                  <w:jc w:val="center"/>
                  <w:rPr>
                    <w:b/>
                    <w:sz w:val="22"/>
                    <w:szCs w:val="22"/>
                  </w:rPr>
                </w:pPr>
                <w:r>
                  <w:rPr>
                    <w:b/>
                    <w:sz w:val="22"/>
                    <w:szCs w:val="22"/>
                  </w:rPr>
                  <w:t>VEIKLOS AR POVEIKLĖS, KURIOMS NUSTATOMOS PROJEKTŲ FINANSAVIMO SĄLYGOS</w:t>
                </w:r>
              </w:p>
            </w:tc>
          </w:tr>
          <w:tr w:rsidR="00BC34F5">
            <w:tc>
              <w:tcPr>
                <w:tcW w:w="1110" w:type="dxa"/>
                <w:vAlign w:val="center"/>
              </w:tcPr>
              <w:p w:rsidR="00BC34F5" w:rsidRDefault="00D808B1">
                <w:pPr>
                  <w:jc w:val="center"/>
                  <w:rPr>
                    <w:b/>
                    <w:sz w:val="20"/>
                  </w:rPr>
                </w:pPr>
                <w:r>
                  <w:rPr>
                    <w:b/>
                    <w:sz w:val="20"/>
                  </w:rPr>
                  <w:t>Veiklos ar poveiklės pavadini-mas</w:t>
                </w:r>
              </w:p>
            </w:tc>
            <w:tc>
              <w:tcPr>
                <w:tcW w:w="1125" w:type="dxa"/>
                <w:vAlign w:val="center"/>
              </w:tcPr>
              <w:p w:rsidR="00BC34F5" w:rsidRDefault="00D808B1">
                <w:pPr>
                  <w:jc w:val="center"/>
                  <w:rPr>
                    <w:b/>
                    <w:sz w:val="20"/>
                  </w:rPr>
                </w:pPr>
                <w:r>
                  <w:rPr>
                    <w:b/>
                    <w:sz w:val="20"/>
                  </w:rPr>
                  <w:t>Finansa-vimo šaltinis</w:t>
                </w:r>
              </w:p>
            </w:tc>
            <w:tc>
              <w:tcPr>
                <w:tcW w:w="1236" w:type="dxa"/>
                <w:vAlign w:val="center"/>
              </w:tcPr>
              <w:p w:rsidR="00BC34F5" w:rsidRDefault="00D808B1">
                <w:pPr>
                  <w:jc w:val="center"/>
                  <w:rPr>
                    <w:b/>
                    <w:sz w:val="20"/>
                  </w:rPr>
                </w:pPr>
                <w:r>
                  <w:rPr>
                    <w:b/>
                    <w:bCs/>
                    <w:sz w:val="20"/>
                  </w:rPr>
                  <w:t>Prioritetas ar komponen-tas</w:t>
                </w:r>
              </w:p>
            </w:tc>
            <w:tc>
              <w:tcPr>
                <w:tcW w:w="1134" w:type="dxa"/>
                <w:vAlign w:val="center"/>
              </w:tcPr>
              <w:p w:rsidR="00BC34F5" w:rsidRDefault="00D808B1">
                <w:pPr>
                  <w:jc w:val="center"/>
                  <w:rPr>
                    <w:b/>
                    <w:sz w:val="20"/>
                  </w:rPr>
                </w:pPr>
                <w:r>
                  <w:rPr>
                    <w:b/>
                    <w:bCs/>
                    <w:sz w:val="20"/>
                  </w:rPr>
                  <w:t>Uždavi-nys ar priemonė</w:t>
                </w:r>
              </w:p>
            </w:tc>
            <w:tc>
              <w:tcPr>
                <w:tcW w:w="1134" w:type="dxa"/>
                <w:vAlign w:val="center"/>
              </w:tcPr>
              <w:p w:rsidR="00BC34F5" w:rsidRDefault="00D808B1">
                <w:pPr>
                  <w:jc w:val="center"/>
                  <w:rPr>
                    <w:b/>
                    <w:sz w:val="20"/>
                  </w:rPr>
                </w:pPr>
                <w:r>
                  <w:rPr>
                    <w:b/>
                    <w:bCs/>
                    <w:sz w:val="20"/>
                  </w:rPr>
                  <w:t>Veikla ar paprie-monė</w:t>
                </w:r>
              </w:p>
            </w:tc>
            <w:tc>
              <w:tcPr>
                <w:tcW w:w="1457" w:type="dxa"/>
                <w:vAlign w:val="center"/>
              </w:tcPr>
              <w:p w:rsidR="00BC34F5" w:rsidRDefault="00D808B1">
                <w:pPr>
                  <w:jc w:val="center"/>
                  <w:rPr>
                    <w:b/>
                    <w:sz w:val="20"/>
                  </w:rPr>
                </w:pPr>
                <w:r>
                  <w:rPr>
                    <w:b/>
                    <w:sz w:val="20"/>
                  </w:rPr>
                  <w:t>Intervencinės priemonės kodas</w:t>
                </w:r>
              </w:p>
            </w:tc>
            <w:tc>
              <w:tcPr>
                <w:tcW w:w="1344" w:type="dxa"/>
                <w:vAlign w:val="center"/>
              </w:tcPr>
              <w:p w:rsidR="00BC34F5" w:rsidRDefault="00D808B1">
                <w:pPr>
                  <w:jc w:val="center"/>
                  <w:rPr>
                    <w:b/>
                    <w:bCs/>
                    <w:sz w:val="20"/>
                  </w:rPr>
                </w:pPr>
                <w:r>
                  <w:rPr>
                    <w:b/>
                    <w:sz w:val="20"/>
                  </w:rPr>
                  <w:t>Regionas, kuriam priskiriama veikla ar poveiklė</w:t>
                </w:r>
              </w:p>
            </w:tc>
            <w:tc>
              <w:tcPr>
                <w:tcW w:w="1080" w:type="dxa"/>
                <w:vAlign w:val="center"/>
              </w:tcPr>
              <w:p w:rsidR="00BC34F5" w:rsidRDefault="00D808B1">
                <w:pPr>
                  <w:jc w:val="center"/>
                  <w:rPr>
                    <w:b/>
                    <w:sz w:val="20"/>
                  </w:rPr>
                </w:pPr>
                <w:r>
                  <w:rPr>
                    <w:b/>
                    <w:bCs/>
                    <w:sz w:val="20"/>
                  </w:rPr>
                  <w:t>Paramos formos kodas</w:t>
                </w:r>
              </w:p>
            </w:tc>
            <w:tc>
              <w:tcPr>
                <w:tcW w:w="1344" w:type="dxa"/>
                <w:vAlign w:val="center"/>
              </w:tcPr>
              <w:p w:rsidR="00BC34F5" w:rsidRDefault="00D808B1">
                <w:pPr>
                  <w:jc w:val="center"/>
                  <w:rPr>
                    <w:b/>
                    <w:sz w:val="20"/>
                  </w:rPr>
                </w:pPr>
                <w:r>
                  <w:rPr>
                    <w:b/>
                    <w:bCs/>
                    <w:sz w:val="20"/>
                  </w:rPr>
                  <w:t>Pagrindinės teritorinės srities kodas (-ai)</w:t>
                </w:r>
              </w:p>
            </w:tc>
            <w:tc>
              <w:tcPr>
                <w:tcW w:w="1051" w:type="dxa"/>
                <w:vAlign w:val="center"/>
              </w:tcPr>
              <w:p w:rsidR="00BC34F5" w:rsidRDefault="00D808B1">
                <w:pPr>
                  <w:jc w:val="center"/>
                  <w:rPr>
                    <w:b/>
                    <w:bCs/>
                    <w:sz w:val="20"/>
                  </w:rPr>
                </w:pPr>
                <w:r>
                  <w:rPr>
                    <w:b/>
                    <w:bCs/>
                    <w:sz w:val="20"/>
                  </w:rPr>
                  <w:t xml:space="preserve">Ekono-minės veiklos kodas </w:t>
                </w:r>
              </w:p>
              <w:p w:rsidR="00BC34F5" w:rsidRDefault="00D808B1">
                <w:pPr>
                  <w:jc w:val="center"/>
                  <w:rPr>
                    <w:b/>
                    <w:sz w:val="20"/>
                  </w:rPr>
                </w:pPr>
                <w:r>
                  <w:rPr>
                    <w:b/>
                    <w:bCs/>
                    <w:sz w:val="20"/>
                  </w:rPr>
                  <w:t>(-ai)</w:t>
                </w:r>
              </w:p>
            </w:tc>
            <w:tc>
              <w:tcPr>
                <w:tcW w:w="1132" w:type="dxa"/>
                <w:vAlign w:val="center"/>
              </w:tcPr>
              <w:p w:rsidR="00BC34F5" w:rsidRDefault="00D808B1">
                <w:pPr>
                  <w:jc w:val="center"/>
                  <w:rPr>
                    <w:b/>
                    <w:bCs/>
                    <w:sz w:val="20"/>
                  </w:rPr>
                </w:pPr>
                <w:r>
                  <w:rPr>
                    <w:b/>
                    <w:bCs/>
                    <w:sz w:val="20"/>
                  </w:rPr>
                  <w:t>„Europos socialinio fondo +“ (toliau – ESF+) antrinių temų kodai</w:t>
                </w:r>
              </w:p>
            </w:tc>
            <w:tc>
              <w:tcPr>
                <w:tcW w:w="859" w:type="dxa"/>
                <w:vAlign w:val="center"/>
              </w:tcPr>
              <w:p w:rsidR="00BC34F5" w:rsidRDefault="00D808B1">
                <w:pPr>
                  <w:jc w:val="center"/>
                  <w:rPr>
                    <w:b/>
                    <w:bCs/>
                    <w:sz w:val="20"/>
                  </w:rPr>
                </w:pPr>
                <w:r>
                  <w:rPr>
                    <w:b/>
                    <w:bCs/>
                    <w:sz w:val="20"/>
                  </w:rPr>
                  <w:t>Lyčių lygybės mat-mens kodas</w:t>
                </w:r>
              </w:p>
            </w:tc>
            <w:tc>
              <w:tcPr>
                <w:tcW w:w="1149" w:type="dxa"/>
                <w:vAlign w:val="center"/>
              </w:tcPr>
              <w:p w:rsidR="00BC34F5" w:rsidRDefault="00D808B1">
                <w:pPr>
                  <w:jc w:val="center"/>
                  <w:rPr>
                    <w:b/>
                    <w:sz w:val="20"/>
                  </w:rPr>
                </w:pPr>
                <w:r>
                  <w:rPr>
                    <w:b/>
                    <w:sz w:val="20"/>
                  </w:rPr>
                  <w:t>Nepanau-dotos Ekonomi-kos gaivinimo ir atsparumo didinimo priemonės lėšos</w:t>
                </w:r>
              </w:p>
              <w:p w:rsidR="00BC34F5" w:rsidRDefault="00D808B1">
                <w:pPr>
                  <w:jc w:val="center"/>
                  <w:rPr>
                    <w:b/>
                    <w:bCs/>
                    <w:sz w:val="20"/>
                  </w:rPr>
                </w:pPr>
                <w:r>
                  <w:rPr>
                    <w:b/>
                    <w:sz w:val="20"/>
                  </w:rPr>
                  <w:t>(Taip / Ne)</w:t>
                </w:r>
              </w:p>
            </w:tc>
          </w:tr>
          <w:tr w:rsidR="00BC34F5">
            <w:trPr>
              <w:trHeight w:val="278"/>
            </w:trPr>
            <w:tc>
              <w:tcPr>
                <w:tcW w:w="1110" w:type="dxa"/>
                <w:tcMar>
                  <w:left w:w="28" w:type="dxa"/>
                  <w:right w:w="28" w:type="dxa"/>
                </w:tcMar>
              </w:tcPr>
              <w:p w:rsidR="00BC34F5" w:rsidRDefault="00D808B1">
                <w:pPr>
                  <w:ind w:firstLine="48"/>
                  <w:rPr>
                    <w:sz w:val="20"/>
                  </w:rPr>
                </w:pPr>
                <w:r>
                  <w:rPr>
                    <w:sz w:val="20"/>
                  </w:rPr>
                  <w:t xml:space="preserve">3. Sukurti įstaigų, vykdančių ikimokyklinio ugdymo programas, stiprinimo paketą, apimantį mokymąsi vieniems iš kitų (angl. </w:t>
                </w:r>
                <w:r>
                  <w:rPr>
                    <w:i/>
                    <w:iCs/>
                    <w:sz w:val="20"/>
                  </w:rPr>
                  <w:t>peer-learning</w:t>
                </w:r>
                <w:r>
                  <w:rPr>
                    <w:sz w:val="20"/>
                  </w:rPr>
                  <w:t xml:space="preserve">), ikimokyklinio ugdymo mokytojų </w:t>
                </w:r>
                <w:r>
                  <w:rPr>
                    <w:sz w:val="20"/>
                  </w:rPr>
                  <w:lastRenderedPageBreak/>
                  <w:t>kompetencijų atnaujinimą ir stiprinimą, aprūpinimą moderniomis darbo vietomis</w:t>
                </w:r>
              </w:p>
            </w:tc>
            <w:tc>
              <w:tcPr>
                <w:tcW w:w="1125" w:type="dxa"/>
                <w:tcMar>
                  <w:left w:w="28" w:type="dxa"/>
                  <w:right w:w="28" w:type="dxa"/>
                </w:tcMar>
              </w:tcPr>
              <w:p w:rsidR="00BC34F5" w:rsidRDefault="00D808B1">
                <w:pPr>
                  <w:jc w:val="center"/>
                  <w:rPr>
                    <w:b/>
                    <w:sz w:val="20"/>
                  </w:rPr>
                </w:pPr>
                <w:r>
                  <w:rPr>
                    <w:sz w:val="20"/>
                  </w:rPr>
                  <w:lastRenderedPageBreak/>
                  <w:t>Europos Sąjungos fondų lėšos ir bendrojo finansavimo lėšos</w:t>
                </w:r>
              </w:p>
            </w:tc>
            <w:tc>
              <w:tcPr>
                <w:tcW w:w="1236" w:type="dxa"/>
                <w:tcMar>
                  <w:left w:w="28" w:type="dxa"/>
                  <w:right w:w="28" w:type="dxa"/>
                </w:tcMar>
              </w:tcPr>
              <w:p w:rsidR="00BC34F5" w:rsidRDefault="00D808B1">
                <w:pPr>
                  <w:jc w:val="center"/>
                  <w:rPr>
                    <w:sz w:val="20"/>
                  </w:rPr>
                </w:pPr>
                <w:r>
                  <w:rPr>
                    <w:sz w:val="20"/>
                  </w:rPr>
                  <w:t xml:space="preserve">4. </w:t>
                </w:r>
              </w:p>
            </w:tc>
            <w:tc>
              <w:tcPr>
                <w:tcW w:w="1134" w:type="dxa"/>
                <w:tcMar>
                  <w:left w:w="28" w:type="dxa"/>
                  <w:right w:w="28" w:type="dxa"/>
                </w:tcMar>
              </w:tcPr>
              <w:p w:rsidR="00BC34F5" w:rsidRDefault="00D808B1">
                <w:pPr>
                  <w:jc w:val="center"/>
                  <w:rPr>
                    <w:sz w:val="20"/>
                  </w:rPr>
                </w:pPr>
                <w:r>
                  <w:rPr>
                    <w:sz w:val="20"/>
                  </w:rPr>
                  <w:t xml:space="preserve">4.3. </w:t>
                </w:r>
              </w:p>
            </w:tc>
            <w:tc>
              <w:tcPr>
                <w:tcW w:w="1134" w:type="dxa"/>
                <w:tcMar>
                  <w:left w:w="28" w:type="dxa"/>
                  <w:right w:w="28" w:type="dxa"/>
                </w:tcMar>
              </w:tcPr>
              <w:p w:rsidR="00BC34F5" w:rsidRDefault="00D808B1">
                <w:pPr>
                  <w:rPr>
                    <w:sz w:val="20"/>
                  </w:rPr>
                </w:pPr>
                <w:r>
                  <w:rPr>
                    <w:sz w:val="20"/>
                  </w:rPr>
                  <w:t xml:space="preserve">4.3.2. Užtikrinant vienodas starto švietime galimybes, padidinti ikimokyklinio ugdymo ir visos dienos mokyklos prieinamas paslaugas asmenims, patiriantiems atskirtį ar socialines </w:t>
                </w:r>
                <w:r>
                  <w:rPr>
                    <w:sz w:val="20"/>
                  </w:rPr>
                  <w:lastRenderedPageBreak/>
                  <w:t>rizikas, dėl kurių kyla grėsmė patirti socialinę atskirtį</w:t>
                </w:r>
              </w:p>
            </w:tc>
            <w:tc>
              <w:tcPr>
                <w:tcW w:w="1457" w:type="dxa"/>
                <w:tcMar>
                  <w:left w:w="28" w:type="dxa"/>
                  <w:right w:w="28" w:type="dxa"/>
                </w:tcMar>
              </w:tcPr>
              <w:p w:rsidR="00BC34F5" w:rsidRDefault="00D808B1">
                <w:pPr>
                  <w:jc w:val="center"/>
                  <w:rPr>
                    <w:iCs/>
                    <w:sz w:val="20"/>
                  </w:rPr>
                </w:pPr>
                <w:r>
                  <w:rPr>
                    <w:iCs/>
                    <w:sz w:val="20"/>
                  </w:rPr>
                  <w:lastRenderedPageBreak/>
                  <w:t>148</w:t>
                </w:r>
              </w:p>
              <w:p w:rsidR="00BC34F5" w:rsidRDefault="00BC34F5">
                <w:pPr>
                  <w:jc w:val="center"/>
                  <w:rPr>
                    <w:iCs/>
                    <w:sz w:val="20"/>
                  </w:rPr>
                </w:pPr>
              </w:p>
              <w:p w:rsidR="00BC34F5" w:rsidRDefault="00BC34F5">
                <w:pPr>
                  <w:jc w:val="center"/>
                  <w:rPr>
                    <w:sz w:val="20"/>
                  </w:rPr>
                </w:pPr>
              </w:p>
            </w:tc>
            <w:tc>
              <w:tcPr>
                <w:tcW w:w="1344" w:type="dxa"/>
                <w:tcMar>
                  <w:left w:w="28" w:type="dxa"/>
                  <w:right w:w="28" w:type="dxa"/>
                </w:tcMar>
              </w:tcPr>
              <w:p w:rsidR="00BC34F5" w:rsidRDefault="00D808B1">
                <w:pPr>
                  <w:jc w:val="center"/>
                  <w:rPr>
                    <w:iCs/>
                    <w:sz w:val="20"/>
                  </w:rPr>
                </w:pPr>
                <w:r>
                  <w:rPr>
                    <w:iCs/>
                    <w:sz w:val="20"/>
                  </w:rPr>
                  <w:t>Vidurio ir vakarų Lietuvos</w:t>
                </w:r>
              </w:p>
              <w:p w:rsidR="00BC34F5" w:rsidRDefault="00D808B1">
                <w:pPr>
                  <w:jc w:val="center"/>
                  <w:rPr>
                    <w:sz w:val="20"/>
                  </w:rPr>
                </w:pPr>
                <w:r>
                  <w:rPr>
                    <w:iCs/>
                    <w:sz w:val="20"/>
                  </w:rPr>
                  <w:t>regionas</w:t>
                </w:r>
              </w:p>
            </w:tc>
            <w:tc>
              <w:tcPr>
                <w:tcW w:w="1080" w:type="dxa"/>
                <w:tcMar>
                  <w:left w:w="28" w:type="dxa"/>
                  <w:right w:w="28" w:type="dxa"/>
                </w:tcMar>
              </w:tcPr>
              <w:p w:rsidR="00BC34F5" w:rsidRDefault="00D808B1">
                <w:pPr>
                  <w:jc w:val="center"/>
                  <w:rPr>
                    <w:sz w:val="20"/>
                  </w:rPr>
                </w:pPr>
                <w:r>
                  <w:rPr>
                    <w:sz w:val="20"/>
                  </w:rPr>
                  <w:t xml:space="preserve">01 </w:t>
                </w:r>
                <w:r>
                  <w:rPr>
                    <w:iCs/>
                    <w:sz w:val="20"/>
                  </w:rPr>
                  <w:t>–</w:t>
                </w:r>
                <w:r>
                  <w:rPr>
                    <w:sz w:val="20"/>
                  </w:rPr>
                  <w:t xml:space="preserve"> dotacija</w:t>
                </w:r>
              </w:p>
            </w:tc>
            <w:tc>
              <w:tcPr>
                <w:tcW w:w="1344" w:type="dxa"/>
                <w:tcMar>
                  <w:left w:w="28" w:type="dxa"/>
                  <w:right w:w="28" w:type="dxa"/>
                </w:tcMar>
              </w:tcPr>
              <w:p w:rsidR="00BC34F5" w:rsidRDefault="00D808B1">
                <w:pPr>
                  <w:jc w:val="center"/>
                  <w:rPr>
                    <w:sz w:val="20"/>
                  </w:rPr>
                </w:pPr>
                <w:r>
                  <w:rPr>
                    <w:iCs/>
                    <w:sz w:val="20"/>
                  </w:rPr>
                  <w:t>33 – nesiorientuojant į teritorinį principą</w:t>
                </w:r>
              </w:p>
            </w:tc>
            <w:tc>
              <w:tcPr>
                <w:tcW w:w="1051" w:type="dxa"/>
                <w:tcMar>
                  <w:left w:w="28" w:type="dxa"/>
                  <w:right w:w="28" w:type="dxa"/>
                </w:tcMar>
              </w:tcPr>
              <w:p w:rsidR="00BC34F5" w:rsidRDefault="00D808B1">
                <w:pPr>
                  <w:jc w:val="center"/>
                  <w:rPr>
                    <w:sz w:val="20"/>
                  </w:rPr>
                </w:pPr>
                <w:r>
                  <w:rPr>
                    <w:iCs/>
                    <w:sz w:val="20"/>
                  </w:rPr>
                  <w:t>21 – švietimas</w:t>
                </w:r>
              </w:p>
            </w:tc>
            <w:tc>
              <w:tcPr>
                <w:tcW w:w="1132" w:type="dxa"/>
                <w:tcMar>
                  <w:left w:w="28" w:type="dxa"/>
                  <w:right w:w="28" w:type="dxa"/>
                </w:tcMar>
              </w:tcPr>
              <w:p w:rsidR="00BC34F5" w:rsidRDefault="00D808B1">
                <w:pPr>
                  <w:jc w:val="center"/>
                  <w:rPr>
                    <w:sz w:val="20"/>
                  </w:rPr>
                </w:pPr>
                <w:r>
                  <w:rPr>
                    <w:iCs/>
                    <w:sz w:val="20"/>
                  </w:rPr>
                  <w:t>09 – netaikoma</w:t>
                </w:r>
              </w:p>
            </w:tc>
            <w:tc>
              <w:tcPr>
                <w:tcW w:w="859" w:type="dxa"/>
                <w:tcMar>
                  <w:left w:w="28" w:type="dxa"/>
                  <w:right w:w="28" w:type="dxa"/>
                </w:tcMar>
              </w:tcPr>
              <w:p w:rsidR="00BC34F5" w:rsidRDefault="00D808B1">
                <w:pPr>
                  <w:jc w:val="center"/>
                  <w:rPr>
                    <w:sz w:val="20"/>
                  </w:rPr>
                </w:pPr>
                <w:r>
                  <w:rPr>
                    <w:iCs/>
                    <w:sz w:val="20"/>
                  </w:rPr>
                  <w:t>03 – neutralumas lyties požiūriu</w:t>
                </w:r>
              </w:p>
            </w:tc>
            <w:tc>
              <w:tcPr>
                <w:tcW w:w="1149" w:type="dxa"/>
              </w:tcPr>
              <w:p w:rsidR="00BC34F5" w:rsidRDefault="00D808B1">
                <w:pPr>
                  <w:jc w:val="center"/>
                  <w:rPr>
                    <w:sz w:val="20"/>
                  </w:rPr>
                </w:pPr>
                <w:r>
                  <w:rPr>
                    <w:sz w:val="20"/>
                  </w:rPr>
                  <w:t>Ne</w:t>
                </w:r>
              </w:p>
            </w:tc>
          </w:tr>
        </w:tbl>
        <w:p w:rsidR="00BC34F5" w:rsidRDefault="00BC34F5">
          <w:pPr>
            <w:ind w:firstLine="567"/>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BC34F5">
            <w:trPr>
              <w:trHeight w:val="405"/>
            </w:trPr>
            <w:tc>
              <w:tcPr>
                <w:tcW w:w="3688" w:type="dxa"/>
                <w:shd w:val="clear" w:color="auto" w:fill="auto"/>
                <w:vAlign w:val="center"/>
              </w:tcPr>
              <w:p w:rsidR="00BC34F5" w:rsidRDefault="00D808B1">
                <w:pPr>
                  <w:jc w:val="center"/>
                  <w:rPr>
                    <w:szCs w:val="24"/>
                  </w:rPr>
                </w:pPr>
                <w:r>
                  <w:rPr>
                    <w:szCs w:val="24"/>
                  </w:rPr>
                  <w:t>Rodiklio pavadinimas</w:t>
                </w:r>
              </w:p>
            </w:tc>
            <w:tc>
              <w:tcPr>
                <w:tcW w:w="3688" w:type="dxa"/>
                <w:shd w:val="clear" w:color="auto" w:fill="auto"/>
                <w:vAlign w:val="center"/>
              </w:tcPr>
              <w:p w:rsidR="00BC34F5" w:rsidRDefault="00D808B1">
                <w:pPr>
                  <w:jc w:val="center"/>
                  <w:rPr>
                    <w:szCs w:val="24"/>
                  </w:rPr>
                </w:pPr>
                <w:r>
                  <w:rPr>
                    <w:szCs w:val="24"/>
                  </w:rPr>
                  <w:t>Rodiklio kodas</w:t>
                </w:r>
              </w:p>
            </w:tc>
            <w:tc>
              <w:tcPr>
                <w:tcW w:w="3688" w:type="dxa"/>
                <w:shd w:val="clear" w:color="auto" w:fill="auto"/>
                <w:vAlign w:val="center"/>
              </w:tcPr>
              <w:p w:rsidR="00BC34F5" w:rsidRDefault="00D808B1">
                <w:pPr>
                  <w:jc w:val="center"/>
                  <w:rPr>
                    <w:szCs w:val="24"/>
                  </w:rPr>
                </w:pPr>
                <w:r>
                  <w:rPr>
                    <w:szCs w:val="24"/>
                  </w:rPr>
                  <w:t>Matavimo vienetai</w:t>
                </w:r>
              </w:p>
            </w:tc>
            <w:tc>
              <w:tcPr>
                <w:tcW w:w="4099" w:type="dxa"/>
                <w:shd w:val="clear" w:color="auto" w:fill="auto"/>
                <w:vAlign w:val="center"/>
              </w:tcPr>
              <w:p w:rsidR="00BC34F5" w:rsidRDefault="00D808B1">
                <w:pPr>
                  <w:jc w:val="center"/>
                  <w:rPr>
                    <w:szCs w:val="24"/>
                    <w:lang w:val="en-US"/>
                  </w:rPr>
                </w:pPr>
                <w:r>
                  <w:rPr>
                    <w:szCs w:val="24"/>
                  </w:rPr>
                  <w:t>Siektina reikšmė</w:t>
                </w:r>
              </w:p>
            </w:tc>
          </w:tr>
          <w:tr w:rsidR="00BC34F5">
            <w:trPr>
              <w:trHeight w:val="725"/>
            </w:trPr>
            <w:tc>
              <w:tcPr>
                <w:tcW w:w="3688" w:type="dxa"/>
                <w:vAlign w:val="center"/>
              </w:tcPr>
              <w:p w:rsidR="00BC34F5" w:rsidRDefault="00D808B1">
                <w:pPr>
                  <w:jc w:val="center"/>
                  <w:rPr>
                    <w:szCs w:val="24"/>
                  </w:rPr>
                </w:pPr>
                <w:r>
                  <w:rPr>
                    <w:szCs w:val="24"/>
                  </w:rPr>
                  <w:t>Asmenų, kurie dalyvavę mokymuose įgijo kompetenciją, dalis</w:t>
                </w:r>
              </w:p>
            </w:tc>
            <w:tc>
              <w:tcPr>
                <w:tcW w:w="3688" w:type="dxa"/>
                <w:vAlign w:val="center"/>
              </w:tcPr>
              <w:p w:rsidR="00BC34F5" w:rsidRDefault="00D808B1">
                <w:pPr>
                  <w:jc w:val="center"/>
                  <w:rPr>
                    <w:szCs w:val="24"/>
                  </w:rPr>
                </w:pPr>
                <w:r>
                  <w:rPr>
                    <w:szCs w:val="24"/>
                  </w:rPr>
                  <w:t>R-12-003-03-01-04-09</w:t>
                </w:r>
              </w:p>
              <w:p w:rsidR="00BC34F5" w:rsidRDefault="00D808B1">
                <w:pPr>
                  <w:jc w:val="center"/>
                  <w:rPr>
                    <w:szCs w:val="24"/>
                  </w:rPr>
                </w:pPr>
                <w:r>
                  <w:rPr>
                    <w:color w:val="000000"/>
                    <w:szCs w:val="24"/>
                    <w:lang w:eastAsia="lt-LT"/>
                  </w:rPr>
                  <w:t>R.S.2.3512</w:t>
                </w:r>
              </w:p>
            </w:tc>
            <w:tc>
              <w:tcPr>
                <w:tcW w:w="3688" w:type="dxa"/>
                <w:vAlign w:val="center"/>
              </w:tcPr>
              <w:p w:rsidR="00BC34F5" w:rsidRDefault="00D808B1">
                <w:pPr>
                  <w:jc w:val="center"/>
                  <w:rPr>
                    <w:szCs w:val="24"/>
                  </w:rPr>
                </w:pPr>
                <w:r>
                  <w:rPr>
                    <w:szCs w:val="24"/>
                  </w:rPr>
                  <w:t>Procentas</w:t>
                </w:r>
              </w:p>
            </w:tc>
            <w:tc>
              <w:tcPr>
                <w:tcW w:w="4099" w:type="dxa"/>
                <w:vAlign w:val="center"/>
              </w:tcPr>
              <w:p w:rsidR="00BC34F5" w:rsidRDefault="00D808B1">
                <w:pPr>
                  <w:jc w:val="center"/>
                  <w:rPr>
                    <w:szCs w:val="24"/>
                  </w:rPr>
                </w:pPr>
                <w:r>
                  <w:rPr>
                    <w:szCs w:val="24"/>
                  </w:rPr>
                  <w:t>80</w:t>
                </w:r>
              </w:p>
            </w:tc>
          </w:tr>
          <w:tr w:rsidR="00BC34F5">
            <w:trPr>
              <w:trHeight w:val="725"/>
            </w:trPr>
            <w:tc>
              <w:tcPr>
                <w:tcW w:w="3688" w:type="dxa"/>
                <w:vAlign w:val="center"/>
              </w:tcPr>
              <w:p w:rsidR="00BC34F5" w:rsidRDefault="00D808B1">
                <w:pPr>
                  <w:jc w:val="center"/>
                  <w:rPr>
                    <w:szCs w:val="24"/>
                  </w:rPr>
                </w:pPr>
                <w:r>
                  <w:rPr>
                    <w:szCs w:val="24"/>
                  </w:rPr>
                  <w:t>Asmenys, turintys tretinį (ISCED 5–8 kodai) išsilavinimą</w:t>
                </w:r>
              </w:p>
            </w:tc>
            <w:tc>
              <w:tcPr>
                <w:tcW w:w="3688" w:type="dxa"/>
                <w:vAlign w:val="center"/>
              </w:tcPr>
              <w:p w:rsidR="00BC34F5" w:rsidRDefault="00D808B1">
                <w:pPr>
                  <w:jc w:val="center"/>
                  <w:rPr>
                    <w:szCs w:val="24"/>
                  </w:rPr>
                </w:pPr>
                <w:r>
                  <w:rPr>
                    <w:szCs w:val="24"/>
                  </w:rPr>
                  <w:t>P-12-003-03-01-04-06</w:t>
                </w:r>
              </w:p>
              <w:p w:rsidR="00BC34F5" w:rsidRDefault="00D808B1">
                <w:pPr>
                  <w:jc w:val="center"/>
                  <w:rPr>
                    <w:szCs w:val="24"/>
                  </w:rPr>
                </w:pPr>
                <w:r>
                  <w:rPr>
                    <w:color w:val="000000"/>
                    <w:szCs w:val="24"/>
                    <w:lang w:eastAsia="lt-LT"/>
                  </w:rPr>
                  <w:t>P.B.2.0511</w:t>
                </w:r>
              </w:p>
            </w:tc>
            <w:tc>
              <w:tcPr>
                <w:tcW w:w="3688" w:type="dxa"/>
                <w:vAlign w:val="center"/>
              </w:tcPr>
              <w:p w:rsidR="00BC34F5" w:rsidRDefault="00D808B1">
                <w:pPr>
                  <w:jc w:val="center"/>
                  <w:rPr>
                    <w:szCs w:val="24"/>
                  </w:rPr>
                </w:pPr>
                <w:r>
                  <w:rPr>
                    <w:szCs w:val="24"/>
                  </w:rPr>
                  <w:t>Asmenys</w:t>
                </w:r>
              </w:p>
            </w:tc>
            <w:tc>
              <w:tcPr>
                <w:tcW w:w="4099" w:type="dxa"/>
                <w:vAlign w:val="center"/>
              </w:tcPr>
              <w:p w:rsidR="00BC34F5" w:rsidRDefault="00D808B1">
                <w:pPr>
                  <w:jc w:val="center"/>
                  <w:rPr>
                    <w:szCs w:val="24"/>
                  </w:rPr>
                </w:pPr>
                <w:r>
                  <w:rPr>
                    <w:szCs w:val="24"/>
                  </w:rPr>
                  <w:t>1 370</w:t>
                </w:r>
              </w:p>
            </w:tc>
          </w:tr>
        </w:tbl>
        <w:p w:rsidR="00BC34F5" w:rsidRDefault="00BC34F5">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C34F5">
            <w:trPr>
              <w:trHeight w:val="298"/>
            </w:trPr>
            <w:tc>
              <w:tcPr>
                <w:tcW w:w="15158" w:type="dxa"/>
              </w:tcPr>
              <w:p w:rsidR="00BC34F5" w:rsidRDefault="00D808B1">
                <w:pPr>
                  <w:jc w:val="both"/>
                  <w:rPr>
                    <w:szCs w:val="24"/>
                  </w:rPr>
                </w:pPr>
                <w:r>
                  <w:rPr>
                    <w:szCs w:val="24"/>
                  </w:rPr>
                  <w:t>Ministerijos stebėsenos rodiklių aprašymo kortelės</w:t>
                </w:r>
              </w:p>
            </w:tc>
          </w:tr>
          <w:tr w:rsidR="00BC34F5">
            <w:trPr>
              <w:trHeight w:val="315"/>
            </w:trPr>
            <w:tc>
              <w:tcPr>
                <w:tcW w:w="15158" w:type="dxa"/>
              </w:tcPr>
              <w:p w:rsidR="00BC34F5" w:rsidRDefault="00D808B1">
                <w:pPr>
                  <w:rPr>
                    <w:i/>
                    <w:szCs w:val="24"/>
                  </w:rPr>
                </w:pPr>
                <w:r>
                  <w:rPr>
                    <w:i/>
                    <w:color w:val="0563C1"/>
                    <w:szCs w:val="24"/>
                    <w:u w:val="single"/>
                  </w:rPr>
                  <w:t>https://smsm.lrv.lt/uploads/smsm/documents/files/Steb%C4%97senos%2Brodikli%C5%B3%2Bapra%C5%A1ym%C5%B3%2Bkortel%C4%97s_05-26.pdf</w:t>
                </w:r>
              </w:p>
            </w:tc>
          </w:tr>
        </w:tbl>
        <w:p w:rsidR="00BC34F5" w:rsidRDefault="00BC34F5">
          <w:pPr>
            <w:jc w:val="both"/>
            <w:rPr>
              <w:szCs w:val="24"/>
            </w:rPr>
          </w:pPr>
        </w:p>
        <w:p w:rsidR="00BC34F5" w:rsidRDefault="00BC34F5">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BC34F5">
            <w:tc>
              <w:tcPr>
                <w:tcW w:w="15134" w:type="dxa"/>
              </w:tcPr>
              <w:p w:rsidR="00BC34F5" w:rsidRDefault="00D808B1">
                <w:pPr>
                  <w:rPr>
                    <w:b/>
                    <w:szCs w:val="24"/>
                  </w:rPr>
                </w:pPr>
                <w:r>
                  <w:rPr>
                    <w:b/>
                    <w:szCs w:val="24"/>
                  </w:rPr>
                  <w:t>SPECIALIEJI FINANSAVIMO REIKALAVIMAI</w:t>
                </w:r>
              </w:p>
            </w:tc>
          </w:tr>
          <w:tr w:rsidR="00BC34F5">
            <w:tc>
              <w:tcPr>
                <w:tcW w:w="15134" w:type="dxa"/>
              </w:tcPr>
              <w:p w:rsidR="00BC34F5" w:rsidRDefault="00D808B1">
                <w:pPr>
                  <w:rPr>
                    <w:b/>
                    <w:bCs/>
                    <w:szCs w:val="24"/>
                  </w:rPr>
                </w:pPr>
                <w:r>
                  <w:rPr>
                    <w:b/>
                    <w:bCs/>
                    <w:szCs w:val="24"/>
                  </w:rPr>
                  <w:t>1. Taikomi teisės aktai</w:t>
                </w:r>
              </w:p>
            </w:tc>
          </w:tr>
          <w:tr w:rsidR="00BC34F5">
            <w:tc>
              <w:tcPr>
                <w:tcW w:w="15134" w:type="dxa"/>
              </w:tcPr>
              <w:p w:rsidR="00BC34F5" w:rsidRDefault="00D808B1">
                <w:pPr>
                  <w:jc w:val="both"/>
                  <w:rPr>
                    <w:iCs/>
                    <w:szCs w:val="24"/>
                  </w:rPr>
                </w:pPr>
                <w:r>
                  <w:rPr>
                    <w:iCs/>
                    <w:szCs w:val="24"/>
                  </w:rPr>
                  <w:t xml:space="preserve">Teisės aktai, kuriais vadovaujamasi rengiant, teikiant ir vertinant projektų įgyvendinimo planą (toliau – PĮP), priimant sprendimą dėl projektų finansavimo, sudarant projektų sutartį ir įgyvendinant projektą, finansuojamą pagal 2021–2030 m. plėtros programos valdytojos Lietuvos Respublikos švietimo, mokslo ir sporto ministerijos švietimo plėtros programos pažangos priemonės </w:t>
                </w:r>
                <w:r>
                  <w:rPr>
                    <w:szCs w:val="24"/>
                  </w:rPr>
                  <w:t>Nr. 12-003-03-01-04 „Užtikrinti visiems prieinamą ankstyvąjį ugdymą“</w:t>
                </w:r>
                <w:r>
                  <w:rPr>
                    <w:iCs/>
                    <w:szCs w:val="24"/>
                  </w:rPr>
                  <w:t xml:space="preserve"> projektų finansavimo sąlygų aprašą Nr. 3 (toliau – Aprašas):</w:t>
                </w:r>
              </w:p>
              <w:p w:rsidR="00BC34F5" w:rsidRDefault="00D808B1">
                <w:pPr>
                  <w:jc w:val="both"/>
                  <w:rPr>
                    <w:color w:val="000000"/>
                    <w:szCs w:val="24"/>
                    <w:lang w:eastAsia="lt-LT"/>
                  </w:rPr>
                </w:pPr>
                <w:r>
                  <w:rPr>
                    <w:color w:val="000000"/>
                    <w:szCs w:val="24"/>
                    <w:lang w:eastAsia="lt-LT"/>
                  </w:rPr>
                  <w:t>Bendrieji teisės aktai:</w:t>
                </w:r>
              </w:p>
              <w:p w:rsidR="00BC34F5" w:rsidRDefault="00D808B1">
                <w:pPr>
                  <w:jc w:val="both"/>
                  <w:rPr>
                    <w:color w:val="000000"/>
                    <w:szCs w:val="24"/>
                    <w:lang w:eastAsia="lt-LT"/>
                  </w:rPr>
                </w:pPr>
                <w:r>
                  <w:rPr>
                    <w:color w:val="000000"/>
                    <w:szCs w:val="24"/>
                    <w:lang w:eastAsia="lt-LT"/>
                  </w:rPr>
                  <w:t>1.1. Lietuvos Respublikos švietimo įstatymas;</w:t>
                </w:r>
              </w:p>
              <w:p w:rsidR="00BC34F5" w:rsidRDefault="00D808B1">
                <w:pPr>
                  <w:jc w:val="both"/>
                  <w:rPr>
                    <w:color w:val="000000"/>
                    <w:szCs w:val="24"/>
                    <w:lang w:eastAsia="lt-LT"/>
                  </w:rPr>
                </w:pPr>
                <w:r>
                  <w:rPr>
                    <w:color w:val="000000"/>
                    <w:szCs w:val="24"/>
                    <w:lang w:eastAsia="lt-LT"/>
                  </w:rPr>
                  <w:t>1.2. Aštuonioliktosios Lietuvos Respublikos Vyriausybės programa, kuriai pritarta Lietuvos Respublikos Seimo 2020 m. gruodžio 11 d. nutarimu Nr. XIV-72 „Dėl Aštuonioliktosios Lietuvos Respublikos Vyriausybės programos“;</w:t>
                </w:r>
              </w:p>
              <w:p w:rsidR="00BC34F5" w:rsidRDefault="00D808B1">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rsidR="00BC34F5" w:rsidRDefault="00BC34F5">
                <w:pPr>
                  <w:jc w:val="both"/>
                  <w:rPr>
                    <w:color w:val="000000"/>
                    <w:szCs w:val="24"/>
                    <w:lang w:eastAsia="lt-LT"/>
                  </w:rPr>
                </w:pPr>
              </w:p>
              <w:p w:rsidR="00BC34F5" w:rsidRDefault="00D808B1">
                <w:pPr>
                  <w:jc w:val="both"/>
                  <w:rPr>
                    <w:color w:val="000000"/>
                    <w:szCs w:val="24"/>
                    <w:lang w:eastAsia="lt-LT"/>
                  </w:rPr>
                </w:pPr>
                <w:r>
                  <w:rPr>
                    <w:color w:val="000000"/>
                    <w:szCs w:val="24"/>
                    <w:lang w:eastAsia="lt-LT"/>
                  </w:rPr>
                  <w:lastRenderedPageBreak/>
                  <w:t>1.4. 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rsidR="00BC34F5" w:rsidRDefault="00D808B1">
                <w:pPr>
                  <w:jc w:val="both"/>
                  <w:rPr>
                    <w:color w:val="000000"/>
                    <w:szCs w:val="24"/>
                    <w:lang w:eastAsia="lt-LT"/>
                  </w:rPr>
                </w:pPr>
                <w:r>
                  <w:rPr>
                    <w:color w:val="000000"/>
                    <w:szCs w:val="24"/>
                    <w:lang w:eastAsia="lt-LT"/>
                  </w:rPr>
                  <w:t>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BC34F5" w:rsidRDefault="00D808B1">
                <w:pPr>
                  <w:jc w:val="both"/>
                  <w:rPr>
                    <w:color w:val="000000"/>
                    <w:szCs w:val="24"/>
                    <w:lang w:eastAsia="lt-LT"/>
                  </w:rPr>
                </w:pPr>
                <w:r>
                  <w:rPr>
                    <w:color w:val="000000"/>
                    <w:szCs w:val="24"/>
                    <w:lang w:eastAsia="lt-LT"/>
                  </w:rPr>
                  <w:t>1.6. 2021–2030 metų nacionalinis pažangos planas, patvirtintas Lietuvos Respublikos Vyriausybės 2020 m. rugsėjo 9 d. nutarimu Nr. 998 „Dėl 2021–2030 metų nacionalinio pažangos plano patvirtinimo“;</w:t>
                </w:r>
              </w:p>
              <w:p w:rsidR="00BC34F5" w:rsidRDefault="00D808B1">
                <w:pPr>
                  <w:jc w:val="both"/>
                  <w:rPr>
                    <w:color w:val="000000"/>
                    <w:szCs w:val="24"/>
                    <w:lang w:eastAsia="lt-LT"/>
                  </w:rPr>
                </w:pPr>
                <w:r>
                  <w:rPr>
                    <w:color w:val="000000"/>
                    <w:szCs w:val="24"/>
                    <w:lang w:eastAsia="lt-LT"/>
                  </w:rPr>
                  <w:t xml:space="preserve">1.7. </w:t>
                </w:r>
                <w:r>
                  <w:rPr>
                    <w:szCs w:val="24"/>
                  </w:rPr>
                  <w:t>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w:t>
                </w:r>
              </w:p>
              <w:p w:rsidR="00BC34F5" w:rsidRDefault="00BC34F5">
                <w:pPr>
                  <w:jc w:val="both"/>
                  <w:rPr>
                    <w:iCs/>
                    <w:szCs w:val="24"/>
                  </w:rPr>
                </w:pPr>
              </w:p>
              <w:p w:rsidR="00BC34F5" w:rsidRDefault="00D808B1">
                <w:pPr>
                  <w:jc w:val="both"/>
                  <w:rPr>
                    <w:iCs/>
                    <w:szCs w:val="24"/>
                  </w:rPr>
                </w:pPr>
                <w:r>
                  <w:rPr>
                    <w:iCs/>
                    <w:szCs w:val="24"/>
                  </w:rPr>
                  <w:t>Apraše vartojamos sąvokos suprantamos taip, kaip jos apibrėžtos PAFT, Lietuvos Respublikos švietimo įstatyme ir anksčiau paminėtuose teisės aktuose.</w:t>
                </w:r>
              </w:p>
              <w:p w:rsidR="00BC34F5" w:rsidRDefault="00BC34F5">
                <w:pPr>
                  <w:jc w:val="both"/>
                  <w:rPr>
                    <w:i/>
                    <w:iCs/>
                    <w:sz w:val="22"/>
                    <w:szCs w:val="22"/>
                  </w:rPr>
                </w:pPr>
              </w:p>
            </w:tc>
          </w:tr>
          <w:tr w:rsidR="00BC34F5">
            <w:tc>
              <w:tcPr>
                <w:tcW w:w="15134" w:type="dxa"/>
              </w:tcPr>
              <w:p w:rsidR="00BC34F5" w:rsidRDefault="00D808B1">
                <w:pPr>
                  <w:rPr>
                    <w:b/>
                    <w:szCs w:val="24"/>
                  </w:rPr>
                </w:pPr>
                <w:r>
                  <w:rPr>
                    <w:b/>
                    <w:szCs w:val="24"/>
                  </w:rPr>
                  <w:lastRenderedPageBreak/>
                  <w:t>2. Reikalavimai projektams, pareiškėjams ir partneriams</w:t>
                </w:r>
              </w:p>
            </w:tc>
          </w:tr>
          <w:tr w:rsidR="00BC34F5">
            <w:tc>
              <w:tcPr>
                <w:tcW w:w="15134" w:type="dxa"/>
              </w:tcPr>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 Pagal Aprašą remiamos veiklos: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2.1.1. sukurti įstaigų, vykdančių ikimokyklinio ugdymo programas, stiprinimo paketą, apimantį mokymąsi vieniems iš kitų (angl. </w:t>
                </w:r>
                <w:r w:rsidRPr="00082207">
                  <w:rPr>
                    <w:i/>
                    <w:iCs/>
                    <w:szCs w:val="24"/>
                    <w:lang w:eastAsia="lt-LT"/>
                  </w:rPr>
                  <w:t>peer-learning</w:t>
                </w:r>
                <w:r w:rsidRPr="00082207">
                  <w:rPr>
                    <w:szCs w:val="24"/>
                    <w:lang w:eastAsia="lt-LT"/>
                  </w:rPr>
                  <w:t>), ikimokyklinio ugdymo mokytojų kompetencijų atnaujinimą ir stiprinimą, aprūpinimą moderniomis darbo vietomis. Aprūpinimas moderniomis darbo vietomis taikomas tik viešiesiems juridiniams asmenims;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2.1.2. ikimokyklinio ugdymo mokytojų kompetencijų atnaujinimas ir stiprinimas, aprūpinimas moderniomis darbo vietomis. Aprūpinimas moderniomis darbo vietomis taikomas tik viešiesiems juridiniams asmenims.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2.2. Galimas pareiškėjas – VšĮ Europos socialinio fondo agentūra.</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2.3. Galimi partneriai: savivaldybės, mokyklos (mokyklų konsorciumai); juridiniai asmenys, veikiantys švietimo srityje.</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2.4. Projektai atrenkami planavimo būdu.</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2.5. Pagal Aprašą teikiamo finansavimo forma – dotacija. </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lastRenderedPageBreak/>
                  <w:t>2.6. Pagal Aprašą numatoma veiklas įgyvendinti 2 etapais ir skelbti 2 kvietimus teikti projekto įgyvendinimo planą (toliau – PĮP). Numatoma 2.1.1 veiklą įgyvendinti pirmu etapu, 2.1.2 veiklą įgyvendinti antru etapu.</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2.7. Pagal Aprašą projektams įgyvendinti skiriama iki 6 000 000 Eur (šešių milijonų eurų), iš kurių: iki 5 100 000 Eur (penkių milijonų šimto tūkstančių eurų) Europos Sąjungos fondų lėšų ir iki 900 000 Eur (devynių šimtų tūkstančių eurų) Europos Sąjungos fondų bendrojo finansavimo lėšų. Pirmo kvietimo projektui įgyvendinti skiriama iki 1 000 000 Eur (vieno milijono eurų), iš kurių: iki 850 000 Eur (aštuonių šimtų penkiasdešimt tūkstančių eurų) Europos Sąjungos fondų lėšų ir iki 150 000 Eur (vieno šimto penkiasdešimt tūkstančių eurų) Europos Sąjungos fondų bendrojo finansavimo lėšų. Antrojo kvietimo projektui įgyvendinti skiriama iki 5 000 000 Eur (penkių milijonų eurų) iš kurių: iki 4 250 000 Eur (keturių milijonų dviejų šimtų penkiasdešimt tūkstančių eurų) Europos Sąjungos fondų lėšų ir iki 750 000Eur (septynių šimtų penkiasdešimt tūkstančių eurų) Europos Sąjungos fondų bendrojo finansavimo lėšų. Jei pirmojo kvietimo metu būtų panaudotos ne visos pirmajam kvietimui skirtos lėšos, jos automatiškai persikelia į antrąjį kvietimą.</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2.8. Projektuose siekiama stebėsenos rodiklių:</w:t>
                </w:r>
                <w:r w:rsidRPr="00082207">
                  <w:rPr>
                    <w:sz w:val="2"/>
                    <w:szCs w:val="2"/>
                    <w:lang w:eastAsia="lt-LT"/>
                  </w:rPr>
                  <w:t> </w:t>
                </w:r>
              </w:p>
              <w:tbl>
                <w:tblPr>
                  <w:tblW w:w="0" w:type="dxa"/>
                  <w:tblLayout w:type="fixed"/>
                  <w:tblCellMar>
                    <w:left w:w="0" w:type="dxa"/>
                    <w:right w:w="0" w:type="dxa"/>
                  </w:tblCellMar>
                  <w:tblLook w:val="04A0" w:firstRow="1" w:lastRow="0" w:firstColumn="1" w:lastColumn="0" w:noHBand="0" w:noVBand="1"/>
                </w:tblPr>
                <w:tblGrid>
                  <w:gridCol w:w="2709"/>
                  <w:gridCol w:w="2410"/>
                  <w:gridCol w:w="2126"/>
                  <w:gridCol w:w="1701"/>
                </w:tblGrid>
                <w:tr w:rsidR="00082207" w:rsidRPr="00082207" w:rsidTr="00082207">
                  <w:trPr>
                    <w:trHeight w:val="405"/>
                  </w:trPr>
                  <w:tc>
                    <w:tcPr>
                      <w:tcW w:w="8946" w:type="dxa"/>
                      <w:gridSpan w:val="4"/>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b/>
                          <w:bCs/>
                          <w:szCs w:val="24"/>
                          <w:lang w:eastAsia="lt-LT"/>
                        </w:rPr>
                        <w:t>1 kvietimo siekiami rodikliai</w:t>
                      </w:r>
                    </w:p>
                  </w:tc>
                </w:tr>
                <w:tr w:rsidR="00082207" w:rsidRPr="00082207" w:rsidTr="00082207">
                  <w:trPr>
                    <w:trHeight w:val="405"/>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Matavimo 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 xml:space="preserve">Siektina reikšmė </w:t>
                      </w:r>
                    </w:p>
                  </w:tc>
                </w:tr>
                <w:tr w:rsidR="00082207" w:rsidRPr="00082207" w:rsidTr="00082207">
                  <w:trPr>
                    <w:trHeight w:val="416"/>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Asmenų, kurie dalyvavę mokymuose 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R-12-003-03-01-04-09</w:t>
                      </w:r>
                    </w:p>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color w:val="000000"/>
                          <w:szCs w:val="24"/>
                          <w:lang w:eastAsia="lt-LT"/>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80</w:t>
                      </w:r>
                    </w:p>
                  </w:tc>
                </w:tr>
                <w:tr w:rsidR="00082207" w:rsidRPr="00082207" w:rsidTr="00082207">
                  <w:trPr>
                    <w:trHeight w:val="416"/>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P-12-003-03-01-04-06</w:t>
                      </w:r>
                    </w:p>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color w:val="000000"/>
                          <w:szCs w:val="24"/>
                          <w:lang w:eastAsia="lt-LT"/>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15</w:t>
                      </w:r>
                    </w:p>
                  </w:tc>
                </w:tr>
              </w:tbl>
              <w:p w:rsidR="00082207" w:rsidRPr="00082207" w:rsidRDefault="00082207" w:rsidP="00082207">
                <w:pPr>
                  <w:spacing w:before="100" w:beforeAutospacing="1" w:after="100" w:afterAutospacing="1"/>
                  <w:rPr>
                    <w:szCs w:val="24"/>
                    <w:lang w:eastAsia="lt-LT"/>
                  </w:rPr>
                </w:pPr>
                <w:r w:rsidRPr="00082207">
                  <w:rPr>
                    <w:sz w:val="2"/>
                    <w:szCs w:val="2"/>
                    <w:lang w:eastAsia="lt-LT"/>
                  </w:rPr>
                  <w:t> </w:t>
                </w:r>
              </w:p>
              <w:tbl>
                <w:tblPr>
                  <w:tblW w:w="0" w:type="dxa"/>
                  <w:tblLayout w:type="fixed"/>
                  <w:tblCellMar>
                    <w:left w:w="0" w:type="dxa"/>
                    <w:right w:w="0" w:type="dxa"/>
                  </w:tblCellMar>
                  <w:tblLook w:val="04A0" w:firstRow="1" w:lastRow="0" w:firstColumn="1" w:lastColumn="0" w:noHBand="0" w:noVBand="1"/>
                </w:tblPr>
                <w:tblGrid>
                  <w:gridCol w:w="2709"/>
                  <w:gridCol w:w="2410"/>
                  <w:gridCol w:w="2126"/>
                  <w:gridCol w:w="1701"/>
                </w:tblGrid>
                <w:tr w:rsidR="00082207" w:rsidRPr="00082207" w:rsidTr="00082207">
                  <w:trPr>
                    <w:trHeight w:val="405"/>
                  </w:trPr>
                  <w:tc>
                    <w:tcPr>
                      <w:tcW w:w="8946" w:type="dxa"/>
                      <w:gridSpan w:val="4"/>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b/>
                          <w:bCs/>
                          <w:szCs w:val="24"/>
                          <w:lang w:eastAsia="lt-LT"/>
                        </w:rPr>
                        <w:t>2 kvietimo siekiami rodikliai</w:t>
                      </w:r>
                    </w:p>
                  </w:tc>
                </w:tr>
                <w:tr w:rsidR="00082207" w:rsidRPr="00082207" w:rsidTr="00082207">
                  <w:trPr>
                    <w:trHeight w:val="405"/>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Matavimo 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 xml:space="preserve">Siektina reikšmė </w:t>
                      </w:r>
                    </w:p>
                  </w:tc>
                </w:tr>
                <w:tr w:rsidR="00082207" w:rsidRPr="00082207" w:rsidTr="00082207">
                  <w:trPr>
                    <w:trHeight w:val="405"/>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Asmenų, kurie dalyvavę mokymuose 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R-12-003-03-01-04-09</w:t>
                      </w:r>
                    </w:p>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color w:val="000000"/>
                          <w:szCs w:val="24"/>
                          <w:lang w:eastAsia="lt-LT"/>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80</w:t>
                      </w:r>
                    </w:p>
                  </w:tc>
                </w:tr>
                <w:tr w:rsidR="00082207" w:rsidRPr="00082207" w:rsidTr="00082207">
                  <w:trPr>
                    <w:trHeight w:val="416"/>
                  </w:trPr>
                  <w:tc>
                    <w:tcPr>
                      <w:tcW w:w="270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lastRenderedPageBreak/>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P-12-003-03-01-04-06</w:t>
                      </w:r>
                    </w:p>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color w:val="000000"/>
                          <w:szCs w:val="24"/>
                          <w:lang w:eastAsia="lt-LT"/>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82207" w:rsidRPr="00082207" w:rsidRDefault="00082207" w:rsidP="00082207">
                      <w:pPr>
                        <w:overflowPunct w:val="0"/>
                        <w:spacing w:before="100" w:beforeAutospacing="1" w:after="100" w:afterAutospacing="1"/>
                        <w:jc w:val="center"/>
                        <w:textAlignment w:val="baseline"/>
                        <w:rPr>
                          <w:szCs w:val="24"/>
                          <w:lang w:eastAsia="lt-LT"/>
                        </w:rPr>
                      </w:pPr>
                      <w:r w:rsidRPr="00082207">
                        <w:rPr>
                          <w:szCs w:val="24"/>
                          <w:lang w:eastAsia="lt-LT"/>
                        </w:rPr>
                        <w:t>1 355</w:t>
                      </w:r>
                    </w:p>
                  </w:tc>
                </w:tr>
              </w:tbl>
              <w:p w:rsidR="00082207" w:rsidRPr="00082207" w:rsidRDefault="00082207" w:rsidP="00082207">
                <w:pPr>
                  <w:spacing w:before="100" w:beforeAutospacing="1" w:after="100" w:afterAutospacing="1"/>
                  <w:rPr>
                    <w:szCs w:val="24"/>
                    <w:lang w:eastAsia="lt-LT"/>
                  </w:rPr>
                </w:pP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2.9. Pagal Aprašą įgyvendinamos projektų veiklos priskiriamos vienam iš regionų, nepriklausomai nuo to, kurio regiono tikslinei grupei skirta projektų veikla. Įgyvendinant Aprašo 2.1.1  ir  2.1.2  papunkčiuose nurodytas poveikles, jose gali dalyvauti tikslinės grupės asmenys iš visos Lietuvos.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2.10. Taikant Reglamento (ES) 63 straipsnio 3 dalies nuostatą dėl ESF+ projektų, tinkama tikslinė grupė ar jos dalis ir su veiksmais susijusios išlaidos, esant pagrįstam poreikiui, gali būti priskiriamos vienam iš regionų, neatsižvelgiant į tai, kuriame regione asmenys gyvena ar dirba, su sąlyga, kad veiksmas padeda siekti konkrečių programos tikslų.</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2.11. Projektai gali būti įgyvendinami Sostinės regione ir Vidurio ir vakarų Lietuvos regione. Prireikus dalis veiklų gali būti įgyvendinamos Europos Sąjungos, Europos ekonominės erdvės šalių ir Jungtinės Didžiosios Britanijos ir Šiaurės Airijos Karalystės teritorijoje. </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2.12. Projektai turi atitikti projektų bendruosius atrankos kriterijus, nustatytus Strateginio valdymo metodikos 36 punkte ir PAFT 2 priede.</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2.13. Projektų veiklos turi būti įgyvendintos per 36 mėnesius nuo projekto sutarties įsigaliojimo. Pirmojo kvietimo projekto veiklos turi būti įgyvendintos per 12 mėn. Antrojo kvietimo projekto veiklos turi būti įgyvendintos per 24 mėn. Prireikus projekto veiklos gali būti pratęstos pagrįstam laikotarpiui, bet ne vėliau kaip iki 2029 m. rugpjūčio 31 d.</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2.14. Projektų matomumo ir informavimo apie projektą veiksmai atliekami vadovaujantis PAFT VIII skyriaus pirmojo skirsnio nuostatomis.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2.15. Kartu su PĮP turi būti pateikta: </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2.15.1. partnerių deklaracijos pagal PAFT 1 priedo 1 priedą; </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2.15.2. informacija apie projektų biudžeto paskirstymą pagal pareiškėjus ir partnerius pagal PAFT 1 priedo 2 priedą;</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2.15.3. dokumentai, pagrindžiantys projektų išlaidų pagrįstumą (sudarytos sutartys, komerciniai siūlymai, nuorodos į rinkoje esančias kainas), išlaidų skaičiavimai;</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2.15.4. projektų atitiktį bendriesiems projektų atrankos kriterijams, nurodytiems PAFT 2 priede, patvirtinantys dokumentai.</w:t>
                </w:r>
              </w:p>
              <w:p w:rsidR="00BC34F5" w:rsidRDefault="00BC34F5" w:rsidP="00082207">
                <w:pPr>
                  <w:jc w:val="both"/>
                  <w:rPr>
                    <w:i/>
                    <w:iCs/>
                    <w:szCs w:val="24"/>
                  </w:rPr>
                </w:pPr>
              </w:p>
            </w:tc>
          </w:tr>
          <w:tr w:rsidR="00BC34F5">
            <w:tc>
              <w:tcPr>
                <w:tcW w:w="15134" w:type="dxa"/>
              </w:tcPr>
              <w:p w:rsidR="00BC34F5" w:rsidRDefault="00D808B1">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C34F5">
            <w:trPr>
              <w:trHeight w:val="308"/>
            </w:trPr>
            <w:tc>
              <w:tcPr>
                <w:tcW w:w="15134" w:type="dxa"/>
              </w:tcPr>
              <w:p w:rsidR="00BC34F5" w:rsidRDefault="00D808B1">
                <w:pPr>
                  <w:jc w:val="both"/>
                  <w:rPr>
                    <w:szCs w:val="24"/>
                  </w:rPr>
                </w:pPr>
                <w:r>
                  <w:rPr>
                    <w:szCs w:val="24"/>
                  </w:rPr>
                  <w:t>Netaikoma.</w:t>
                </w:r>
              </w:p>
            </w:tc>
          </w:tr>
          <w:tr w:rsidR="00BC34F5">
            <w:trPr>
              <w:trHeight w:val="285"/>
            </w:trPr>
            <w:tc>
              <w:tcPr>
                <w:tcW w:w="15134" w:type="dxa"/>
              </w:tcPr>
              <w:p w:rsidR="00BC34F5" w:rsidRDefault="00D808B1">
                <w:pPr>
                  <w:rPr>
                    <w:b/>
                    <w:szCs w:val="24"/>
                  </w:rPr>
                </w:pPr>
                <w:r>
                  <w:rPr>
                    <w:b/>
                    <w:szCs w:val="24"/>
                  </w:rPr>
                  <w:t>4. Projekto tikslinės grupės</w:t>
                </w:r>
              </w:p>
            </w:tc>
          </w:tr>
          <w:tr w:rsidR="00BC34F5">
            <w:trPr>
              <w:trHeight w:val="285"/>
            </w:trPr>
            <w:tc>
              <w:tcPr>
                <w:tcW w:w="15134" w:type="dxa"/>
              </w:tcPr>
              <w:p w:rsidR="00BC34F5" w:rsidRDefault="00082207" w:rsidP="00082207">
                <w:pPr>
                  <w:jc w:val="both"/>
                  <w:rPr>
                    <w:sz w:val="22"/>
                    <w:szCs w:val="22"/>
                  </w:rPr>
                </w:pPr>
                <w:r>
                  <w:t>Galima projektų tikslinė grupė – pedagogai, švietimo pagalbos specialistai, ikimokyklinio ir priešmokyklinio ugdymo programas įgyvendinančių įstaigų vadovai, viešojo administravimo institu</w:t>
                </w:r>
                <w:r>
                  <w:t>cijų specialistai.</w:t>
                </w:r>
              </w:p>
            </w:tc>
          </w:tr>
          <w:tr w:rsidR="00BC34F5">
            <w:trPr>
              <w:trHeight w:val="285"/>
            </w:trPr>
            <w:tc>
              <w:tcPr>
                <w:tcW w:w="15134" w:type="dxa"/>
              </w:tcPr>
              <w:p w:rsidR="00BC34F5" w:rsidRDefault="00D808B1">
                <w:pPr>
                  <w:rPr>
                    <w:sz w:val="22"/>
                    <w:szCs w:val="22"/>
                  </w:rPr>
                </w:pPr>
                <w:r>
                  <w:rPr>
                    <w:b/>
                    <w:szCs w:val="24"/>
                  </w:rPr>
                  <w:t>5</w:t>
                </w:r>
                <w:r>
                  <w:rPr>
                    <w:szCs w:val="24"/>
                  </w:rPr>
                  <w:t xml:space="preserve">. </w:t>
                </w:r>
                <w:r>
                  <w:rPr>
                    <w:b/>
                    <w:szCs w:val="24"/>
                  </w:rPr>
                  <w:t>Horizontaliųjų principų reikalavimai</w:t>
                </w:r>
              </w:p>
            </w:tc>
          </w:tr>
          <w:tr w:rsidR="00BC34F5">
            <w:tc>
              <w:tcPr>
                <w:tcW w:w="15134" w:type="dxa"/>
              </w:tcPr>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5.1. Projektuose negali būti numatyta:</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principui įgyvendinti;</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5.1.2. veiksmų, kurie turėtų neigiamą poveikį darnaus vystymosi principui įgyvendinti.</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5.2. Projektuose turi būti numatyta:</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5.2.1. organizuodamas mokymus projektų vykdytojas prieš projektų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5.2.2. įgyvendinant projektų veiklas (kuriant produktus ir vykdant mokymus), turi būti įtrauktas lyčių lygybės aspektas, pvz., temos apie lyčių stereotipų mažinimą.</w:t>
                </w:r>
                <w:r w:rsidRPr="00082207">
                  <w:rPr>
                    <w:sz w:val="2"/>
                    <w:szCs w:val="2"/>
                    <w:lang w:eastAsia="lt-LT"/>
                  </w:rPr>
                  <w:t> </w:t>
                </w:r>
              </w:p>
              <w:p w:rsidR="00BC34F5" w:rsidRDefault="00082207" w:rsidP="00082207">
                <w:pPr>
                  <w:overflowPunct w:val="0"/>
                  <w:spacing w:before="100" w:beforeAutospacing="1" w:after="100" w:afterAutospacing="1"/>
                  <w:jc w:val="both"/>
                  <w:textAlignment w:val="baseline"/>
                  <w:rPr>
                    <w:i/>
                    <w:iCs/>
                    <w:sz w:val="22"/>
                    <w:szCs w:val="22"/>
                  </w:rPr>
                </w:pPr>
                <w:r w:rsidRPr="00082207">
                  <w:rPr>
                    <w:szCs w:val="24"/>
                    <w:lang w:eastAsia="lt-LT"/>
                  </w:rP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BC34F5">
            <w:tc>
              <w:tcPr>
                <w:tcW w:w="15134" w:type="dxa"/>
              </w:tcPr>
              <w:p w:rsidR="00BC34F5" w:rsidRDefault="00D808B1">
                <w:pPr>
                  <w:spacing w:line="259" w:lineRule="auto"/>
                  <w:jc w:val="both"/>
                  <w:rPr>
                    <w:b/>
                    <w:iCs/>
                    <w:szCs w:val="24"/>
                  </w:rPr>
                </w:pPr>
                <w:r>
                  <w:rPr>
                    <w:b/>
                    <w:iCs/>
                    <w:szCs w:val="24"/>
                  </w:rPr>
                  <w:t>6. Europos Sąjungos pagrindinių teisių chartijos (toliau – Chartija) reikalavimai</w:t>
                </w:r>
              </w:p>
            </w:tc>
          </w:tr>
          <w:tr w:rsidR="00BC34F5">
            <w:tc>
              <w:tcPr>
                <w:tcW w:w="15134" w:type="dxa"/>
              </w:tcPr>
              <w:p w:rsidR="00BC34F5" w:rsidRDefault="00D808B1">
                <w:pPr>
                  <w:jc w:val="both"/>
                  <w:rPr>
                    <w:i/>
                    <w:iCs/>
                    <w:sz w:val="22"/>
                    <w:szCs w:val="22"/>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rsidR="00BC34F5">
            <w:tc>
              <w:tcPr>
                <w:tcW w:w="15134" w:type="dxa"/>
              </w:tcPr>
              <w:p w:rsidR="00BC34F5" w:rsidRDefault="00D808B1">
                <w:pPr>
                  <w:rPr>
                    <w:b/>
                    <w:szCs w:val="24"/>
                  </w:rPr>
                </w:pPr>
                <w:r>
                  <w:rPr>
                    <w:b/>
                    <w:szCs w:val="24"/>
                  </w:rPr>
                  <w:t>7. Apskritis, kurioje gali būti įgyvendinami projektai</w:t>
                </w:r>
              </w:p>
            </w:tc>
          </w:tr>
          <w:tr w:rsidR="00BC34F5">
            <w:tc>
              <w:tcPr>
                <w:tcW w:w="15134" w:type="dxa"/>
              </w:tcPr>
              <w:p w:rsidR="00BC34F5" w:rsidRDefault="00D808B1">
                <w:pPr>
                  <w:jc w:val="both"/>
                  <w:rPr>
                    <w:szCs w:val="24"/>
                  </w:rPr>
                </w:pPr>
                <w:r>
                  <w:rPr>
                    <w:szCs w:val="24"/>
                  </w:rPr>
                  <w:t>Netaikoma.</w:t>
                </w:r>
              </w:p>
            </w:tc>
          </w:tr>
          <w:tr w:rsidR="00BC34F5">
            <w:tc>
              <w:tcPr>
                <w:tcW w:w="15134" w:type="dxa"/>
              </w:tcPr>
              <w:p w:rsidR="00BC34F5" w:rsidRDefault="00D808B1">
                <w:pPr>
                  <w:jc w:val="both"/>
                  <w:rPr>
                    <w:szCs w:val="24"/>
                  </w:rPr>
                </w:pPr>
                <w:r>
                  <w:rPr>
                    <w:b/>
                    <w:szCs w:val="24"/>
                  </w:rPr>
                  <w:lastRenderedPageBreak/>
                  <w:t>8.</w:t>
                </w:r>
                <w:r>
                  <w:rPr>
                    <w:szCs w:val="24"/>
                  </w:rPr>
                  <w:t xml:space="preserve"> </w:t>
                </w:r>
                <w:r>
                  <w:rPr>
                    <w:b/>
                    <w:szCs w:val="24"/>
                  </w:rPr>
                  <w:t>Reikalavimai valstybės pagalbai (kurie nėra nurodyti kituose Aprašo punktuose)</w:t>
                </w:r>
              </w:p>
            </w:tc>
          </w:tr>
          <w:tr w:rsidR="00BC34F5">
            <w:tc>
              <w:tcPr>
                <w:tcW w:w="15134" w:type="dxa"/>
              </w:tcPr>
              <w:p w:rsidR="00BC34F5" w:rsidRDefault="00D808B1">
                <w:pPr>
                  <w:jc w:val="both"/>
                  <w:rPr>
                    <w:iCs/>
                    <w:szCs w:val="24"/>
                  </w:rPr>
                </w:pPr>
                <w:r>
                  <w:rPr>
                    <w:iCs/>
                    <w:szCs w:val="24"/>
                  </w:rPr>
                  <w:t xml:space="preserve">8.1.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rsidR="00BC34F5" w:rsidRDefault="00D808B1">
                <w:pPr>
                  <w:jc w:val="both"/>
                  <w:rPr>
                    <w:i/>
                    <w:iCs/>
                    <w:sz w:val="22"/>
                    <w:szCs w:val="22"/>
                  </w:rPr>
                </w:pPr>
                <w:r>
                  <w:rPr>
                    <w:iCs/>
                    <w:szCs w:val="24"/>
                  </w:rPr>
                  <w:t xml:space="preserve">8.2. Pagal Aprašą, valstybės pagalba, kuri atitinka 2014 m. birželio 17 d. Komisijos reglamento (ES) Nr. 651/2014, kuriuo tam tikrų kategorijų pagalba skelbiama suderinama su vidaus rinka taikant Sutarties 107 ir 108 straipsnius, neteikiama. </w:t>
                </w:r>
              </w:p>
            </w:tc>
          </w:tr>
          <w:tr w:rsidR="00BC34F5">
            <w:tc>
              <w:tcPr>
                <w:tcW w:w="15134" w:type="dxa"/>
              </w:tcPr>
              <w:p w:rsidR="00BC34F5" w:rsidRDefault="00D808B1">
                <w:pPr>
                  <w:ind w:left="426" w:hanging="426"/>
                  <w:jc w:val="both"/>
                  <w:rPr>
                    <w:szCs w:val="24"/>
                  </w:rPr>
                </w:pPr>
                <w:r>
                  <w:rPr>
                    <w:b/>
                    <w:szCs w:val="24"/>
                  </w:rPr>
                  <w:t>9.</w:t>
                </w:r>
                <w:r>
                  <w:rPr>
                    <w:szCs w:val="24"/>
                  </w:rPr>
                  <w:t xml:space="preserve"> </w:t>
                </w:r>
                <w:r>
                  <w:rPr>
                    <w:b/>
                    <w:szCs w:val="24"/>
                  </w:rPr>
                  <w:t>Projektų atrankos kriterijai</w:t>
                </w:r>
              </w:p>
              <w:p w:rsidR="00BC34F5" w:rsidRDefault="00D808B1">
                <w:pPr>
                  <w:jc w:val="both"/>
                  <w:rPr>
                    <w:i/>
                    <w:szCs w:val="24"/>
                  </w:rPr>
                </w:pPr>
                <w:r>
                  <w:t xml:space="preserve">(Kiekvienas projektas turi atitikti </w:t>
                </w:r>
                <w:r>
                  <w:rPr>
                    <w:iCs/>
                    <w:color w:val="000000"/>
                  </w:rPr>
                  <w:t>PAFT 2 priede nustatytus projektų bendruosius atrankos kriterijus).</w:t>
                </w:r>
              </w:p>
            </w:tc>
          </w:tr>
          <w:tr w:rsidR="00BC34F5">
            <w:trPr>
              <w:trHeight w:val="338"/>
            </w:trPr>
            <w:tc>
              <w:tcPr>
                <w:tcW w:w="15134" w:type="dxa"/>
              </w:tcPr>
              <w:p w:rsidR="00BC34F5" w:rsidRDefault="00D808B1">
                <w:pPr>
                  <w:jc w:val="both"/>
                  <w:rPr>
                    <w:iCs/>
                    <w:szCs w:val="24"/>
                  </w:rPr>
                </w:pPr>
                <w:r>
                  <w:rPr>
                    <w:iCs/>
                    <w:szCs w:val="24"/>
                  </w:rPr>
                  <w:t>Netaikoma.</w:t>
                </w:r>
              </w:p>
            </w:tc>
          </w:tr>
          <w:tr w:rsidR="00BC34F5">
            <w:trPr>
              <w:trHeight w:val="309"/>
            </w:trPr>
            <w:tc>
              <w:tcPr>
                <w:tcW w:w="15134" w:type="dxa"/>
              </w:tcPr>
              <w:p w:rsidR="00BC34F5" w:rsidRDefault="00D808B1">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BC34F5" w:rsidRDefault="00D808B1">
                <w:pPr>
                  <w:jc w:val="both"/>
                  <w:rPr>
                    <w:i/>
                    <w:sz w:val="22"/>
                    <w:szCs w:val="22"/>
                  </w:rPr>
                </w:pPr>
                <w:r>
                  <w:t>(Kiekvienas jungtinio projekto projektas turi atitikti</w:t>
                </w:r>
                <w:r>
                  <w:rPr>
                    <w:iCs/>
                    <w:color w:val="000000"/>
                  </w:rPr>
                  <w:t xml:space="preserve"> PAFT 2 priede nustatytus projektų bendruosius atrankos kriterijus).</w:t>
                </w:r>
              </w:p>
            </w:tc>
          </w:tr>
          <w:tr w:rsidR="00BC34F5">
            <w:trPr>
              <w:trHeight w:val="521"/>
            </w:trPr>
            <w:tc>
              <w:tcPr>
                <w:tcW w:w="15134" w:type="dxa"/>
              </w:tcPr>
              <w:p w:rsidR="00BC34F5" w:rsidRDefault="00D808B1">
                <w:pPr>
                  <w:jc w:val="both"/>
                  <w:rPr>
                    <w:iCs/>
                    <w:szCs w:val="24"/>
                  </w:rPr>
                </w:pPr>
                <w:r>
                  <w:rPr>
                    <w:iCs/>
                    <w:szCs w:val="24"/>
                  </w:rPr>
                  <w:t>Netaikoma.</w:t>
                </w:r>
              </w:p>
            </w:tc>
          </w:tr>
          <w:tr w:rsidR="00BC34F5">
            <w:tc>
              <w:tcPr>
                <w:tcW w:w="15134" w:type="dxa"/>
              </w:tcPr>
              <w:p w:rsidR="00BC34F5" w:rsidRDefault="00D808B1">
                <w:pPr>
                  <w:rPr>
                    <w:szCs w:val="24"/>
                  </w:rPr>
                </w:pPr>
                <w:r>
                  <w:rPr>
                    <w:b/>
                    <w:szCs w:val="24"/>
                  </w:rPr>
                  <w:t>11.</w:t>
                </w:r>
                <w:r>
                  <w:rPr>
                    <w:szCs w:val="24"/>
                  </w:rPr>
                  <w:t xml:space="preserve"> </w:t>
                </w:r>
                <w:r>
                  <w:rPr>
                    <w:b/>
                    <w:szCs w:val="24"/>
                  </w:rPr>
                  <w:t>Reikalavimai, įgyvendinus projektų veiklas</w:t>
                </w:r>
              </w:p>
            </w:tc>
          </w:tr>
          <w:tr w:rsidR="00BC34F5">
            <w:tc>
              <w:tcPr>
                <w:tcW w:w="15134" w:type="dxa"/>
              </w:tcPr>
              <w:p w:rsidR="00BC34F5" w:rsidRDefault="00D808B1">
                <w:pPr>
                  <w:jc w:val="both"/>
                  <w:rPr>
                    <w:i/>
                    <w:sz w:val="22"/>
                    <w:szCs w:val="22"/>
                  </w:rPr>
                </w:pPr>
                <w:r>
                  <w:rPr>
                    <w:szCs w:val="24"/>
                  </w:rPr>
                  <w:t>Papildomi reikalavimai, įgyvendinus projektų veiklas, nei numatyta PAFT, netaikomi.</w:t>
                </w:r>
              </w:p>
            </w:tc>
          </w:tr>
          <w:tr w:rsidR="00BC34F5">
            <w:tc>
              <w:tcPr>
                <w:tcW w:w="15134" w:type="dxa"/>
              </w:tcPr>
              <w:p w:rsidR="00BC34F5" w:rsidRDefault="00D808B1">
                <w:pPr>
                  <w:rPr>
                    <w:szCs w:val="24"/>
                  </w:rPr>
                </w:pPr>
                <w:r>
                  <w:rPr>
                    <w:b/>
                    <w:szCs w:val="24"/>
                  </w:rPr>
                  <w:t>12.</w:t>
                </w:r>
                <w:r>
                  <w:rPr>
                    <w:szCs w:val="24"/>
                  </w:rPr>
                  <w:t xml:space="preserve"> </w:t>
                </w:r>
                <w:r>
                  <w:rPr>
                    <w:b/>
                    <w:szCs w:val="24"/>
                  </w:rPr>
                  <w:t>Kiti reikalavimai</w:t>
                </w:r>
              </w:p>
            </w:tc>
          </w:tr>
          <w:tr w:rsidR="00BC34F5">
            <w:tc>
              <w:tcPr>
                <w:tcW w:w="15134" w:type="dxa"/>
              </w:tcPr>
              <w:p w:rsidR="00082207" w:rsidRDefault="00082207" w:rsidP="00082207">
                <w:pPr>
                  <w:overflowPunct w:val="0"/>
                  <w:spacing w:before="100" w:beforeAutospacing="1" w:after="100" w:afterAutospacing="1"/>
                  <w:jc w:val="both"/>
                  <w:textAlignment w:val="baseline"/>
                  <w:rPr>
                    <w:sz w:val="2"/>
                    <w:szCs w:val="2"/>
                    <w:lang w:eastAsia="lt-LT"/>
                  </w:rPr>
                </w:pPr>
                <w:r w:rsidRPr="00082207">
                  <w:rPr>
                    <w:szCs w:val="24"/>
                    <w:lang w:eastAsia="lt-LT"/>
                  </w:rPr>
                  <w:t xml:space="preserve">12.1. Administruojanti institucija turi informuoti Lietuvos Respublikos švietimo, mokslo ir sporto ministeriją (toliau – Ministerija), jeigu vertinimo metu nustatyta, kad pareiškėjo pateiktas PĮP neatitinka šio Aprašo 2.15 papunkčio. </w:t>
                </w:r>
                <w:r w:rsidRPr="00082207">
                  <w:rPr>
                    <w:sz w:val="2"/>
                    <w:szCs w:val="2"/>
                    <w:lang w:eastAsia="lt-LT"/>
                  </w:rPr>
                  <w:t> </w:t>
                </w:r>
              </w:p>
              <w:p w:rsidR="00BC34F5" w:rsidRDefault="00082207" w:rsidP="00082207">
                <w:pPr>
                  <w:overflowPunct w:val="0"/>
                  <w:spacing w:before="100" w:beforeAutospacing="1" w:after="100" w:afterAutospacing="1"/>
                  <w:jc w:val="both"/>
                  <w:textAlignment w:val="baseline"/>
                  <w:rPr>
                    <w:i/>
                    <w:sz w:val="22"/>
                    <w:szCs w:val="22"/>
                  </w:rPr>
                </w:pPr>
                <w:r w:rsidRPr="00082207">
                  <w:rPr>
                    <w:szCs w:val="24"/>
                    <w:lang w:eastAsia="lt-LT"/>
                  </w:rPr>
                  <w:t>12.2. Projektų įgyvendinimo priežiūrai užtikrinti ir iškilusiems projektų įgyvendinimo klausimams spręsti Ministerija sudarys Projektų priežiūros komitetą.</w:t>
                </w:r>
              </w:p>
            </w:tc>
          </w:tr>
          <w:tr w:rsidR="00BC34F5">
            <w:tc>
              <w:tcPr>
                <w:tcW w:w="15134" w:type="dxa"/>
              </w:tcPr>
              <w:p w:rsidR="00BC34F5" w:rsidRDefault="00D808B1">
                <w:pPr>
                  <w:rPr>
                    <w:b/>
                    <w:szCs w:val="24"/>
                  </w:rPr>
                </w:pPr>
                <w:r>
                  <w:rPr>
                    <w:b/>
                    <w:szCs w:val="24"/>
                  </w:rPr>
                  <w:t>IŠLAIDŲ TINKAMUMO FINANSUOTI REIKALAVIMAI</w:t>
                </w:r>
              </w:p>
            </w:tc>
          </w:tr>
          <w:tr w:rsidR="00BC34F5">
            <w:tc>
              <w:tcPr>
                <w:tcW w:w="15134" w:type="dxa"/>
              </w:tcPr>
              <w:p w:rsidR="00BC34F5" w:rsidRDefault="00D808B1">
                <w:pPr>
                  <w:jc w:val="both"/>
                  <w:rPr>
                    <w:b/>
                    <w:szCs w:val="24"/>
                  </w:rPr>
                </w:pPr>
                <w:r>
                  <w:rPr>
                    <w:b/>
                    <w:szCs w:val="24"/>
                  </w:rPr>
                  <w:t>13. Išlaidų tinkamumo finansuoti reikalavimai</w:t>
                </w:r>
              </w:p>
            </w:tc>
          </w:tr>
          <w:tr w:rsidR="00BC34F5">
            <w:tc>
              <w:tcPr>
                <w:tcW w:w="15134" w:type="dxa"/>
              </w:tcPr>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13.1. Didžiausia galima projektų finansuojamoji dalis sudaro 100 proc. visų tinkamų finansuoti projekto išlaidų. Pareiškėjas savo iniciatyva ir savo, ir (arba) kitų šaltinių lėšomis gali prisidėti prie projektų įgyvendinimo.</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13.2. Projektų tinkamų finansuoti išlaidų dalis, kurios nepadengia projektams skiriamo finansavimo lėšos, turi būti finansuojama iš projektų vykdytojo lėšų.</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13.3. Planuojamos išlaidos turi atitikti PAFT VII skyriuje išdėstytus projektų išlaidoms taikomus reikalavimus.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13.4. Projektų vykdytojui gali būti išmokamas avansas iki 30 proc. tinkamų finansuoti projektų išlaidų. Projektų išlaidos gali būti patirtos iki projekto sutarties pasirašymo, jei tai neprieštarauja PAFT 294 punkto nuostatoms.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13.5. Pagal Aprašą tinkamos išlaidos yra šios:</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lastRenderedPageBreak/>
                  <w:t>13.5.1. darbo užmokestis, kvalifikacijos tobulinimo, mokymų išlaidos, švietimo ekspertų paslaugos, renginių organizavimas, mokymo priemonės licencijos, metodikos, komandiruotės ir vizitai, kitos paslaugos ir prekės, reikalingos veikloms įgyvendinti;</w:t>
                </w:r>
                <w:r w:rsidRPr="00082207">
                  <w:rPr>
                    <w:sz w:val="2"/>
                    <w:szCs w:val="2"/>
                    <w:lang w:eastAsia="lt-LT"/>
                  </w:rPr>
                  <w:t> </w:t>
                </w:r>
              </w:p>
              <w:p w:rsidR="00082207" w:rsidRPr="00082207" w:rsidRDefault="00082207" w:rsidP="00082207">
                <w:pPr>
                  <w:overflowPunct w:val="0"/>
                  <w:spacing w:before="100" w:beforeAutospacing="1" w:after="100" w:afterAutospacing="1"/>
                  <w:jc w:val="both"/>
                  <w:textAlignment w:val="baseline"/>
                  <w:rPr>
                    <w:szCs w:val="24"/>
                    <w:lang w:eastAsia="lt-LT"/>
                  </w:rPr>
                </w:pPr>
                <w:r w:rsidRPr="00082207">
                  <w:rPr>
                    <w:szCs w:val="24"/>
                    <w:lang w:eastAsia="lt-LT"/>
                  </w:rPr>
                  <w:t xml:space="preserve">13.5.2. privalomos projektų matomumo ir informavimo apie projektus priemonės pagal PAFT 340 ir 341 punktus; </w:t>
                </w:r>
                <w:r w:rsidRPr="00082207">
                  <w:rPr>
                    <w:sz w:val="2"/>
                    <w:szCs w:val="2"/>
                    <w:lang w:eastAsia="lt-LT"/>
                  </w:rPr>
                  <w:t> </w:t>
                </w:r>
              </w:p>
              <w:p w:rsidR="00BC34F5" w:rsidRDefault="00082207" w:rsidP="00082207">
                <w:pPr>
                  <w:overflowPunct w:val="0"/>
                  <w:spacing w:before="100" w:beforeAutospacing="1" w:after="100" w:afterAutospacing="1"/>
                  <w:jc w:val="both"/>
                  <w:textAlignment w:val="baseline"/>
                  <w:rPr>
                    <w:bCs/>
                    <w:szCs w:val="24"/>
                  </w:rPr>
                </w:pPr>
                <w:r w:rsidRPr="00082207">
                  <w:rPr>
                    <w:szCs w:val="24"/>
                    <w:lang w:eastAsia="lt-LT"/>
                  </w:rPr>
                  <w:t>13.5.3. išlaidos, kurios aptartos Aprašo 14 punkte.</w:t>
                </w:r>
              </w:p>
            </w:tc>
          </w:tr>
          <w:tr w:rsidR="00BC34F5">
            <w:trPr>
              <w:trHeight w:val="349"/>
            </w:trPr>
            <w:tc>
              <w:tcPr>
                <w:tcW w:w="15134" w:type="dxa"/>
              </w:tcPr>
              <w:p w:rsidR="00BC34F5" w:rsidRDefault="00D808B1">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BC34F5">
            <w:tc>
              <w:tcPr>
                <w:tcW w:w="15134" w:type="dxa"/>
              </w:tcPr>
              <w:p w:rsidR="00BC34F5" w:rsidRDefault="00D808B1">
                <w:pPr>
                  <w:jc w:val="both"/>
                  <w:rPr>
                    <w:iCs/>
                    <w:szCs w:val="22"/>
                  </w:rPr>
                </w:pPr>
                <w:r>
                  <w:rPr>
                    <w:iCs/>
                    <w:szCs w:val="22"/>
                  </w:rPr>
                  <w:t>14.1. Supaprastintai apmokamos išlaidos yra tinkamos finansuoti, jei galimybė jas apmokėti supaprastintai iš anksto (iki projekto sutarties sudarymo) yra įtraukta į Supaprastintai apmokamų išlaidų dydžių registrą, skelbiamą Europos socialinio fondo agentūros (esf.lt) interneto svetainės skiltyje „Metodinės pagalbos centras“.</w:t>
                </w:r>
              </w:p>
              <w:p w:rsidR="00BC34F5" w:rsidRDefault="00D808B1">
                <w:pPr>
                  <w:jc w:val="both"/>
                  <w:rPr>
                    <w:iCs/>
                    <w:szCs w:val="22"/>
                  </w:rPr>
                </w:pPr>
                <w:r>
                  <w:rPr>
                    <w:iCs/>
                    <w:szCs w:val="22"/>
                  </w:rPr>
                  <w:t xml:space="preserve">14.2. Supaprastintai apmokamų išlaidų dydžiai gali būti įtraukti ir po projektų sutarčių pasirašymo laikotarpiu nuo 2020 m. vasario 1 d. iki 2026 m. rugpjūčio 31 d. </w:t>
                </w:r>
              </w:p>
              <w:p w:rsidR="00BC34F5" w:rsidRDefault="00D808B1">
                <w:pPr>
                  <w:jc w:val="both"/>
                  <w:rPr>
                    <w:iCs/>
                    <w:szCs w:val="22"/>
                  </w:rPr>
                </w:pPr>
                <w:r>
                  <w:rPr>
                    <w:iCs/>
                    <w:szCs w:val="22"/>
                  </w:rPr>
                  <w:t xml:space="preserve">14.3. Projektų įgyvendinimo metu </w:t>
                </w:r>
                <w:r>
                  <w:t>administruojančiai</w:t>
                </w:r>
                <w:r>
                  <w:rPr>
                    <w:iCs/>
                    <w:szCs w:val="22"/>
                  </w:rPr>
                  <w:t xml:space="preserve">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BC34F5" w:rsidRDefault="00BC34F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BC34F5">
                  <w:tc>
                    <w:tcPr>
                      <w:tcW w:w="14449" w:type="dxa"/>
                      <w:gridSpan w:val="5"/>
                      <w:tcBorders>
                        <w:top w:val="single" w:sz="8" w:space="0" w:color="auto"/>
                        <w:left w:val="single" w:sz="8" w:space="0" w:color="auto"/>
                        <w:bottom w:val="single" w:sz="8" w:space="0" w:color="auto"/>
                        <w:right w:val="single" w:sz="8" w:space="0" w:color="auto"/>
                      </w:tcBorders>
                    </w:tcPr>
                    <w:p w:rsidR="00BC34F5" w:rsidRDefault="00D808B1">
                      <w:pPr>
                        <w:jc w:val="both"/>
                        <w:rPr>
                          <w:b/>
                          <w:bCs/>
                          <w:szCs w:val="24"/>
                        </w:rPr>
                      </w:pPr>
                      <w:r>
                        <w:rPr>
                          <w:rFonts w:ascii="Segoe UI Symbol" w:eastAsia="MS Gothic" w:hAnsi="Segoe UI Symbol" w:cs="Segoe UI Symbol"/>
                          <w:b/>
                          <w:bCs/>
                          <w:szCs w:val="24"/>
                        </w:rPr>
                        <w:t>☒</w:t>
                      </w:r>
                      <w:r>
                        <w:rPr>
                          <w:b/>
                          <w:bCs/>
                          <w:szCs w:val="24"/>
                        </w:rPr>
                        <w:t xml:space="preserve"> Indeksuojama</w:t>
                      </w:r>
                    </w:p>
                    <w:p w:rsidR="00BC34F5" w:rsidRDefault="00D808B1">
                      <w:pPr>
                        <w:jc w:val="both"/>
                        <w:rPr>
                          <w:b/>
                          <w:bCs/>
                          <w:szCs w:val="24"/>
                        </w:rPr>
                      </w:pPr>
                      <w:r>
                        <w:rPr>
                          <w:rFonts w:ascii="Segoe UI Symbol" w:eastAsia="MS Gothic" w:hAnsi="Segoe UI Symbol" w:cs="Segoe UI Symbol"/>
                          <w:b/>
                          <w:bCs/>
                          <w:szCs w:val="24"/>
                        </w:rPr>
                        <w:t xml:space="preserve">☐ </w:t>
                      </w:r>
                      <w:r>
                        <w:rPr>
                          <w:b/>
                          <w:bCs/>
                          <w:szCs w:val="24"/>
                        </w:rPr>
                        <w:t>Neindeksuojama</w:t>
                      </w:r>
                    </w:p>
                  </w:tc>
                </w:tr>
                <w:tr w:rsidR="00BC34F5">
                  <w:tc>
                    <w:tcPr>
                      <w:tcW w:w="2889"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BC34F5" w:rsidRDefault="00D808B1">
                      <w:pPr>
                        <w:jc w:val="center"/>
                        <w:rPr>
                          <w:b/>
                          <w:bCs/>
                          <w:szCs w:val="24"/>
                        </w:rPr>
                      </w:pPr>
                      <w:r>
                        <w:rPr>
                          <w:b/>
                          <w:bCs/>
                          <w:szCs w:val="24"/>
                        </w:rPr>
                        <w:t>Papildoma informacija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Netiesioginėms projekto veikloms ir išlaidoms apmokėti</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Iki 7 proc. 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Netiesioginės projekto išlaidos skaičiuojamos nuo tinkamų finansuoti tiesioginių projekto išlaidų (7 proc.).</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shd w:val="clear" w:color="auto" w:fill="FFFFFF"/>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i/>
                          <w:iCs/>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i/>
                          <w:iCs/>
                          <w:szCs w:val="24"/>
                        </w:rPr>
                      </w:pPr>
                      <w:r>
                        <w:rPr>
                          <w:szCs w:val="24"/>
                        </w:rPr>
                        <w:t xml:space="preserve">Įgyvendintų privalomų matomumo ir informavimo priemonių apie Europos Sąjungos fondų investicijų veiklas fiksuotoji suma, </w:t>
                      </w:r>
                      <w:r>
                        <w:rPr>
                          <w:szCs w:val="24"/>
                        </w:rPr>
                        <w:lastRenderedPageBreak/>
                        <w:t>pirmojo rinkinio FS su PVM</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Fiksuotąją sumą sudaro visų pirmojo privalomų matomumo ir informavimo priemonių rinkinio išlaidos, kai:</w:t>
                      </w:r>
                    </w:p>
                    <w:p w:rsidR="00BC34F5" w:rsidRDefault="00D808B1">
                      <w:pPr>
                        <w:jc w:val="center"/>
                        <w:rPr>
                          <w:szCs w:val="24"/>
                        </w:rPr>
                      </w:pPr>
                      <w:r>
                        <w:rPr>
                          <w:szCs w:val="24"/>
                        </w:rPr>
                        <w:lastRenderedPageBreak/>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BC34F5" w:rsidRDefault="00D808B1">
                      <w:pPr>
                        <w:jc w:val="center"/>
                        <w:rPr>
                          <w:szCs w:val="24"/>
                        </w:rPr>
                      </w:pPr>
                      <w:r>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BC34F5" w:rsidRDefault="00D808B1">
                      <w:pPr>
                        <w:jc w:val="center"/>
                        <w:rPr>
                          <w:i/>
                          <w:iCs/>
                          <w:szCs w:val="24"/>
                        </w:rPr>
                      </w:pPr>
                      <w:r>
                        <w:rPr>
                          <w:szCs w:val="24"/>
                        </w:rPr>
                        <w:t xml:space="preserve">c) visuomenei arba dalyviams skirtuose dokumentuose ir komunikacijos medžiagoje, susijusioje su veiksmo įgyvendinimu, gerai matomai pateiktas </w:t>
                      </w:r>
                      <w:r>
                        <w:rPr>
                          <w:szCs w:val="24"/>
                        </w:rPr>
                        <w:lastRenderedPageBreak/>
                        <w:t>pareiškimas, kuriame akcentuojama gaunama ES parama.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p w:rsidR="00BC34F5" w:rsidRDefault="00D808B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Fiksuotąją sumą sudaro visų pirmojo privalomų matomumo ir informavimo priemonių rinkinio išlaidos, kai:</w:t>
                      </w:r>
                    </w:p>
                    <w:p w:rsidR="00BC34F5" w:rsidRDefault="00D808B1">
                      <w:pPr>
                        <w:jc w:val="cente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BC34F5" w:rsidRDefault="00D808B1">
                      <w:pPr>
                        <w:jc w:val="center"/>
                        <w:rPr>
                          <w:szCs w:val="24"/>
                        </w:rPr>
                      </w:pPr>
                      <w:r>
                        <w:rPr>
                          <w:szCs w:val="24"/>
                        </w:rPr>
                        <w:t xml:space="preserve">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w:t>
                      </w:r>
                      <w:r>
                        <w:rPr>
                          <w:szCs w:val="24"/>
                        </w:rPr>
                        <w:lastRenderedPageBreak/>
                        <w:t>iš ES gaunamą finansinę paramą;</w:t>
                      </w:r>
                    </w:p>
                    <w:p w:rsidR="00BC34F5" w:rsidRDefault="00D808B1">
                      <w:pPr>
                        <w:jc w:val="center"/>
                        <w:rPr>
                          <w:szCs w:val="24"/>
                        </w:rPr>
                      </w:pPr>
                      <w:r>
                        <w:rPr>
                          <w:szCs w:val="24"/>
                        </w:rPr>
                        <w:t>c) visuomenei arba dalyviams skirtuose dokumentuose ir komunikacijos medžiagoje, susijusioje su veiksmo įgyvendinimu, gerai matomai pateiktas pareiškimas, kuriame akcentuojama gaunama ES parama.</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Privalomos matomumo ir informavimo priemonės apie ES fondų investicijų veiklas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szCs w:val="24"/>
                        </w:rPr>
                        <w:lastRenderedPageBreak/>
                        <w:t>(8,63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FN-05-01</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20 darbo dienos (toliau –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rPr>
                    <w:trHeight w:val="2449"/>
                  </w:trPr>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lang w:eastAsia="lt-LT"/>
                        </w:rPr>
                      </w:pPr>
                      <w:r>
                        <w:rPr>
                          <w:lang w:eastAsia="lt-LT"/>
                        </w:rPr>
                        <w:t xml:space="preserve">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lang w:eastAsia="lt-LT"/>
                        </w:rPr>
                        <w:t>(14,99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FN-05-04</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lang w:eastAsia="lt-LT"/>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lang w:eastAsia="lt-LT"/>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Darbo užmokesčio išlaidų dalis per mėnesį, skirta kasmetinėms atostogoms, kuri apskaičiuojama nuo tinkamų finansuoti faktiškai patirtų darbo </w:t>
                      </w:r>
                      <w:r>
                        <w:rPr>
                          <w:szCs w:val="24"/>
                        </w:rPr>
                        <w:lastRenderedPageBreak/>
                        <w:t xml:space="preserve">užmokesčio išlaidų už faktiškai dirbtą laiką </w:t>
                      </w:r>
                    </w:p>
                    <w:p w:rsidR="00BC34F5" w:rsidRDefault="00D808B1">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FN-05-05</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Fiksuotoji norma taikoma, kai priklauso nuo 31 iki 36 d. d. (jeigu dirbama 5 d. d. per savaitę) arba nuo 37 iki 42 d. d. (jeigu dirbama 6 d. </w:t>
                      </w:r>
                      <w:r>
                        <w:rPr>
                          <w:szCs w:val="24"/>
                        </w:rPr>
                        <w:lastRenderedPageBreak/>
                        <w:t>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 xml:space="preserve">Projektą vykdančio personalo darbo užmokesčio išlaidos už kasmetines atostogas, kurios apskaičiuojamos nuo tinkamų finansuoti </w:t>
                      </w:r>
                      <w:r>
                        <w:rPr>
                          <w:szCs w:val="24"/>
                        </w:rPr>
                        <w:lastRenderedPageBreak/>
                        <w:t>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FN-05-06</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C34F5">
                  <w:tc>
                    <w:tcPr>
                      <w:tcW w:w="2889"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rsidR="00BC34F5" w:rsidRDefault="00D808B1">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FN-05-07</w:t>
                      </w:r>
                    </w:p>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BC34F5">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BC34F5" w:rsidRDefault="00D808B1">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rsidR="00BC34F5" w:rsidRDefault="00BC34F5">
                <w:pPr>
                  <w:jc w:val="both"/>
                  <w:rPr>
                    <w:i/>
                    <w:iCs/>
                    <w:sz w:val="22"/>
                    <w:szCs w:val="22"/>
                  </w:rPr>
                </w:pPr>
              </w:p>
            </w:tc>
          </w:tr>
        </w:tbl>
        <w:p w:rsidR="00BC34F5" w:rsidRDefault="00BC34F5">
          <w:pPr>
            <w:rPr>
              <w:sz w:val="18"/>
              <w:szCs w:val="18"/>
            </w:rPr>
          </w:pPr>
        </w:p>
        <w:sdt>
          <w:sdtPr>
            <w:alias w:val="pabaiga"/>
            <w:tag w:val="part_b0d84713604c4e7fbd443ec172e3f58a"/>
            <w:id w:val="1848905435"/>
            <w:lock w:val="sdtLocked"/>
          </w:sdtPr>
          <w:sdtEndPr/>
          <w:sdtContent>
            <w:p w:rsidR="00BC34F5" w:rsidRDefault="00D808B1" w:rsidP="00082207">
              <w:pPr>
                <w:spacing w:line="276" w:lineRule="auto"/>
                <w:jc w:val="center"/>
                <w:rPr>
                  <w:sz w:val="22"/>
                  <w:szCs w:val="22"/>
                </w:rPr>
              </w:pPr>
              <w:r>
                <w:rPr>
                  <w:rFonts w:eastAsia="Calibri"/>
                  <w:szCs w:val="24"/>
                </w:rPr>
                <w:t>________________</w:t>
              </w:r>
            </w:p>
          </w:sdtContent>
        </w:sdt>
      </w:sdtContent>
    </w:sdt>
    <w:sdt>
      <w:sdtPr>
        <w:alias w:val="pr."/>
        <w:tag w:val="part_9897f011aa734e2b9644aa580c1088d1"/>
        <w:id w:val="-1396511257"/>
        <w:lock w:val="sdtLocked"/>
      </w:sdtPr>
      <w:sdtEndPr/>
      <w:sdtContent>
        <w:p w:rsidR="00082207" w:rsidRDefault="00082207">
          <w:pPr>
            <w:ind w:left="9639"/>
            <w:jc w:val="both"/>
            <w:sectPr w:rsidR="00082207">
              <w:headerReference w:type="even" r:id="rId12"/>
              <w:headerReference w:type="default" r:id="rId13"/>
              <w:footerReference w:type="even" r:id="rId14"/>
              <w:footerReference w:type="default" r:id="rId15"/>
              <w:headerReference w:type="first" r:id="rId16"/>
              <w:footerReference w:type="first" r:id="rId17"/>
              <w:pgSz w:w="16838" w:h="11906" w:orient="landscape"/>
              <w:pgMar w:top="426" w:right="567" w:bottom="1134" w:left="1134" w:header="567" w:footer="567" w:gutter="0"/>
              <w:pgNumType w:start="1"/>
              <w:cols w:space="1296"/>
              <w:titlePg/>
              <w:docGrid w:linePitch="360"/>
            </w:sectPr>
          </w:pPr>
        </w:p>
        <w:p w:rsidR="00082207" w:rsidRDefault="00D808B1" w:rsidP="00082207">
          <w:pPr>
            <w:ind w:firstLine="4820"/>
            <w:rPr>
              <w:szCs w:val="24"/>
              <w:lang w:eastAsia="lt-LT"/>
            </w:rPr>
          </w:pPr>
          <w:bookmarkStart w:id="0" w:name="_GoBack"/>
          <w:r>
            <w:rPr>
              <w:szCs w:val="24"/>
              <w:lang w:eastAsia="lt-LT"/>
            </w:rPr>
            <w:lastRenderedPageBreak/>
            <w:t xml:space="preserve">2021–2030 m. plėtros programos valdytojos Lietuvos Respublikos švietimo, mokslo ir sporto </w:t>
          </w:r>
        </w:p>
        <w:p w:rsidR="00082207" w:rsidRDefault="00D808B1" w:rsidP="00082207">
          <w:pPr>
            <w:ind w:firstLine="4820"/>
            <w:rPr>
              <w:szCs w:val="24"/>
            </w:rPr>
          </w:pPr>
          <w:r>
            <w:rPr>
              <w:szCs w:val="24"/>
              <w:lang w:eastAsia="lt-LT"/>
            </w:rPr>
            <w:t xml:space="preserve">ministerijos švietimo plėtros programos pažangos priemonės </w:t>
          </w:r>
          <w:r>
            <w:rPr>
              <w:szCs w:val="24"/>
            </w:rPr>
            <w:t xml:space="preserve">Nr. 12-003-03-01-04 </w:t>
          </w:r>
        </w:p>
        <w:p w:rsidR="00BC34F5" w:rsidRDefault="00D808B1" w:rsidP="00082207">
          <w:pPr>
            <w:ind w:firstLine="4820"/>
            <w:rPr>
              <w:szCs w:val="24"/>
            </w:rPr>
          </w:pPr>
          <w:r>
            <w:rPr>
              <w:szCs w:val="24"/>
            </w:rPr>
            <w:t>„Užtikrinti visiems prieinamą ankstyvąjį ugdymą“ projektų finansavimo sąlygų aprašo Nr. 3</w:t>
          </w:r>
        </w:p>
        <w:p w:rsidR="00BC34F5" w:rsidRDefault="00D808B1" w:rsidP="00082207">
          <w:pPr>
            <w:ind w:firstLine="4820"/>
            <w:rPr>
              <w:szCs w:val="24"/>
            </w:rPr>
          </w:pPr>
          <w:r>
            <w:rPr>
              <w:szCs w:val="24"/>
            </w:rPr>
            <w:t>priedas</w:t>
          </w:r>
        </w:p>
        <w:bookmarkEnd w:id="0"/>
        <w:p w:rsidR="00BC34F5" w:rsidRDefault="00BC34F5">
          <w:pPr>
            <w:ind w:left="9639"/>
            <w:jc w:val="both"/>
            <w:rPr>
              <w:rFonts w:eastAsia="Calibri"/>
              <w:b/>
              <w:bCs/>
              <w:szCs w:val="24"/>
            </w:rPr>
          </w:pPr>
        </w:p>
        <w:p w:rsidR="00BC34F5" w:rsidRDefault="00082207">
          <w:pPr>
            <w:jc w:val="center"/>
            <w:rPr>
              <w:rFonts w:eastAsia="Calibri"/>
              <w:b/>
              <w:bCs/>
              <w:szCs w:val="24"/>
            </w:rPr>
          </w:pPr>
          <w:sdt>
            <w:sdtPr>
              <w:alias w:val="Pavadinimas"/>
              <w:tag w:val="title_9897f011aa734e2b9644aa580c1088d1"/>
              <w:id w:val="-1272476126"/>
              <w:lock w:val="sdtLocked"/>
            </w:sdtPr>
            <w:sdtEndPr/>
            <w:sdtContent>
              <w:r w:rsidR="00D808B1">
                <w:rPr>
                  <w:rFonts w:eastAsia="Calibri"/>
                  <w:b/>
                  <w:bCs/>
                  <w:szCs w:val="24"/>
                </w:rPr>
                <w:t>PROJEKTO (ĮSKAITANT JUNGTINĮ PROJEKTĄ) ATITIKTIES REIKŠMINGOS ŽALOS NEDARYMO HORIZONTALIAJAM PRINCIPUI VERTINIMO REIKALAVIMŲ APRAŠAS</w:t>
              </w:r>
            </w:sdtContent>
          </w:sdt>
        </w:p>
        <w:p w:rsidR="00BC34F5" w:rsidRDefault="00BC34F5">
          <w:pPr>
            <w:jc w:val="center"/>
            <w:rPr>
              <w:rFonts w:eastAsia="Calibri"/>
              <w:b/>
              <w:bCs/>
              <w:szCs w:val="24"/>
            </w:rPr>
          </w:pPr>
        </w:p>
        <w:p w:rsidR="00BC34F5" w:rsidRDefault="00D808B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BC34F5" w:rsidRDefault="00D808B1">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BC34F5" w:rsidRDefault="00D808B1">
          <w:pPr>
            <w:spacing w:line="276" w:lineRule="auto"/>
            <w:jc w:val="both"/>
            <w:rPr>
              <w:rFonts w:eastAsia="Calibri"/>
              <w:bCs/>
              <w:szCs w:val="24"/>
            </w:rPr>
          </w:pPr>
          <w:r>
            <w:rPr>
              <w:rFonts w:ascii="MS Gothic" w:eastAsia="MS Gothic" w:hAnsi="MS Gothic"/>
            </w:rPr>
            <w:t xml:space="preserve">☒ </w:t>
          </w:r>
          <w:r>
            <w:t>Europos Sąjungos fondų i</w:t>
          </w:r>
          <w:r>
            <w:rPr>
              <w:rFonts w:eastAsia="Calibri"/>
              <w:bCs/>
              <w:szCs w:val="24"/>
            </w:rPr>
            <w:t>nvesticijų programa (toliau – ESIP)</w:t>
          </w:r>
        </w:p>
        <w:p w:rsidR="00BC34F5" w:rsidRDefault="00BC34F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BC34F5">
            <w:tc>
              <w:tcPr>
                <w:tcW w:w="3545" w:type="dxa"/>
              </w:tcPr>
              <w:p w:rsidR="00BC34F5" w:rsidRDefault="00D808B1">
                <w:pPr>
                  <w:jc w:val="center"/>
                  <w:rPr>
                    <w:rFonts w:eastAsia="Calibri"/>
                    <w:b/>
                    <w:szCs w:val="24"/>
                  </w:rPr>
                </w:pPr>
                <w:r>
                  <w:rPr>
                    <w:rFonts w:eastAsia="Calibri"/>
                    <w:b/>
                    <w:szCs w:val="24"/>
                  </w:rPr>
                  <w:t>Aplinkos tikslai</w:t>
                </w:r>
              </w:p>
              <w:p w:rsidR="00BC34F5" w:rsidRDefault="00BC34F5">
                <w:pPr>
                  <w:jc w:val="both"/>
                  <w:rPr>
                    <w:rFonts w:eastAsia="Calibri"/>
                    <w:b/>
                    <w:szCs w:val="24"/>
                  </w:rPr>
                </w:pPr>
              </w:p>
            </w:tc>
            <w:tc>
              <w:tcPr>
                <w:tcW w:w="8079" w:type="dxa"/>
              </w:tcPr>
              <w:p w:rsidR="00BC34F5" w:rsidRDefault="00D808B1">
                <w:pPr>
                  <w:jc w:val="center"/>
                  <w:rPr>
                    <w:rFonts w:eastAsia="Calibri"/>
                    <w:b/>
                    <w:szCs w:val="24"/>
                  </w:rPr>
                </w:pPr>
                <w:r>
                  <w:rPr>
                    <w:rFonts w:eastAsia="Calibri"/>
                    <w:b/>
                    <w:szCs w:val="24"/>
                  </w:rPr>
                  <w:t>Pagrindimas</w:t>
                </w:r>
              </w:p>
              <w:p w:rsidR="00BC34F5" w:rsidRDefault="00BC34F5">
                <w:pPr>
                  <w:jc w:val="both"/>
                  <w:rPr>
                    <w:rFonts w:eastAsia="Calibri"/>
                    <w:b/>
                    <w:szCs w:val="24"/>
                  </w:rPr>
                </w:pPr>
              </w:p>
            </w:tc>
            <w:tc>
              <w:tcPr>
                <w:tcW w:w="3225" w:type="dxa"/>
              </w:tcPr>
              <w:p w:rsidR="00BC34F5" w:rsidRDefault="00D808B1">
                <w:pPr>
                  <w:jc w:val="center"/>
                  <w:rPr>
                    <w:rFonts w:eastAsia="Calibri"/>
                    <w:i/>
                    <w:sz w:val="20"/>
                  </w:rPr>
                </w:pPr>
                <w:r>
                  <w:rPr>
                    <w:rFonts w:eastAsia="Calibri"/>
                    <w:b/>
                    <w:szCs w:val="24"/>
                  </w:rPr>
                  <w:t>Pagrindimo dokumentai</w:t>
                </w:r>
              </w:p>
              <w:p w:rsidR="00BC34F5" w:rsidRDefault="00BC34F5">
                <w:pPr>
                  <w:jc w:val="both"/>
                  <w:rPr>
                    <w:rFonts w:eastAsia="Calibri"/>
                    <w:i/>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8079" w:type="dxa"/>
              </w:tcPr>
              <w:p w:rsidR="00BC34F5" w:rsidRDefault="00D808B1">
                <w:pPr>
                  <w:jc w:val="both"/>
                  <w:rPr>
                    <w:i/>
                    <w:iCs/>
                    <w:color w:val="000000"/>
                    <w:shd w:val="clear" w:color="auto" w:fill="FFFFFF"/>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finansuojamas</w:t>
                </w:r>
                <w:r>
                  <w:rPr>
                    <w:bCs/>
                    <w:iCs/>
                    <w:szCs w:val="24"/>
                  </w:rPr>
                  <w:t xml:space="preserve"> įstaigų, vykdančių ikimokyklinio ugdymo programas, stiprinimo paketas, apimantis mokymąsi vieniems iš kitų (angl. </w:t>
                </w:r>
                <w:r>
                  <w:rPr>
                    <w:bCs/>
                    <w:i/>
                    <w:szCs w:val="24"/>
                  </w:rPr>
                  <w:t>peer-learning</w:t>
                </w:r>
                <w:r>
                  <w:rPr>
                    <w:bCs/>
                    <w:iCs/>
                    <w:szCs w:val="24"/>
                  </w:rPr>
                  <w:t xml:space="preserve">), ikimokyklinio ugdymo mokytojų kompetencijų atnaujinimą ir stiprinimą, aprūpinimą moderniomis darbo vietomis. </w:t>
                </w:r>
                <w:r>
                  <w:rPr>
                    <w:rFonts w:eastAsia="Calibri"/>
                    <w:szCs w:val="24"/>
                  </w:rPr>
                  <w:t xml:space="preserve">Ši veikla neturės jokio neigiamo tiesioginio ar netiesioginio poveikio klimato kaitos švelninimo tikslui, nes nenumatoma, kad įgyvendinant veiklas galėtų būti ŠESD išsiskyrimas. </w:t>
                </w:r>
              </w:p>
              <w:p w:rsidR="00BC34F5" w:rsidRDefault="00BC34F5">
                <w:pPr>
                  <w:jc w:val="both"/>
                  <w:rPr>
                    <w:rFonts w:eastAsia="Calibri"/>
                    <w:bCs/>
                    <w:i/>
                    <w:sz w:val="20"/>
                  </w:rPr>
                </w:pPr>
              </w:p>
            </w:tc>
            <w:tc>
              <w:tcPr>
                <w:tcW w:w="3225" w:type="dxa"/>
              </w:tcPr>
              <w:p w:rsidR="00BC34F5" w:rsidRDefault="00D808B1">
                <w:pPr>
                  <w:jc w:val="both"/>
                </w:pPr>
                <w:r>
                  <w:t>Netaikoma. Numatomos veiklos neturi neigiamo poveikio, todėl papildomi dokumentai neteikiami.</w:t>
                </w:r>
              </w:p>
              <w:p w:rsidR="00BC34F5" w:rsidRDefault="00BC34F5">
                <w:pPr>
                  <w:tabs>
                    <w:tab w:val="left" w:pos="589"/>
                  </w:tabs>
                  <w:jc w:val="both"/>
                  <w:rPr>
                    <w:rFonts w:eastAsia="Calibri"/>
                    <w:i/>
                    <w:sz w:val="20"/>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8079" w:type="dxa"/>
              </w:tcPr>
              <w:p w:rsidR="00BC34F5" w:rsidRDefault="00D808B1">
                <w:pPr>
                  <w:jc w:val="both"/>
                  <w:rPr>
                    <w:color w:val="000000"/>
                    <w:highlight w:val="yellow"/>
                    <w:shd w:val="clear" w:color="auto" w:fill="FFFFFF"/>
                  </w:rPr>
                </w:pPr>
                <w:r>
                  <w:rPr>
                    <w:rFonts w:eastAsia="Calibri"/>
                    <w:szCs w:val="24"/>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p w:rsidR="00BC34F5" w:rsidRDefault="00BC34F5">
                <w:pPr>
                  <w:jc w:val="both"/>
                  <w:rPr>
                    <w:color w:val="000000"/>
                    <w:shd w:val="clear" w:color="auto" w:fill="FFFFFF"/>
                  </w:rPr>
                </w:pP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b/>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8079" w:type="dxa"/>
              </w:tcPr>
              <w:p w:rsidR="00BC34F5" w:rsidRDefault="00D808B1">
                <w:pPr>
                  <w:jc w:val="both"/>
                  <w:rPr>
                    <w:color w:val="000000"/>
                    <w:shd w:val="clear" w:color="auto" w:fill="FFFFFF"/>
                  </w:rPr>
                </w:pPr>
                <w:r>
                  <w:rPr>
                    <w:rFonts w:eastAsia="Calibri"/>
                    <w:szCs w:val="24"/>
                  </w:rPr>
                  <w:t xml:space="preserve">Vertinama, kad planuojama įgyvendinti priemonė neturi jokio numatomo poveikio šiam aplinkos tikslui arba numatomas jos poveikis yra nereikšmingas, t. y. nedaro </w:t>
                </w:r>
                <w:r>
                  <w:rPr>
                    <w:rFonts w:eastAsia="Calibri"/>
                    <w:szCs w:val="24"/>
                  </w:rPr>
                  <w:lastRenderedPageBreak/>
                  <w:t>tiesioginio ir pirminio netiesioginio poveikio per visą gyvavimo ciklą, ir laikoma, kad ji atitinka tausaus išteklių naudojimo ir apsaugos tikslą. Įgyvendinant priemonę nenumatoma atnaujinti infrastruktūros, todėl ji neturi poveikio tausiam vandens ir jūrų išteklių naudojimui: veiklos (pagal savo pobūdį) neturi jokio tiesioginio ar netiesioginio neigiamo poveikio šiam aplinkos tikslui.</w:t>
                </w:r>
              </w:p>
            </w:tc>
            <w:tc>
              <w:tcPr>
                <w:tcW w:w="3225" w:type="dxa"/>
              </w:tcPr>
              <w:p w:rsidR="00BC34F5" w:rsidRDefault="00D808B1">
                <w:pPr>
                  <w:jc w:val="both"/>
                </w:pPr>
                <w:r>
                  <w:lastRenderedPageBreak/>
                  <w:t xml:space="preserve">Netaikoma. Numatomos veiklos neturi neigiamo </w:t>
                </w:r>
                <w:r>
                  <w:lastRenderedPageBreak/>
                  <w:t>poveikio, todėl papildomi dokumentai neteikiami.</w:t>
                </w:r>
              </w:p>
              <w:p w:rsidR="00BC34F5" w:rsidRDefault="00BC34F5">
                <w:pPr>
                  <w:jc w:val="both"/>
                  <w:rPr>
                    <w:rFonts w:eastAsia="Calibri"/>
                    <w:bCs/>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8079" w:type="dxa"/>
              </w:tcPr>
              <w:p w:rsidR="00BC34F5" w:rsidRDefault="00D808B1">
                <w:pPr>
                  <w:jc w:val="both"/>
                  <w:rPr>
                    <w:color w:val="000000"/>
                    <w:shd w:val="clear" w:color="auto" w:fill="FFFFFF"/>
                  </w:rPr>
                </w:pPr>
                <w:r>
                  <w:rPr>
                    <w:rFonts w:eastAsia="Calibri"/>
                    <w:szCs w:val="24"/>
                  </w:rPr>
                  <w:t xml:space="preserve">Vertinama, kad planuojama įgyvendinti priemonė neturi jokio numatomo poveikio šiam aplinkos tikslui arba numatomas jos poveikis yra nereikšmingas, kadangi įgyvendinant investicijas nenumatoma kurti infrastruktūros, kuri daro žalą žiedinei ekonomikai, įskaitant atliekų prevenciją ir perdirbimą: veiklos (pagal savo pobūdį) neturi jokio tiesioginio ar netiesioginio neigiamo poveikio šiam aplinkos tikslui. </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szCs w:val="24"/>
                  </w:rPr>
                </w:pPr>
              </w:p>
            </w:tc>
          </w:tr>
          <w:tr w:rsidR="00BC34F5">
            <w:tc>
              <w:tcPr>
                <w:tcW w:w="3545" w:type="dxa"/>
              </w:tcPr>
              <w:p w:rsidR="00BC34F5" w:rsidRDefault="00D808B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79" w:type="dxa"/>
              </w:tcPr>
              <w:p w:rsidR="00BC34F5" w:rsidRDefault="00D808B1">
                <w:pPr>
                  <w:jc w:val="both"/>
                  <w:rPr>
                    <w:color w:val="000000"/>
                    <w:shd w:val="clear" w:color="auto" w:fill="FFFFFF"/>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reikšmingai oro, vandens ir dirvožemio taršai susidaryti: veiklos (pagal savo pobūdį) neturi jokio tiesioginio ar netiesioginio neigiamo poveikio šiam aplinkos tikslui. </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szCs w:val="24"/>
                  </w:rPr>
                </w:pPr>
              </w:p>
            </w:tc>
          </w:tr>
          <w:tr w:rsidR="00BC34F5">
            <w:tc>
              <w:tcPr>
                <w:tcW w:w="3545" w:type="dxa"/>
              </w:tcPr>
              <w:p w:rsidR="00BC34F5" w:rsidRDefault="00D808B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8079" w:type="dxa"/>
              </w:tcPr>
              <w:p w:rsidR="00BC34F5" w:rsidRDefault="00D808B1">
                <w:pPr>
                  <w:jc w:val="both"/>
                  <w:rPr>
                    <w:color w:val="000000"/>
                    <w:shd w:val="clear" w:color="auto" w:fill="FFFFFF"/>
                  </w:rPr>
                </w:pPr>
                <w:r>
                  <w:rPr>
                    <w:rFonts w:eastAsia="Calibri"/>
                    <w:szCs w:val="24"/>
                  </w:rPr>
                  <w:t xml:space="preserve">Vertinama, kad planuojama įgyvendinti priemonė neturi jokio numatomo poveikio šiam aplinkos tikslui arba numatomas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3225" w:type="dxa"/>
              </w:tcPr>
              <w:p w:rsidR="00BC34F5" w:rsidRDefault="00D808B1">
                <w:pPr>
                  <w:jc w:val="both"/>
                </w:pPr>
                <w:r>
                  <w:t>Netaikoma. Numatomos veiklos neturi neigiamo poveikio, todėl papildomi dokumentai neteikiami.</w:t>
                </w:r>
              </w:p>
              <w:p w:rsidR="00BC34F5" w:rsidRDefault="00BC34F5">
                <w:pPr>
                  <w:jc w:val="both"/>
                  <w:rPr>
                    <w:rFonts w:eastAsia="Calibri"/>
                    <w:szCs w:val="24"/>
                  </w:rPr>
                </w:pPr>
              </w:p>
            </w:tc>
          </w:tr>
        </w:tbl>
        <w:p w:rsidR="00BC34F5" w:rsidRDefault="00BC34F5"/>
        <w:sdt>
          <w:sdtPr>
            <w:alias w:val="pabaiga"/>
            <w:tag w:val="part_9db2ed2bab774868b10faa000653b7f9"/>
            <w:id w:val="361253739"/>
            <w:lock w:val="sdtLocked"/>
          </w:sdtPr>
          <w:sdtEndPr/>
          <w:sdtContent>
            <w:p w:rsidR="00BC34F5" w:rsidRDefault="00D808B1">
              <w:pPr>
                <w:spacing w:line="276" w:lineRule="auto"/>
                <w:jc w:val="center"/>
                <w:rPr>
                  <w:sz w:val="22"/>
                  <w:szCs w:val="22"/>
                  <w:u w:val="single"/>
                </w:rPr>
              </w:pPr>
              <w:r>
                <w:rPr>
                  <w:rFonts w:ascii="Calibri" w:eastAsia="Calibri" w:hAnsi="Calibri"/>
                  <w:sz w:val="22"/>
                  <w:szCs w:val="22"/>
                  <w:u w:val="single"/>
                </w:rPr>
                <w:t>________________</w:t>
              </w:r>
            </w:p>
            <w:p w:rsidR="00BC34F5" w:rsidRDefault="00082207">
              <w:pPr>
                <w:spacing w:line="276" w:lineRule="auto"/>
                <w:jc w:val="center"/>
                <w:rPr>
                  <w:szCs w:val="24"/>
                </w:rPr>
              </w:pPr>
            </w:p>
          </w:sdtContent>
        </w:sdt>
      </w:sdtContent>
    </w:sdt>
    <w:sectPr w:rsidR="00BC34F5">
      <w:pgSz w:w="16838" w:h="11906" w:orient="landscape"/>
      <w:pgMar w:top="426"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8B1" w:rsidRDefault="00D808B1">
      <w:pPr>
        <w:rPr>
          <w:sz w:val="22"/>
          <w:szCs w:val="22"/>
        </w:rPr>
      </w:pPr>
      <w:r>
        <w:rPr>
          <w:sz w:val="22"/>
          <w:szCs w:val="22"/>
        </w:rPr>
        <w:separator/>
      </w:r>
    </w:p>
  </w:endnote>
  <w:endnote w:type="continuationSeparator" w:id="0">
    <w:p w:rsidR="00D808B1" w:rsidRDefault="00D808B1">
      <w:pPr>
        <w:rPr>
          <w:sz w:val="22"/>
          <w:szCs w:val="22"/>
        </w:rPr>
      </w:pPr>
      <w:r>
        <w:rPr>
          <w:sz w:val="22"/>
          <w:szCs w:val="22"/>
        </w:rPr>
        <w:continuationSeparator/>
      </w:r>
    </w:p>
  </w:endnote>
  <w:endnote w:type="continuationNotice" w:id="1">
    <w:p w:rsidR="00D808B1" w:rsidRDefault="00D808B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8B1" w:rsidRDefault="00D808B1">
      <w:pPr>
        <w:rPr>
          <w:sz w:val="22"/>
          <w:szCs w:val="22"/>
        </w:rPr>
      </w:pPr>
      <w:r>
        <w:rPr>
          <w:sz w:val="22"/>
          <w:szCs w:val="22"/>
        </w:rPr>
        <w:separator/>
      </w:r>
    </w:p>
  </w:footnote>
  <w:footnote w:type="continuationSeparator" w:id="0">
    <w:p w:rsidR="00D808B1" w:rsidRDefault="00D808B1">
      <w:pPr>
        <w:rPr>
          <w:sz w:val="22"/>
          <w:szCs w:val="22"/>
        </w:rPr>
      </w:pPr>
      <w:r>
        <w:rPr>
          <w:sz w:val="22"/>
          <w:szCs w:val="22"/>
        </w:rPr>
        <w:continuationSeparator/>
      </w:r>
    </w:p>
  </w:footnote>
  <w:footnote w:type="continuationNotice" w:id="1">
    <w:p w:rsidR="00D808B1" w:rsidRDefault="00D808B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D808B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82207">
      <w:rPr>
        <w:noProof/>
        <w:szCs w:val="22"/>
      </w:rPr>
      <w:t>2</w:t>
    </w:r>
    <w:r>
      <w:rPr>
        <w:szCs w:val="22"/>
      </w:rPr>
      <w:fldChar w:fldCharType="end"/>
    </w:r>
  </w:p>
  <w:p w:rsidR="00BC34F5" w:rsidRDefault="00BC34F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34F5" w:rsidRDefault="00BC34F5">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82207"/>
    <w:rsid w:val="00625D20"/>
    <w:rsid w:val="00A361B0"/>
    <w:rsid w:val="00BC34F5"/>
    <w:rsid w:val="00D808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C3FAB86"/>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82213997">
      <w:bodyDiv w:val="1"/>
      <w:marLeft w:val="0"/>
      <w:marRight w:val="0"/>
      <w:marTop w:val="0"/>
      <w:marBottom w:val="0"/>
      <w:divBdr>
        <w:top w:val="none" w:sz="0" w:space="0" w:color="auto"/>
        <w:left w:val="none" w:sz="0" w:space="0" w:color="auto"/>
        <w:bottom w:val="none" w:sz="0" w:space="0" w:color="auto"/>
        <w:right w:val="none" w:sz="0" w:space="0" w:color="auto"/>
      </w:divBdr>
    </w:div>
    <w:div w:id="207227560">
      <w:bodyDiv w:val="1"/>
      <w:marLeft w:val="0"/>
      <w:marRight w:val="0"/>
      <w:marTop w:val="0"/>
      <w:marBottom w:val="0"/>
      <w:divBdr>
        <w:top w:val="none" w:sz="0" w:space="0" w:color="auto"/>
        <w:left w:val="none" w:sz="0" w:space="0" w:color="auto"/>
        <w:bottom w:val="none" w:sz="0" w:space="0" w:color="auto"/>
        <w:right w:val="none" w:sz="0" w:space="0" w:color="auto"/>
      </w:divBdr>
    </w:div>
    <w:div w:id="322708188">
      <w:bodyDiv w:val="1"/>
      <w:marLeft w:val="0"/>
      <w:marRight w:val="0"/>
      <w:marTop w:val="0"/>
      <w:marBottom w:val="0"/>
      <w:divBdr>
        <w:top w:val="none" w:sz="0" w:space="0" w:color="auto"/>
        <w:left w:val="none" w:sz="0" w:space="0" w:color="auto"/>
        <w:bottom w:val="none" w:sz="0" w:space="0" w:color="auto"/>
        <w:right w:val="none" w:sz="0" w:space="0" w:color="auto"/>
      </w:divBdr>
    </w:div>
    <w:div w:id="746149485">
      <w:bodyDiv w:val="1"/>
      <w:marLeft w:val="0"/>
      <w:marRight w:val="0"/>
      <w:marTop w:val="0"/>
      <w:marBottom w:val="0"/>
      <w:divBdr>
        <w:top w:val="none" w:sz="0" w:space="0" w:color="auto"/>
        <w:left w:val="none" w:sz="0" w:space="0" w:color="auto"/>
        <w:bottom w:val="none" w:sz="0" w:space="0" w:color="auto"/>
        <w:right w:val="none" w:sz="0" w:space="0" w:color="auto"/>
      </w:divBdr>
    </w:div>
    <w:div w:id="857961795">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1212214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80184724">
      <w:bodyDiv w:val="1"/>
      <w:marLeft w:val="0"/>
      <w:marRight w:val="0"/>
      <w:marTop w:val="0"/>
      <w:marBottom w:val="0"/>
      <w:divBdr>
        <w:top w:val="none" w:sz="0" w:space="0" w:color="auto"/>
        <w:left w:val="none" w:sz="0" w:space="0" w:color="auto"/>
        <w:bottom w:val="none" w:sz="0" w:space="0" w:color="auto"/>
        <w:right w:val="none" w:sz="0" w:space="0" w:color="auto"/>
      </w:divBdr>
    </w:div>
    <w:div w:id="2078360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3" Abbr="3 pr." Title="2021–2030 M. PLĖTROS PROGRAMOS VALDYTOJOS LIETUVOS RESPUBLIKOS ŠVIETIMO, MOKSLO IR SPORTO MINISTERIJOS ŠVIETIMO PLĖTROS PROGRAMOS PAŽANGOS PRIEMONĖS NR. 12-003-03-01-04 „UŽTIKRINTI VISIEMS PRIEINAMĄ ANKSTYVĄJĮ UGDYMĄ“ PROJEKTŲ FINANSAVIMO SĄLYGŲ APRAŠAS NR. 3" DocPartId="f3474d55baa8417088c08fa90880df19" PartId="8e39cfd27586412f97df12ebdcfda72e">
    <Part Type="pabaiga" DocPartId="41da42a3966341239986ac63677889fa" PartId="b0d84713604c4e7fbd443ec172e3f58a"/>
  </Part>
  <Part Type="priedas" Abbr="pr." Title="PROJEKTO (ĮSKAITANT JUNGTINĮ PROJEKTĄ) ATITIKTIES REIKŠMINGOS ŽALOS NEDARYMO HORIZONTALIAJAM PRINCIPUI VERTINIMO REIKALAVIMŲ APRAŠAS" DocPartId="f83393f9912f46e79ba60c729b5a99dd" PartId="9897f011aa734e2b9644aa580c1088d1">
    <Part Type="pabaiga" DocPartId="4dc6d4a9ea1747c881d1360534d364e8" PartId="9db2ed2bab774868b10faa000653b7f9"/>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54FD8-6FCB-4EF0-9F5A-6A264FE92AD1}">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3029B79E-B5C5-48DA-A587-F4D13967B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2006/metadata/properties"/>
    <ds:schemaRef ds:uri="http://purl.org/dc/elements/1.1/"/>
    <ds:schemaRef ds:uri="a843bbba-5665-4b5f-aacc-cdcb1c804839"/>
    <ds:schemaRef ds:uri="http://schemas.openxmlformats.org/package/2006/metadata/core-properties"/>
    <ds:schemaRef ds:uri="http://schemas.microsoft.com/office/infopath/2007/PartnerControls"/>
    <ds:schemaRef ds:uri="http://purl.org/dc/terms/"/>
    <ds:schemaRef ds:uri="028236e2-f653-4d19-ab67-4d06a9145e0c"/>
    <ds:schemaRef ds:uri="f5ebda27-b626-448f-a7d1-d1cf5ad133fa"/>
    <ds:schemaRef ds:uri="4b2e9d09-07c5-42d4-ad0a-92e216c40b99"/>
    <ds:schemaRef ds:uri="http://www.w3.org/XML/1998/namespace"/>
    <ds:schemaRef ds:uri="http://purl.org/dc/dcmitype/"/>
  </ds:schemaRefs>
</ds:datastoreItem>
</file>

<file path=customXml/itemProps5.xml><?xml version="1.0" encoding="utf-8"?>
<ds:datastoreItem xmlns:ds="http://schemas.openxmlformats.org/officeDocument/2006/customXml" ds:itemID="{F54024BF-86D8-4BEA-BC5C-E795D0953F9A}">
  <ds:schemaRefs>
    <ds:schemaRef ds:uri="http://schemas.openxmlformats.org/officeDocument/2006/bibliography"/>
  </ds:schemaRefs>
</ds:datastoreItem>
</file>

<file path=customXml/itemProps6.xml><?xml version="1.0" encoding="utf-8"?>
<ds:datastoreItem xmlns:ds="http://schemas.openxmlformats.org/officeDocument/2006/customXml" ds:itemID="{BF4BD9E8-3370-4008-911D-1339AF2D9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18074</Words>
  <Characters>10303</Characters>
  <Application>Microsoft Office Word</Application>
  <DocSecurity>0</DocSecurity>
  <Lines>85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Nr12-003-03-01-04 uztikrinti visiems</vt:lpstr>
      <vt:lpstr>PFSA Nr12-003-03-01-04 uztikrinti visiems</vt:lpstr>
    </vt:vector>
  </TitlesOfParts>
  <Company>HP Inc.</Company>
  <LinksUpToDate>false</LinksUpToDate>
  <CharactersWithSpaces>28321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Nr12-003-03-01-04 uztikrinti visiems</dc:title>
  <dc:creator>Virginija Levinskienė</dc:creator>
  <cp:lastModifiedBy>DZIKAITĖ Jolanta</cp:lastModifiedBy>
  <cp:revision>2</cp:revision>
  <dcterms:created xsi:type="dcterms:W3CDTF">2024-05-08T03:30:00Z</dcterms:created>
  <dcterms:modified xsi:type="dcterms:W3CDTF">2024-05-08T03:30:00Z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Divisions">
    <vt:lpwstr/>
  </property>
  <property fmtid="{D5CDD505-2E9C-101B-9397-08002B2CF9AE}" pid="4" name="DmsPermissionsUsers">
    <vt:lpwstr>1325;#Nijolė Papievytė;#63;#Eglė Vizbarė;#1227;#Sonata Macijauskienė;#758;#Toma Šukienė;#166;#Margarita Kairienė;#1119;#Mantas Bernotas</vt:lpwstr>
  </property>
  <property fmtid="{D5CDD505-2E9C-101B-9397-08002B2CF9AE}" pid="5" name="ContentTypeId">
    <vt:lpwstr>0x010100D76F90AF19434866994CD715ED8FEE4200712820E1B0DE314FBCE77D75ADAD206D</vt:lpwstr>
  </property>
  <property fmtid="{D5CDD505-2E9C-101B-9397-08002B2CF9AE}" pid="6" name="TaxCatchAll">
    <vt:lpwstr/>
  </property>
</Properties>
</file>