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e39cfd27586412f97df12ebdcfda72e"/>
        <w:id w:val="663742704"/>
        <w:lock w:val="sdtLocked"/>
      </w:sdtPr>
      <w:sdtEndPr/>
      <w:sdtContent>
        <w:p w:rsidR="00BC34F5" w:rsidRDefault="00D808B1">
          <w:pPr>
            <w:ind w:left="9639"/>
            <w:jc w:val="both"/>
            <w:rPr>
              <w:bCs/>
              <w:szCs w:val="24"/>
            </w:rPr>
          </w:pPr>
          <w:r>
            <w:rPr>
              <w:bCs/>
              <w:szCs w:val="24"/>
            </w:rPr>
            <w:t xml:space="preserve">2021–2030 m. plėtros programos valdytojos Lietuvos Respublikos švietimo, mokslo ir sporto ministerijos švietimo plėtros programos pažangos priemonės </w:t>
          </w:r>
          <w:r>
            <w:rPr>
              <w:szCs w:val="24"/>
            </w:rPr>
            <w:t xml:space="preserve">Nr. 12-003-03-01-04 „Užtikrinti visiems prieinamą ankstyvąjį </w:t>
          </w:r>
          <w:bookmarkStart w:id="0" w:name="_GoBack"/>
          <w:bookmarkEnd w:id="0"/>
          <w:r>
            <w:rPr>
              <w:szCs w:val="24"/>
            </w:rPr>
            <w:t xml:space="preserve">ugdymą“ </w:t>
          </w:r>
          <w:r>
            <w:rPr>
              <w:bCs/>
              <w:szCs w:val="24"/>
            </w:rPr>
            <w:t xml:space="preserve">aprašo </w:t>
          </w:r>
        </w:p>
        <w:p w:rsidR="00BC34F5" w:rsidRDefault="00D808B1">
          <w:pPr>
            <w:ind w:left="9639"/>
            <w:jc w:val="both"/>
            <w:rPr>
              <w:szCs w:val="24"/>
            </w:rPr>
          </w:pPr>
          <w:sdt>
            <w:sdtPr>
              <w:alias w:val="Numeris"/>
              <w:tag w:val="nr_8e39cfd27586412f97df12ebdcfda72e"/>
              <w:id w:val="-1291119984"/>
              <w:lock w:val="sdtLocked"/>
            </w:sdtPr>
            <w:sdtEndPr/>
            <w:sdtContent>
              <w:r>
                <w:rPr>
                  <w:szCs w:val="24"/>
                </w:rPr>
                <w:t>3</w:t>
              </w:r>
            </w:sdtContent>
          </w:sdt>
          <w:r>
            <w:rPr>
              <w:szCs w:val="24"/>
            </w:rPr>
            <w:t xml:space="preserve"> priedas</w:t>
          </w:r>
        </w:p>
        <w:p w:rsidR="00BC34F5" w:rsidRDefault="00BC34F5">
          <w:pPr>
            <w:jc w:val="center"/>
            <w:rPr>
              <w:iCs/>
              <w:szCs w:val="24"/>
            </w:rPr>
          </w:pPr>
        </w:p>
        <w:p w:rsidR="00BC34F5" w:rsidRDefault="00D808B1">
          <w:pPr>
            <w:jc w:val="center"/>
            <w:rPr>
              <w:b/>
              <w:bCs/>
              <w:szCs w:val="24"/>
            </w:rPr>
          </w:pPr>
          <w:sdt>
            <w:sdtPr>
              <w:alias w:val="Pavadinimas"/>
              <w:tag w:val="title_8e39cfd27586412f97df12ebdcfda72e"/>
              <w:id w:val="2033835055"/>
              <w:lock w:val="sdtLocked"/>
            </w:sdtPr>
            <w:sdtEndPr/>
            <w:sdtContent>
              <w:r>
                <w:rPr>
                  <w:b/>
                  <w:bCs/>
                  <w:szCs w:val="24"/>
                </w:rPr>
                <w:t xml:space="preserve">2021–2030 M. PLĖTROS PROGRAMOS VALDYTOJOS LIETUVOS RESPUBLIKOS ŠVIETIMO, MOKSLO IR SPORTO MINISTERIJOS ŠVIETIMO PLĖTROS PROGRAMOS PAŽANGOS PRIEMONĖS NR. </w:t>
              </w:r>
              <w:r>
                <w:rPr>
                  <w:b/>
                  <w:bCs/>
                  <w:lang w:eastAsia="lt-LT"/>
                </w:rPr>
                <w:t>12-003-03-01-</w:t>
              </w:r>
              <w:r>
                <w:rPr>
                  <w:b/>
                  <w:bCs/>
                  <w:lang w:eastAsia="lt-LT"/>
                </w:rPr>
                <w:t>04</w:t>
              </w:r>
              <w:r>
                <w:rPr>
                  <w:b/>
                  <w:bCs/>
                  <w:i/>
                  <w:iCs/>
                  <w:lang w:eastAsia="lt-LT"/>
                </w:rPr>
                <w:t xml:space="preserve"> </w:t>
              </w:r>
              <w:r>
                <w:rPr>
                  <w:b/>
                  <w:bCs/>
                  <w:lang w:eastAsia="lt-LT"/>
                </w:rPr>
                <w:t>„UŽTIKRINTI VISIEMS PRIEINAMĄ ANKSTYVĄJĮ UGDYMĄ“</w:t>
              </w:r>
              <w:r>
                <w:rPr>
                  <w:b/>
                  <w:bCs/>
                  <w:i/>
                  <w:iCs/>
                  <w:lang w:eastAsia="lt-LT"/>
                </w:rPr>
                <w:t xml:space="preserve"> </w:t>
              </w:r>
              <w:r>
                <w:rPr>
                  <w:b/>
                  <w:bCs/>
                  <w:szCs w:val="24"/>
                </w:rPr>
                <w:t>PROJEKTŲ FINANSAVIMO SĄLYGŲ APRAŠAS NR. 3</w:t>
              </w:r>
            </w:sdtContent>
          </w:sdt>
        </w:p>
        <w:p w:rsidR="00BC34F5" w:rsidRDefault="00BC34F5">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C34F5">
            <w:tc>
              <w:tcPr>
                <w:tcW w:w="15155" w:type="dxa"/>
                <w:gridSpan w:val="13"/>
                <w:vAlign w:val="center"/>
              </w:tcPr>
              <w:p w:rsidR="00BC34F5" w:rsidRDefault="00D808B1">
                <w:pPr>
                  <w:jc w:val="center"/>
                  <w:rPr>
                    <w:b/>
                    <w:sz w:val="22"/>
                    <w:szCs w:val="22"/>
                  </w:rPr>
                </w:pPr>
                <w:r>
                  <w:rPr>
                    <w:b/>
                    <w:sz w:val="22"/>
                    <w:szCs w:val="22"/>
                  </w:rPr>
                  <w:t>VEIKLOS AR POVEIKLĖS, KURIOMS NUSTATOMOS PROJEKTŲ FINANSAVIMO SĄLYGOS</w:t>
                </w:r>
              </w:p>
            </w:tc>
          </w:tr>
          <w:tr w:rsidR="00BC34F5">
            <w:tc>
              <w:tcPr>
                <w:tcW w:w="1110" w:type="dxa"/>
                <w:vAlign w:val="center"/>
              </w:tcPr>
              <w:p w:rsidR="00BC34F5" w:rsidRDefault="00D808B1">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rsidR="00BC34F5" w:rsidRDefault="00D808B1">
                <w:pPr>
                  <w:jc w:val="center"/>
                  <w:rPr>
                    <w:b/>
                    <w:sz w:val="20"/>
                  </w:rPr>
                </w:pPr>
                <w:proofErr w:type="spellStart"/>
                <w:r>
                  <w:rPr>
                    <w:b/>
                    <w:sz w:val="20"/>
                  </w:rPr>
                  <w:t>Finansa</w:t>
                </w:r>
                <w:proofErr w:type="spellEnd"/>
                <w:r>
                  <w:rPr>
                    <w:b/>
                    <w:sz w:val="20"/>
                  </w:rPr>
                  <w:t>-vimo šaltinis</w:t>
                </w:r>
              </w:p>
            </w:tc>
            <w:tc>
              <w:tcPr>
                <w:tcW w:w="1236" w:type="dxa"/>
                <w:vAlign w:val="center"/>
              </w:tcPr>
              <w:p w:rsidR="00BC34F5" w:rsidRDefault="00D808B1">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BC34F5" w:rsidRDefault="00D808B1">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BC34F5" w:rsidRDefault="00D808B1">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BC34F5" w:rsidRDefault="00D808B1">
                <w:pPr>
                  <w:jc w:val="center"/>
                  <w:rPr>
                    <w:b/>
                    <w:sz w:val="20"/>
                  </w:rPr>
                </w:pPr>
                <w:r>
                  <w:rPr>
                    <w:b/>
                    <w:sz w:val="20"/>
                  </w:rPr>
                  <w:t>Intervencinės priemonės kodas</w:t>
                </w:r>
              </w:p>
            </w:tc>
            <w:tc>
              <w:tcPr>
                <w:tcW w:w="1344" w:type="dxa"/>
                <w:vAlign w:val="center"/>
              </w:tcPr>
              <w:p w:rsidR="00BC34F5" w:rsidRDefault="00D808B1">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C34F5" w:rsidRDefault="00D808B1">
                <w:pPr>
                  <w:jc w:val="center"/>
                  <w:rPr>
                    <w:b/>
                    <w:sz w:val="20"/>
                  </w:rPr>
                </w:pPr>
                <w:r>
                  <w:rPr>
                    <w:b/>
                    <w:bCs/>
                    <w:sz w:val="20"/>
                  </w:rPr>
                  <w:t>Paramos formos kodas</w:t>
                </w:r>
              </w:p>
            </w:tc>
            <w:tc>
              <w:tcPr>
                <w:tcW w:w="1344" w:type="dxa"/>
                <w:vAlign w:val="center"/>
              </w:tcPr>
              <w:p w:rsidR="00BC34F5" w:rsidRDefault="00D808B1">
                <w:pPr>
                  <w:jc w:val="center"/>
                  <w:rPr>
                    <w:b/>
                    <w:sz w:val="20"/>
                  </w:rPr>
                </w:pPr>
                <w:r>
                  <w:rPr>
                    <w:b/>
                    <w:bCs/>
                    <w:sz w:val="20"/>
                  </w:rPr>
                  <w:t>Pagrindinės teritorinės srities kodas (-ai)</w:t>
                </w:r>
              </w:p>
            </w:tc>
            <w:tc>
              <w:tcPr>
                <w:tcW w:w="1051" w:type="dxa"/>
                <w:vAlign w:val="center"/>
              </w:tcPr>
              <w:p w:rsidR="00BC34F5" w:rsidRDefault="00D808B1">
                <w:pPr>
                  <w:jc w:val="center"/>
                  <w:rPr>
                    <w:b/>
                    <w:bCs/>
                    <w:sz w:val="20"/>
                  </w:rPr>
                </w:pPr>
                <w:proofErr w:type="spellStart"/>
                <w:r>
                  <w:rPr>
                    <w:b/>
                    <w:bCs/>
                    <w:sz w:val="20"/>
                  </w:rPr>
                  <w:t>Ekono</w:t>
                </w:r>
                <w:proofErr w:type="spellEnd"/>
                <w:r>
                  <w:rPr>
                    <w:b/>
                    <w:bCs/>
                    <w:sz w:val="20"/>
                  </w:rPr>
                  <w:t xml:space="preserve">-minės veiklos kodas </w:t>
                </w:r>
              </w:p>
              <w:p w:rsidR="00BC34F5" w:rsidRDefault="00D808B1">
                <w:pPr>
                  <w:jc w:val="center"/>
                  <w:rPr>
                    <w:b/>
                    <w:sz w:val="20"/>
                  </w:rPr>
                </w:pPr>
                <w:r>
                  <w:rPr>
                    <w:b/>
                    <w:bCs/>
                    <w:sz w:val="20"/>
                  </w:rPr>
                  <w:t>(-ai)</w:t>
                </w:r>
              </w:p>
            </w:tc>
            <w:tc>
              <w:tcPr>
                <w:tcW w:w="1132" w:type="dxa"/>
                <w:vAlign w:val="center"/>
              </w:tcPr>
              <w:p w:rsidR="00BC34F5" w:rsidRDefault="00D808B1">
                <w:pPr>
                  <w:jc w:val="center"/>
                  <w:rPr>
                    <w:b/>
                    <w:bCs/>
                    <w:sz w:val="20"/>
                  </w:rPr>
                </w:pPr>
                <w:r>
                  <w:rPr>
                    <w:b/>
                    <w:bCs/>
                    <w:sz w:val="20"/>
                  </w:rPr>
                  <w:t>„Europos socialinio fondo +“ (tolia</w:t>
                </w:r>
                <w:r>
                  <w:rPr>
                    <w:b/>
                    <w:bCs/>
                    <w:sz w:val="20"/>
                  </w:rPr>
                  <w:t>u – ESF+) antrinių temų kodai</w:t>
                </w:r>
              </w:p>
            </w:tc>
            <w:tc>
              <w:tcPr>
                <w:tcW w:w="859" w:type="dxa"/>
                <w:vAlign w:val="center"/>
              </w:tcPr>
              <w:p w:rsidR="00BC34F5" w:rsidRDefault="00D808B1">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BC34F5" w:rsidRDefault="00D808B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BC34F5" w:rsidRDefault="00D808B1">
                <w:pPr>
                  <w:jc w:val="center"/>
                  <w:rPr>
                    <w:b/>
                    <w:bCs/>
                    <w:sz w:val="20"/>
                  </w:rPr>
                </w:pPr>
                <w:r>
                  <w:rPr>
                    <w:b/>
                    <w:sz w:val="20"/>
                  </w:rPr>
                  <w:t>(Taip / Ne)</w:t>
                </w:r>
              </w:p>
            </w:tc>
          </w:tr>
          <w:tr w:rsidR="00BC34F5">
            <w:trPr>
              <w:trHeight w:val="278"/>
            </w:trPr>
            <w:tc>
              <w:tcPr>
                <w:tcW w:w="1110" w:type="dxa"/>
                <w:tcMar>
                  <w:left w:w="28" w:type="dxa"/>
                  <w:right w:w="28" w:type="dxa"/>
                </w:tcMar>
              </w:tcPr>
              <w:p w:rsidR="00BC34F5" w:rsidRDefault="00D808B1">
                <w:pPr>
                  <w:ind w:firstLine="48"/>
                  <w:rPr>
                    <w:sz w:val="20"/>
                  </w:rPr>
                </w:pPr>
                <w:r>
                  <w:rPr>
                    <w:sz w:val="20"/>
                  </w:rPr>
                  <w:t xml:space="preserve">3. Sukurti įstaigų, vykdančių ikimokyklinio ugdymo programas, stiprinimo paketą, apimantį mokymąsi vieniems iš kitų (angl. </w:t>
                </w:r>
                <w:proofErr w:type="spellStart"/>
                <w:r>
                  <w:rPr>
                    <w:i/>
                    <w:iCs/>
                    <w:sz w:val="20"/>
                  </w:rPr>
                  <w:t>peer-learning</w:t>
                </w:r>
                <w:proofErr w:type="spellEnd"/>
                <w:r>
                  <w:rPr>
                    <w:sz w:val="20"/>
                  </w:rPr>
                  <w:t xml:space="preserve">), ikimokyklinio ugdymo mokytojų </w:t>
                </w:r>
                <w:r>
                  <w:rPr>
                    <w:sz w:val="20"/>
                  </w:rPr>
                  <w:lastRenderedPageBreak/>
                  <w:t>kompetencijų atnaujinimą ir stiprinimą, aprūpinimą moderniomis darbo vietomis</w:t>
                </w:r>
              </w:p>
            </w:tc>
            <w:tc>
              <w:tcPr>
                <w:tcW w:w="1125" w:type="dxa"/>
                <w:tcMar>
                  <w:left w:w="28" w:type="dxa"/>
                  <w:right w:w="28" w:type="dxa"/>
                </w:tcMar>
              </w:tcPr>
              <w:p w:rsidR="00BC34F5" w:rsidRDefault="00D808B1">
                <w:pPr>
                  <w:jc w:val="center"/>
                  <w:rPr>
                    <w:b/>
                    <w:sz w:val="20"/>
                  </w:rPr>
                </w:pPr>
                <w:r>
                  <w:rPr>
                    <w:sz w:val="20"/>
                  </w:rPr>
                  <w:lastRenderedPageBreak/>
                  <w:t>Europos S</w:t>
                </w:r>
                <w:r>
                  <w:rPr>
                    <w:sz w:val="20"/>
                  </w:rPr>
                  <w:t>ąjungos fondų lėšos ir bendrojo finansavimo lėšos</w:t>
                </w:r>
              </w:p>
            </w:tc>
            <w:tc>
              <w:tcPr>
                <w:tcW w:w="1236" w:type="dxa"/>
                <w:tcMar>
                  <w:left w:w="28" w:type="dxa"/>
                  <w:right w:w="28" w:type="dxa"/>
                </w:tcMar>
              </w:tcPr>
              <w:p w:rsidR="00BC34F5" w:rsidRDefault="00D808B1">
                <w:pPr>
                  <w:jc w:val="center"/>
                  <w:rPr>
                    <w:sz w:val="20"/>
                  </w:rPr>
                </w:pPr>
                <w:r>
                  <w:rPr>
                    <w:sz w:val="20"/>
                  </w:rPr>
                  <w:t xml:space="preserve">4. </w:t>
                </w:r>
              </w:p>
            </w:tc>
            <w:tc>
              <w:tcPr>
                <w:tcW w:w="1134" w:type="dxa"/>
                <w:tcMar>
                  <w:left w:w="28" w:type="dxa"/>
                  <w:right w:w="28" w:type="dxa"/>
                </w:tcMar>
              </w:tcPr>
              <w:p w:rsidR="00BC34F5" w:rsidRDefault="00D808B1">
                <w:pPr>
                  <w:jc w:val="center"/>
                  <w:rPr>
                    <w:sz w:val="20"/>
                  </w:rPr>
                </w:pPr>
                <w:r>
                  <w:rPr>
                    <w:sz w:val="20"/>
                  </w:rPr>
                  <w:t xml:space="preserve">4.3. </w:t>
                </w:r>
              </w:p>
            </w:tc>
            <w:tc>
              <w:tcPr>
                <w:tcW w:w="1134" w:type="dxa"/>
                <w:tcMar>
                  <w:left w:w="28" w:type="dxa"/>
                  <w:right w:w="28" w:type="dxa"/>
                </w:tcMar>
              </w:tcPr>
              <w:p w:rsidR="00BC34F5" w:rsidRDefault="00D808B1">
                <w:pPr>
                  <w:rPr>
                    <w:sz w:val="20"/>
                  </w:rPr>
                </w:pPr>
                <w:r>
                  <w:rPr>
                    <w:sz w:val="20"/>
                  </w:rPr>
                  <w:t xml:space="preserve">4.3.2. Užtikrinant vienodas starto švietime galimybes, padidinti ikimokyklinio ugdymo ir visos dienos mokyklos prieinamas paslaugas asmenims, patiriantiems atskirtį ar socialines </w:t>
                </w:r>
                <w:r>
                  <w:rPr>
                    <w:sz w:val="20"/>
                  </w:rPr>
                  <w:lastRenderedPageBreak/>
                  <w:t>rizikas, dėl kuri</w:t>
                </w:r>
                <w:r>
                  <w:rPr>
                    <w:sz w:val="20"/>
                  </w:rPr>
                  <w:t>ų kyla grėsmė patirti socialinę atskirtį</w:t>
                </w:r>
              </w:p>
            </w:tc>
            <w:tc>
              <w:tcPr>
                <w:tcW w:w="1457" w:type="dxa"/>
                <w:tcMar>
                  <w:left w:w="28" w:type="dxa"/>
                  <w:right w:w="28" w:type="dxa"/>
                </w:tcMar>
              </w:tcPr>
              <w:p w:rsidR="00BC34F5" w:rsidRDefault="00D808B1">
                <w:pPr>
                  <w:jc w:val="center"/>
                  <w:rPr>
                    <w:iCs/>
                    <w:sz w:val="20"/>
                  </w:rPr>
                </w:pPr>
                <w:r>
                  <w:rPr>
                    <w:iCs/>
                    <w:sz w:val="20"/>
                  </w:rPr>
                  <w:lastRenderedPageBreak/>
                  <w:t>148</w:t>
                </w:r>
              </w:p>
              <w:p w:rsidR="00BC34F5" w:rsidRDefault="00BC34F5">
                <w:pPr>
                  <w:jc w:val="center"/>
                  <w:rPr>
                    <w:iCs/>
                    <w:sz w:val="20"/>
                  </w:rPr>
                </w:pPr>
              </w:p>
              <w:p w:rsidR="00BC34F5" w:rsidRDefault="00BC34F5">
                <w:pPr>
                  <w:jc w:val="center"/>
                  <w:rPr>
                    <w:sz w:val="20"/>
                  </w:rPr>
                </w:pPr>
              </w:p>
            </w:tc>
            <w:tc>
              <w:tcPr>
                <w:tcW w:w="1344" w:type="dxa"/>
                <w:tcMar>
                  <w:left w:w="28" w:type="dxa"/>
                  <w:right w:w="28" w:type="dxa"/>
                </w:tcMar>
              </w:tcPr>
              <w:p w:rsidR="00BC34F5" w:rsidRDefault="00D808B1">
                <w:pPr>
                  <w:jc w:val="center"/>
                  <w:rPr>
                    <w:iCs/>
                    <w:sz w:val="20"/>
                  </w:rPr>
                </w:pPr>
                <w:r>
                  <w:rPr>
                    <w:iCs/>
                    <w:sz w:val="20"/>
                  </w:rPr>
                  <w:t>Vidurio ir vakarų Lietuvos</w:t>
                </w:r>
              </w:p>
              <w:p w:rsidR="00BC34F5" w:rsidRDefault="00D808B1">
                <w:pPr>
                  <w:jc w:val="center"/>
                  <w:rPr>
                    <w:sz w:val="20"/>
                  </w:rPr>
                </w:pPr>
                <w:r>
                  <w:rPr>
                    <w:iCs/>
                    <w:sz w:val="20"/>
                  </w:rPr>
                  <w:t>regionas</w:t>
                </w:r>
              </w:p>
            </w:tc>
            <w:tc>
              <w:tcPr>
                <w:tcW w:w="1080" w:type="dxa"/>
                <w:tcMar>
                  <w:left w:w="28" w:type="dxa"/>
                  <w:right w:w="28" w:type="dxa"/>
                </w:tcMar>
              </w:tcPr>
              <w:p w:rsidR="00BC34F5" w:rsidRDefault="00D808B1">
                <w:pPr>
                  <w:jc w:val="center"/>
                  <w:rPr>
                    <w:sz w:val="20"/>
                  </w:rPr>
                </w:pPr>
                <w:r>
                  <w:rPr>
                    <w:sz w:val="20"/>
                  </w:rPr>
                  <w:t xml:space="preserve">01 </w:t>
                </w:r>
                <w:r>
                  <w:rPr>
                    <w:iCs/>
                    <w:sz w:val="20"/>
                  </w:rPr>
                  <w:t>–</w:t>
                </w:r>
                <w:r>
                  <w:rPr>
                    <w:sz w:val="20"/>
                  </w:rPr>
                  <w:t xml:space="preserve"> dotacija</w:t>
                </w:r>
              </w:p>
            </w:tc>
            <w:tc>
              <w:tcPr>
                <w:tcW w:w="1344" w:type="dxa"/>
                <w:tcMar>
                  <w:left w:w="28" w:type="dxa"/>
                  <w:right w:w="28" w:type="dxa"/>
                </w:tcMar>
              </w:tcPr>
              <w:p w:rsidR="00BC34F5" w:rsidRDefault="00D808B1">
                <w:pPr>
                  <w:jc w:val="center"/>
                  <w:rPr>
                    <w:sz w:val="20"/>
                  </w:rPr>
                </w:pPr>
                <w:r>
                  <w:rPr>
                    <w:iCs/>
                    <w:sz w:val="20"/>
                  </w:rPr>
                  <w:t>33 – nesiorientuojant į teritorinį principą</w:t>
                </w:r>
              </w:p>
            </w:tc>
            <w:tc>
              <w:tcPr>
                <w:tcW w:w="1051" w:type="dxa"/>
                <w:tcMar>
                  <w:left w:w="28" w:type="dxa"/>
                  <w:right w:w="28" w:type="dxa"/>
                </w:tcMar>
              </w:tcPr>
              <w:p w:rsidR="00BC34F5" w:rsidRDefault="00D808B1">
                <w:pPr>
                  <w:jc w:val="center"/>
                  <w:rPr>
                    <w:sz w:val="20"/>
                  </w:rPr>
                </w:pPr>
                <w:r>
                  <w:rPr>
                    <w:iCs/>
                    <w:sz w:val="20"/>
                  </w:rPr>
                  <w:t>21 – švietimas</w:t>
                </w:r>
              </w:p>
            </w:tc>
            <w:tc>
              <w:tcPr>
                <w:tcW w:w="1132" w:type="dxa"/>
                <w:tcMar>
                  <w:left w:w="28" w:type="dxa"/>
                  <w:right w:w="28" w:type="dxa"/>
                </w:tcMar>
              </w:tcPr>
              <w:p w:rsidR="00BC34F5" w:rsidRDefault="00D808B1">
                <w:pPr>
                  <w:jc w:val="center"/>
                  <w:rPr>
                    <w:sz w:val="20"/>
                  </w:rPr>
                </w:pPr>
                <w:r>
                  <w:rPr>
                    <w:iCs/>
                    <w:sz w:val="20"/>
                  </w:rPr>
                  <w:t>09 – netaikoma</w:t>
                </w:r>
              </w:p>
            </w:tc>
            <w:tc>
              <w:tcPr>
                <w:tcW w:w="859" w:type="dxa"/>
                <w:tcMar>
                  <w:left w:w="28" w:type="dxa"/>
                  <w:right w:w="28" w:type="dxa"/>
                </w:tcMar>
              </w:tcPr>
              <w:p w:rsidR="00BC34F5" w:rsidRDefault="00D808B1">
                <w:pPr>
                  <w:jc w:val="center"/>
                  <w:rPr>
                    <w:sz w:val="20"/>
                  </w:rPr>
                </w:pPr>
                <w:r>
                  <w:rPr>
                    <w:iCs/>
                    <w:sz w:val="20"/>
                  </w:rPr>
                  <w:t>03 – neutralumas lyties požiūriu</w:t>
                </w:r>
              </w:p>
            </w:tc>
            <w:tc>
              <w:tcPr>
                <w:tcW w:w="1149" w:type="dxa"/>
              </w:tcPr>
              <w:p w:rsidR="00BC34F5" w:rsidRDefault="00D808B1">
                <w:pPr>
                  <w:jc w:val="center"/>
                  <w:rPr>
                    <w:sz w:val="20"/>
                  </w:rPr>
                </w:pPr>
                <w:r>
                  <w:rPr>
                    <w:sz w:val="20"/>
                  </w:rPr>
                  <w:t>Ne</w:t>
                </w:r>
              </w:p>
            </w:tc>
          </w:tr>
        </w:tbl>
        <w:p w:rsidR="00BC34F5" w:rsidRDefault="00BC34F5">
          <w:pPr>
            <w:ind w:firstLine="567"/>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BC34F5">
            <w:trPr>
              <w:trHeight w:val="405"/>
            </w:trPr>
            <w:tc>
              <w:tcPr>
                <w:tcW w:w="3688" w:type="dxa"/>
                <w:shd w:val="clear" w:color="auto" w:fill="auto"/>
                <w:vAlign w:val="center"/>
              </w:tcPr>
              <w:p w:rsidR="00BC34F5" w:rsidRDefault="00D808B1">
                <w:pPr>
                  <w:jc w:val="center"/>
                  <w:rPr>
                    <w:szCs w:val="24"/>
                  </w:rPr>
                </w:pPr>
                <w:r>
                  <w:rPr>
                    <w:szCs w:val="24"/>
                  </w:rPr>
                  <w:t>Rodiklio pavadinimas</w:t>
                </w:r>
              </w:p>
            </w:tc>
            <w:tc>
              <w:tcPr>
                <w:tcW w:w="3688" w:type="dxa"/>
                <w:shd w:val="clear" w:color="auto" w:fill="auto"/>
                <w:vAlign w:val="center"/>
              </w:tcPr>
              <w:p w:rsidR="00BC34F5" w:rsidRDefault="00D808B1">
                <w:pPr>
                  <w:jc w:val="center"/>
                  <w:rPr>
                    <w:szCs w:val="24"/>
                  </w:rPr>
                </w:pPr>
                <w:r>
                  <w:rPr>
                    <w:szCs w:val="24"/>
                  </w:rPr>
                  <w:t>Rodiklio kodas</w:t>
                </w:r>
              </w:p>
            </w:tc>
            <w:tc>
              <w:tcPr>
                <w:tcW w:w="3688" w:type="dxa"/>
                <w:shd w:val="clear" w:color="auto" w:fill="auto"/>
                <w:vAlign w:val="center"/>
              </w:tcPr>
              <w:p w:rsidR="00BC34F5" w:rsidRDefault="00D808B1">
                <w:pPr>
                  <w:jc w:val="center"/>
                  <w:rPr>
                    <w:szCs w:val="24"/>
                  </w:rPr>
                </w:pPr>
                <w:r>
                  <w:rPr>
                    <w:szCs w:val="24"/>
                  </w:rPr>
                  <w:t xml:space="preserve">Matavimo </w:t>
                </w:r>
                <w:r>
                  <w:rPr>
                    <w:szCs w:val="24"/>
                  </w:rPr>
                  <w:t>vienetai</w:t>
                </w:r>
              </w:p>
            </w:tc>
            <w:tc>
              <w:tcPr>
                <w:tcW w:w="4099" w:type="dxa"/>
                <w:shd w:val="clear" w:color="auto" w:fill="auto"/>
                <w:vAlign w:val="center"/>
              </w:tcPr>
              <w:p w:rsidR="00BC34F5" w:rsidRDefault="00D808B1">
                <w:pPr>
                  <w:jc w:val="center"/>
                  <w:rPr>
                    <w:szCs w:val="24"/>
                    <w:lang w:val="en-US"/>
                  </w:rPr>
                </w:pPr>
                <w:r>
                  <w:rPr>
                    <w:szCs w:val="24"/>
                  </w:rPr>
                  <w:t>Siektina reikšmė</w:t>
                </w:r>
              </w:p>
            </w:tc>
          </w:tr>
          <w:tr w:rsidR="00BC34F5">
            <w:trPr>
              <w:trHeight w:val="725"/>
            </w:trPr>
            <w:tc>
              <w:tcPr>
                <w:tcW w:w="3688" w:type="dxa"/>
                <w:vAlign w:val="center"/>
              </w:tcPr>
              <w:p w:rsidR="00BC34F5" w:rsidRDefault="00D808B1">
                <w:pPr>
                  <w:jc w:val="center"/>
                  <w:rPr>
                    <w:szCs w:val="24"/>
                  </w:rPr>
                </w:pPr>
                <w:r>
                  <w:rPr>
                    <w:szCs w:val="24"/>
                  </w:rPr>
                  <w:t>Asmenų, kurie dalyvavę mokymuose įgijo kompetenciją, dalis</w:t>
                </w:r>
              </w:p>
            </w:tc>
            <w:tc>
              <w:tcPr>
                <w:tcW w:w="3688" w:type="dxa"/>
                <w:vAlign w:val="center"/>
              </w:tcPr>
              <w:p w:rsidR="00BC34F5" w:rsidRDefault="00D808B1">
                <w:pPr>
                  <w:jc w:val="center"/>
                  <w:rPr>
                    <w:szCs w:val="24"/>
                  </w:rPr>
                </w:pPr>
                <w:r>
                  <w:rPr>
                    <w:szCs w:val="24"/>
                  </w:rPr>
                  <w:t>R-12-003-03-01-04-09</w:t>
                </w:r>
              </w:p>
              <w:p w:rsidR="00BC34F5" w:rsidRDefault="00D808B1">
                <w:pPr>
                  <w:jc w:val="center"/>
                  <w:rPr>
                    <w:szCs w:val="24"/>
                  </w:rPr>
                </w:pPr>
                <w:r>
                  <w:rPr>
                    <w:color w:val="000000"/>
                    <w:szCs w:val="24"/>
                    <w:lang w:eastAsia="lt-LT"/>
                  </w:rPr>
                  <w:t>R.S.2.3512</w:t>
                </w:r>
              </w:p>
            </w:tc>
            <w:tc>
              <w:tcPr>
                <w:tcW w:w="3688" w:type="dxa"/>
                <w:vAlign w:val="center"/>
              </w:tcPr>
              <w:p w:rsidR="00BC34F5" w:rsidRDefault="00D808B1">
                <w:pPr>
                  <w:jc w:val="center"/>
                  <w:rPr>
                    <w:szCs w:val="24"/>
                  </w:rPr>
                </w:pPr>
                <w:r>
                  <w:rPr>
                    <w:szCs w:val="24"/>
                  </w:rPr>
                  <w:t>Procentas</w:t>
                </w:r>
              </w:p>
            </w:tc>
            <w:tc>
              <w:tcPr>
                <w:tcW w:w="4099" w:type="dxa"/>
                <w:vAlign w:val="center"/>
              </w:tcPr>
              <w:p w:rsidR="00BC34F5" w:rsidRDefault="00D808B1">
                <w:pPr>
                  <w:jc w:val="center"/>
                  <w:rPr>
                    <w:szCs w:val="24"/>
                  </w:rPr>
                </w:pPr>
                <w:r>
                  <w:rPr>
                    <w:szCs w:val="24"/>
                  </w:rPr>
                  <w:t>80</w:t>
                </w:r>
              </w:p>
            </w:tc>
          </w:tr>
          <w:tr w:rsidR="00BC34F5">
            <w:trPr>
              <w:trHeight w:val="725"/>
            </w:trPr>
            <w:tc>
              <w:tcPr>
                <w:tcW w:w="3688" w:type="dxa"/>
                <w:vAlign w:val="center"/>
              </w:tcPr>
              <w:p w:rsidR="00BC34F5" w:rsidRDefault="00D808B1">
                <w:pPr>
                  <w:jc w:val="center"/>
                  <w:rPr>
                    <w:szCs w:val="24"/>
                  </w:rPr>
                </w:pPr>
                <w:r>
                  <w:rPr>
                    <w:szCs w:val="24"/>
                  </w:rPr>
                  <w:t>Asmenys, turintys tretinį (ISCED 5–8 kodai) išsilavinimą</w:t>
                </w:r>
              </w:p>
            </w:tc>
            <w:tc>
              <w:tcPr>
                <w:tcW w:w="3688" w:type="dxa"/>
                <w:vAlign w:val="center"/>
              </w:tcPr>
              <w:p w:rsidR="00BC34F5" w:rsidRDefault="00D808B1">
                <w:pPr>
                  <w:jc w:val="center"/>
                  <w:rPr>
                    <w:szCs w:val="24"/>
                  </w:rPr>
                </w:pPr>
                <w:r>
                  <w:rPr>
                    <w:szCs w:val="24"/>
                  </w:rPr>
                  <w:t>P-12-003-03-01-04-06</w:t>
                </w:r>
              </w:p>
              <w:p w:rsidR="00BC34F5" w:rsidRDefault="00D808B1">
                <w:pPr>
                  <w:jc w:val="center"/>
                  <w:rPr>
                    <w:szCs w:val="24"/>
                  </w:rPr>
                </w:pPr>
                <w:r>
                  <w:rPr>
                    <w:color w:val="000000"/>
                    <w:szCs w:val="24"/>
                    <w:lang w:eastAsia="lt-LT"/>
                  </w:rPr>
                  <w:t>P.B.2.0511</w:t>
                </w:r>
              </w:p>
            </w:tc>
            <w:tc>
              <w:tcPr>
                <w:tcW w:w="3688" w:type="dxa"/>
                <w:vAlign w:val="center"/>
              </w:tcPr>
              <w:p w:rsidR="00BC34F5" w:rsidRDefault="00D808B1">
                <w:pPr>
                  <w:jc w:val="center"/>
                  <w:rPr>
                    <w:szCs w:val="24"/>
                  </w:rPr>
                </w:pPr>
                <w:r>
                  <w:rPr>
                    <w:szCs w:val="24"/>
                  </w:rPr>
                  <w:t>Asmenys</w:t>
                </w:r>
              </w:p>
            </w:tc>
            <w:tc>
              <w:tcPr>
                <w:tcW w:w="4099" w:type="dxa"/>
                <w:vAlign w:val="center"/>
              </w:tcPr>
              <w:p w:rsidR="00BC34F5" w:rsidRDefault="00D808B1">
                <w:pPr>
                  <w:jc w:val="center"/>
                  <w:rPr>
                    <w:szCs w:val="24"/>
                  </w:rPr>
                </w:pPr>
                <w:r>
                  <w:rPr>
                    <w:szCs w:val="24"/>
                  </w:rPr>
                  <w:t>1 370</w:t>
                </w:r>
              </w:p>
            </w:tc>
          </w:tr>
        </w:tbl>
        <w:p w:rsidR="00BC34F5" w:rsidRDefault="00BC34F5">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C34F5">
            <w:trPr>
              <w:trHeight w:val="298"/>
            </w:trPr>
            <w:tc>
              <w:tcPr>
                <w:tcW w:w="15158" w:type="dxa"/>
              </w:tcPr>
              <w:p w:rsidR="00BC34F5" w:rsidRDefault="00D808B1">
                <w:pPr>
                  <w:jc w:val="both"/>
                  <w:rPr>
                    <w:szCs w:val="24"/>
                  </w:rPr>
                </w:pPr>
                <w:r>
                  <w:rPr>
                    <w:szCs w:val="24"/>
                  </w:rPr>
                  <w:t xml:space="preserve">Ministerijos </w:t>
                </w:r>
                <w:r>
                  <w:rPr>
                    <w:szCs w:val="24"/>
                  </w:rPr>
                  <w:t>stebėsenos rodiklių aprašymo kortelės</w:t>
                </w:r>
              </w:p>
            </w:tc>
          </w:tr>
          <w:tr w:rsidR="00BC34F5">
            <w:trPr>
              <w:trHeight w:val="315"/>
            </w:trPr>
            <w:tc>
              <w:tcPr>
                <w:tcW w:w="15158" w:type="dxa"/>
              </w:tcPr>
              <w:p w:rsidR="00BC34F5" w:rsidRDefault="00D808B1">
                <w:pPr>
                  <w:rPr>
                    <w:i/>
                    <w:szCs w:val="24"/>
                  </w:rPr>
                </w:pPr>
                <w:r>
                  <w:rPr>
                    <w:i/>
                    <w:color w:val="0563C1"/>
                    <w:szCs w:val="24"/>
                    <w:u w:val="single"/>
                  </w:rPr>
                  <w:t>https://smsm.lrv.lt/uploads/smsm/documents/files/Steb%C4%97senos%2Brodikli%C5%B3%2Bapra%C5%A1ym%C5%B3%2Bkortel%C4%97s_05-26.pdf</w:t>
                </w:r>
              </w:p>
            </w:tc>
          </w:tr>
        </w:tbl>
        <w:p w:rsidR="00BC34F5" w:rsidRDefault="00BC34F5">
          <w:pPr>
            <w:jc w:val="both"/>
            <w:rPr>
              <w:szCs w:val="24"/>
            </w:rPr>
          </w:pPr>
        </w:p>
        <w:p w:rsidR="00BC34F5" w:rsidRDefault="00BC34F5">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BC34F5">
            <w:tc>
              <w:tcPr>
                <w:tcW w:w="15134" w:type="dxa"/>
              </w:tcPr>
              <w:p w:rsidR="00BC34F5" w:rsidRDefault="00D808B1">
                <w:pPr>
                  <w:rPr>
                    <w:b/>
                    <w:szCs w:val="24"/>
                  </w:rPr>
                </w:pPr>
                <w:r>
                  <w:rPr>
                    <w:b/>
                    <w:szCs w:val="24"/>
                  </w:rPr>
                  <w:t>SPECIALIEJI FINANSAVIMO REIKALAVIMAI</w:t>
                </w:r>
              </w:p>
            </w:tc>
          </w:tr>
          <w:tr w:rsidR="00BC34F5">
            <w:tc>
              <w:tcPr>
                <w:tcW w:w="15134" w:type="dxa"/>
              </w:tcPr>
              <w:p w:rsidR="00BC34F5" w:rsidRDefault="00D808B1">
                <w:pPr>
                  <w:rPr>
                    <w:b/>
                    <w:bCs/>
                    <w:szCs w:val="24"/>
                  </w:rPr>
                </w:pPr>
                <w:r>
                  <w:rPr>
                    <w:b/>
                    <w:bCs/>
                    <w:szCs w:val="24"/>
                  </w:rPr>
                  <w:t>1. Taikomi teisės aktai</w:t>
                </w:r>
              </w:p>
            </w:tc>
          </w:tr>
          <w:tr w:rsidR="00BC34F5">
            <w:tc>
              <w:tcPr>
                <w:tcW w:w="15134" w:type="dxa"/>
              </w:tcPr>
              <w:p w:rsidR="00BC34F5" w:rsidRDefault="00D808B1">
                <w:pPr>
                  <w:jc w:val="both"/>
                  <w:rPr>
                    <w:iCs/>
                    <w:szCs w:val="24"/>
                  </w:rPr>
                </w:pPr>
                <w:r>
                  <w:rPr>
                    <w:iCs/>
                    <w:szCs w:val="24"/>
                  </w:rPr>
                  <w:t>Teisės aktai, kuriais vadovaujamasi rengiant, teikiant ir vertinant projektų įgyvendinimo planą (toliau – PĮP), priimant sprendimą dėl projektų finansavimo, sudarant projektų sutartį ir įgyvendinant projektą, finansuojamą pagal 2021–2030 m. plėtros program</w:t>
                </w:r>
                <w:r>
                  <w:rPr>
                    <w:iCs/>
                    <w:szCs w:val="24"/>
                  </w:rPr>
                  <w:t xml:space="preserve">os valdytojos Lietuvos Respublikos švietimo, mokslo ir sporto ministerijos švietimo plėtros programos pažangos priemonės </w:t>
                </w:r>
                <w:r>
                  <w:rPr>
                    <w:szCs w:val="24"/>
                  </w:rPr>
                  <w:t>Nr. 12-003-03-01-04 „Užtikrinti visiems prieinamą ankstyvąjį ugdymą“</w:t>
                </w:r>
                <w:r>
                  <w:rPr>
                    <w:iCs/>
                    <w:szCs w:val="24"/>
                  </w:rPr>
                  <w:t xml:space="preserve"> projektų finansavimo sąlygų aprašą Nr. 3 (toliau – Aprašas):</w:t>
                </w:r>
              </w:p>
              <w:p w:rsidR="00BC34F5" w:rsidRDefault="00D808B1">
                <w:pPr>
                  <w:jc w:val="both"/>
                  <w:rPr>
                    <w:color w:val="000000"/>
                    <w:szCs w:val="24"/>
                    <w:lang w:eastAsia="lt-LT"/>
                  </w:rPr>
                </w:pPr>
                <w:r>
                  <w:rPr>
                    <w:color w:val="000000"/>
                    <w:szCs w:val="24"/>
                    <w:lang w:eastAsia="lt-LT"/>
                  </w:rPr>
                  <w:t>Bendr</w:t>
                </w:r>
                <w:r>
                  <w:rPr>
                    <w:color w:val="000000"/>
                    <w:szCs w:val="24"/>
                    <w:lang w:eastAsia="lt-LT"/>
                  </w:rPr>
                  <w:t>ieji teisės aktai:</w:t>
                </w:r>
              </w:p>
              <w:p w:rsidR="00BC34F5" w:rsidRDefault="00D808B1">
                <w:pPr>
                  <w:jc w:val="both"/>
                  <w:rPr>
                    <w:color w:val="000000"/>
                    <w:szCs w:val="24"/>
                    <w:lang w:eastAsia="lt-LT"/>
                  </w:rPr>
                </w:pPr>
                <w:r>
                  <w:rPr>
                    <w:color w:val="000000"/>
                    <w:szCs w:val="24"/>
                    <w:lang w:eastAsia="lt-LT"/>
                  </w:rPr>
                  <w:t>1.1. Lietuvos Respublikos švietimo įstatymas;</w:t>
                </w:r>
              </w:p>
              <w:p w:rsidR="00BC34F5" w:rsidRDefault="00D808B1">
                <w:pPr>
                  <w:jc w:val="both"/>
                  <w:rPr>
                    <w:color w:val="000000"/>
                    <w:szCs w:val="24"/>
                    <w:lang w:eastAsia="lt-LT"/>
                  </w:rPr>
                </w:pPr>
                <w:r>
                  <w:rPr>
                    <w:color w:val="000000"/>
                    <w:szCs w:val="24"/>
                    <w:lang w:eastAsia="lt-LT"/>
                  </w:rPr>
                  <w:t>1.2. Aštuonioliktosios Lietuvos Respublikos Vyriausybės programa, kuriai pritarta Lietuvos Respublikos Seimo 2020 m. gruodžio 11 d. nutarimu Nr. XIV-72 „Dėl Aštuonioliktosios Lietuvos Respubl</w:t>
                </w:r>
                <w:r>
                  <w:rPr>
                    <w:color w:val="000000"/>
                    <w:szCs w:val="24"/>
                    <w:lang w:eastAsia="lt-LT"/>
                  </w:rPr>
                  <w:t>ikos Vyriausybės programos“;</w:t>
                </w:r>
              </w:p>
              <w:p w:rsidR="00BC34F5" w:rsidRDefault="00D808B1">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rsidR="00BC34F5" w:rsidRDefault="00BC34F5">
                <w:pPr>
                  <w:jc w:val="both"/>
                  <w:rPr>
                    <w:color w:val="000000"/>
                    <w:szCs w:val="24"/>
                    <w:lang w:eastAsia="lt-LT"/>
                  </w:rPr>
                </w:pPr>
              </w:p>
              <w:p w:rsidR="00BC34F5" w:rsidRDefault="00D808B1">
                <w:pPr>
                  <w:jc w:val="both"/>
                  <w:rPr>
                    <w:color w:val="000000"/>
                    <w:szCs w:val="24"/>
                    <w:lang w:eastAsia="lt-LT"/>
                  </w:rPr>
                </w:pPr>
                <w:r>
                  <w:rPr>
                    <w:color w:val="000000"/>
                    <w:szCs w:val="24"/>
                    <w:lang w:eastAsia="lt-LT"/>
                  </w:rPr>
                  <w:lastRenderedPageBreak/>
                  <w:t>1.4. 2021–2030 m. plėtros programos valdytojos Lietuvos</w:t>
                </w:r>
                <w:r>
                  <w:rPr>
                    <w:color w:val="000000"/>
                    <w:szCs w:val="24"/>
                    <w:lang w:eastAsia="lt-LT"/>
                  </w:rPr>
                  <w:t xml:space="preserve"> Respublikos švietimo, mokslo ir sporto ministerijos švietimo plėtros programa, patvirtinta Lietuvos Respublikos Vyriausybės 2021 m. gruodžio 1 d. nutarimu Nr. 1016 „Dėl 2021–2030 m. plėtros programos valdytojos Lietuvos Respublikos švietimo, mokslo ir spo</w:t>
                </w:r>
                <w:r>
                  <w:rPr>
                    <w:color w:val="000000"/>
                    <w:szCs w:val="24"/>
                    <w:lang w:eastAsia="lt-LT"/>
                  </w:rPr>
                  <w:t>rto ministerijos švietimo plėtros programos patvirtinimo“;</w:t>
                </w:r>
              </w:p>
              <w:p w:rsidR="00BC34F5" w:rsidRDefault="00D808B1">
                <w:pPr>
                  <w:jc w:val="both"/>
                  <w:rPr>
                    <w:color w:val="000000"/>
                    <w:szCs w:val="24"/>
                    <w:lang w:eastAsia="lt-LT"/>
                  </w:rPr>
                </w:pPr>
                <w:r>
                  <w:rPr>
                    <w:color w:val="000000"/>
                    <w:szCs w:val="24"/>
                    <w:lang w:eastAsia="lt-LT"/>
                  </w:rPr>
                  <w:t>1.5. Projektų administravimo ir finansavimo taisyklės, patvirtintos Lietuvos Respublikos finansų ministro 2022 m. birželio 22 d. įsakymu Nr. 1K-237 „Dėl 2021–2027 metų Europos Sąjungos fondų invest</w:t>
                </w:r>
                <w:r>
                  <w:rPr>
                    <w:color w:val="000000"/>
                    <w:szCs w:val="24"/>
                    <w:lang w:eastAsia="lt-LT"/>
                  </w:rPr>
                  <w:t>icijų programos ir Ekonomikos gaivinimo ir atsparumo didinimo plano „Naujos kartos Lietuva“ įgyvendinimo“ (toliau – PAFT);</w:t>
                </w:r>
              </w:p>
              <w:p w:rsidR="00BC34F5" w:rsidRDefault="00D808B1">
                <w:pPr>
                  <w:jc w:val="both"/>
                  <w:rPr>
                    <w:color w:val="000000"/>
                    <w:szCs w:val="24"/>
                    <w:lang w:eastAsia="lt-LT"/>
                  </w:rPr>
                </w:pPr>
                <w:r>
                  <w:rPr>
                    <w:color w:val="000000"/>
                    <w:szCs w:val="24"/>
                    <w:lang w:eastAsia="lt-LT"/>
                  </w:rPr>
                  <w:t>1.6. 2021–2030 metų nacionalinis pažangos planas, patvirtintas Lietuvos Respublikos Vyriausybės 2020 m. rugsėjo 9 d. nutarimu Nr. 998</w:t>
                </w:r>
                <w:r>
                  <w:rPr>
                    <w:color w:val="000000"/>
                    <w:szCs w:val="24"/>
                    <w:lang w:eastAsia="lt-LT"/>
                  </w:rPr>
                  <w:t xml:space="preserve"> „Dėl 2021–2030 metų nacionalinio pažangos plano patvirtinimo“;</w:t>
                </w:r>
              </w:p>
              <w:p w:rsidR="00BC34F5" w:rsidRDefault="00D808B1">
                <w:pPr>
                  <w:jc w:val="both"/>
                  <w:rPr>
                    <w:color w:val="000000"/>
                    <w:szCs w:val="24"/>
                    <w:lang w:eastAsia="lt-LT"/>
                  </w:rPr>
                </w:pPr>
                <w:r>
                  <w:rPr>
                    <w:color w:val="000000"/>
                    <w:szCs w:val="24"/>
                    <w:lang w:eastAsia="lt-LT"/>
                  </w:rPr>
                  <w:t xml:space="preserve">1.7. </w:t>
                </w:r>
                <w:r>
                  <w:rPr>
                    <w:szCs w:val="24"/>
                  </w:rPr>
                  <w:t>2021 m. birželio 24 d. Europos Parlamento ir Tarybos reglamentas (ES) 2021/1060, kuriuo nustatomos bendros Europos regioninės plėtros fondo, „Europos socialinio fondo +“, Sanglaudos fondo</w:t>
                </w:r>
                <w:r>
                  <w:rPr>
                    <w:szCs w:val="24"/>
                  </w:rPr>
                  <w:t>,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szCs w:val="24"/>
                  </w:rPr>
                  <w:t>toliau – Reglamentas (ES)).</w:t>
                </w:r>
              </w:p>
              <w:p w:rsidR="00BC34F5" w:rsidRDefault="00BC34F5">
                <w:pPr>
                  <w:jc w:val="both"/>
                  <w:rPr>
                    <w:iCs/>
                    <w:szCs w:val="24"/>
                  </w:rPr>
                </w:pPr>
              </w:p>
              <w:p w:rsidR="00BC34F5" w:rsidRDefault="00D808B1">
                <w:pPr>
                  <w:jc w:val="both"/>
                  <w:rPr>
                    <w:iCs/>
                    <w:szCs w:val="24"/>
                  </w:rPr>
                </w:pPr>
                <w:r>
                  <w:rPr>
                    <w:iCs/>
                    <w:szCs w:val="24"/>
                  </w:rPr>
                  <w:t>Apraše vartojamos sąvokos suprantamos taip, kaip jos apibrėžtos PAFT, Lietuvos Respublikos švietimo įstatyme ir anksčiau paminėtuose teisės aktuose.</w:t>
                </w:r>
              </w:p>
              <w:p w:rsidR="00BC34F5" w:rsidRDefault="00BC34F5">
                <w:pPr>
                  <w:jc w:val="both"/>
                  <w:rPr>
                    <w:i/>
                    <w:iCs/>
                    <w:sz w:val="22"/>
                    <w:szCs w:val="22"/>
                  </w:rPr>
                </w:pPr>
              </w:p>
            </w:tc>
          </w:tr>
          <w:tr w:rsidR="00BC34F5">
            <w:tc>
              <w:tcPr>
                <w:tcW w:w="15134" w:type="dxa"/>
              </w:tcPr>
              <w:p w:rsidR="00BC34F5" w:rsidRDefault="00D808B1">
                <w:pPr>
                  <w:rPr>
                    <w:b/>
                    <w:szCs w:val="24"/>
                  </w:rPr>
                </w:pPr>
                <w:r>
                  <w:rPr>
                    <w:b/>
                    <w:szCs w:val="24"/>
                  </w:rPr>
                  <w:lastRenderedPageBreak/>
                  <w:t>2. Reikalavimai projektams, pareiškėjams ir partneriams</w:t>
                </w:r>
              </w:p>
            </w:tc>
          </w:tr>
          <w:tr w:rsidR="00BC34F5">
            <w:tc>
              <w:tcPr>
                <w:tcW w:w="15134" w:type="dxa"/>
              </w:tcPr>
              <w:p w:rsidR="00BC34F5" w:rsidRDefault="00D808B1">
                <w:pPr>
                  <w:jc w:val="both"/>
                  <w:rPr>
                    <w:szCs w:val="24"/>
                  </w:rPr>
                </w:pPr>
                <w:r>
                  <w:rPr>
                    <w:szCs w:val="24"/>
                  </w:rPr>
                  <w:t xml:space="preserve">2.1. Pagal Aprašą </w:t>
                </w:r>
                <w:r>
                  <w:rPr>
                    <w:szCs w:val="24"/>
                  </w:rPr>
                  <w:t>remiamos veiklos:</w:t>
                </w:r>
              </w:p>
              <w:p w:rsidR="00BC34F5" w:rsidRDefault="00D808B1">
                <w:pPr>
                  <w:jc w:val="both"/>
                  <w:rPr>
                    <w:szCs w:val="24"/>
                  </w:rPr>
                </w:pPr>
                <w:r>
                  <w:rPr>
                    <w:szCs w:val="24"/>
                  </w:rPr>
                  <w:t xml:space="preserve">2.1.1 sukurti įstaigų, vykdančių ikimokyklinio ugdymo programas, stiprinimo paketą, apimantį mokymąsi vieniems iš kitų (angl. </w:t>
                </w:r>
                <w:proofErr w:type="spellStart"/>
                <w:r>
                  <w:rPr>
                    <w:i/>
                    <w:iCs/>
                    <w:szCs w:val="24"/>
                  </w:rPr>
                  <w:t>peer-learning</w:t>
                </w:r>
                <w:proofErr w:type="spellEnd"/>
                <w:r>
                  <w:rPr>
                    <w:szCs w:val="24"/>
                  </w:rPr>
                  <w:t>), ikimokyklinio ugdymo mokytojų kompetencijų atnaujinimą ir stiprinimą, aprūpinimą moderniomis dar</w:t>
                </w:r>
                <w:r>
                  <w:rPr>
                    <w:szCs w:val="24"/>
                  </w:rPr>
                  <w:t>bo vietomis;</w:t>
                </w:r>
              </w:p>
              <w:p w:rsidR="00BC34F5" w:rsidRDefault="00D808B1">
                <w:pPr>
                  <w:jc w:val="both"/>
                  <w:rPr>
                    <w:szCs w:val="24"/>
                  </w:rPr>
                </w:pPr>
                <w:r>
                  <w:rPr>
                    <w:szCs w:val="24"/>
                  </w:rPr>
                  <w:t>2.1.2. ikimokyklinio ugdymo mokytojų kompetencijų atnaujinimas ir stiprinimas, aprūpinimas moderniomis darbo vietomis.</w:t>
                </w:r>
              </w:p>
              <w:p w:rsidR="00BC34F5" w:rsidRDefault="00D808B1">
                <w:pPr>
                  <w:jc w:val="both"/>
                  <w:rPr>
                    <w:szCs w:val="24"/>
                  </w:rPr>
                </w:pPr>
                <w:r>
                  <w:rPr>
                    <w:szCs w:val="24"/>
                  </w:rPr>
                  <w:t>2.2. Galimas pareiškėjas – VšĮ Europos socialinio fondo agentūra.</w:t>
                </w:r>
              </w:p>
              <w:p w:rsidR="00BC34F5" w:rsidRDefault="00D808B1">
                <w:pPr>
                  <w:jc w:val="both"/>
                  <w:rPr>
                    <w:color w:val="000000"/>
                  </w:rPr>
                </w:pPr>
                <w:r>
                  <w:rPr>
                    <w:szCs w:val="24"/>
                  </w:rPr>
                  <w:t>2.3. Galimi partneriai: savivaldybės, mokyklos (mokyklų ko</w:t>
                </w:r>
                <w:r>
                  <w:rPr>
                    <w:szCs w:val="24"/>
                  </w:rPr>
                  <w:t xml:space="preserve">nsorciumai); </w:t>
                </w:r>
                <w:r>
                  <w:rPr>
                    <w:color w:val="000000"/>
                  </w:rPr>
                  <w:t>juridiniai asmenys, veikiantys švietimo srityje.</w:t>
                </w:r>
              </w:p>
              <w:p w:rsidR="00BC34F5" w:rsidRDefault="00D808B1">
                <w:pPr>
                  <w:jc w:val="both"/>
                  <w:rPr>
                    <w:szCs w:val="24"/>
                  </w:rPr>
                </w:pPr>
                <w:r>
                  <w:rPr>
                    <w:color w:val="000000"/>
                  </w:rPr>
                  <w:t xml:space="preserve">2.4. </w:t>
                </w:r>
                <w:r>
                  <w:rPr>
                    <w:iCs/>
                    <w:szCs w:val="24"/>
                  </w:rPr>
                  <w:t>Projektas atrenkamas planavimo būdu.</w:t>
                </w:r>
              </w:p>
              <w:p w:rsidR="00BC34F5" w:rsidRDefault="00D808B1">
                <w:pPr>
                  <w:jc w:val="both"/>
                  <w:rPr>
                    <w:szCs w:val="24"/>
                  </w:rPr>
                </w:pPr>
                <w:r>
                  <w:rPr>
                    <w:szCs w:val="24"/>
                  </w:rPr>
                  <w:t xml:space="preserve">2.5. Pagal Aprašą teikiamo finansavimo forma – dotacija. </w:t>
                </w:r>
              </w:p>
              <w:p w:rsidR="00BC34F5" w:rsidRDefault="00D808B1">
                <w:pPr>
                  <w:jc w:val="both"/>
                  <w:rPr>
                    <w:szCs w:val="24"/>
                  </w:rPr>
                </w:pPr>
                <w:r>
                  <w:rPr>
                    <w:szCs w:val="24"/>
                  </w:rPr>
                  <w:t xml:space="preserve">2.6. Pagal Aprašą projektui įgyvendinti skiriama iki 6 000 000 </w:t>
                </w:r>
                <w:proofErr w:type="spellStart"/>
                <w:r>
                  <w:rPr>
                    <w:szCs w:val="24"/>
                  </w:rPr>
                  <w:t>Eur</w:t>
                </w:r>
                <w:proofErr w:type="spellEnd"/>
                <w:r>
                  <w:rPr>
                    <w:szCs w:val="24"/>
                  </w:rPr>
                  <w:t xml:space="preserve"> (šešių milijonų eurų), iš k</w:t>
                </w:r>
                <w:r>
                  <w:rPr>
                    <w:szCs w:val="24"/>
                  </w:rPr>
                  <w:t xml:space="preserve">urių: iki 5 100 000 </w:t>
                </w:r>
                <w:proofErr w:type="spellStart"/>
                <w:r>
                  <w:rPr>
                    <w:szCs w:val="24"/>
                  </w:rPr>
                  <w:t>Eur</w:t>
                </w:r>
                <w:proofErr w:type="spellEnd"/>
                <w:r>
                  <w:rPr>
                    <w:szCs w:val="24"/>
                  </w:rPr>
                  <w:t xml:space="preserve"> (penkių milijonų šimto tūkstančių eurų) Europos Sąjungos fondų lėšų ir iki 900 000 </w:t>
                </w:r>
                <w:proofErr w:type="spellStart"/>
                <w:r>
                  <w:rPr>
                    <w:szCs w:val="24"/>
                  </w:rPr>
                  <w:t>Eur</w:t>
                </w:r>
                <w:proofErr w:type="spellEnd"/>
                <w:r>
                  <w:rPr>
                    <w:szCs w:val="24"/>
                  </w:rPr>
                  <w:t xml:space="preserve"> (devynių šimtų tūkstančių eurų) Europos Sąjungos fondų bendrojo finansavimo lėšų.</w:t>
                </w:r>
              </w:p>
              <w:p w:rsidR="00BC34F5" w:rsidRDefault="00D808B1">
                <w:pPr>
                  <w:jc w:val="both"/>
                  <w:rPr>
                    <w:szCs w:val="24"/>
                  </w:rPr>
                </w:pPr>
                <w:r>
                  <w:rPr>
                    <w:szCs w:val="24"/>
                  </w:rPr>
                  <w:t xml:space="preserve">2.7. </w:t>
                </w:r>
                <w:r>
                  <w:rPr>
                    <w:iCs/>
                    <w:szCs w:val="24"/>
                    <w:lang w:eastAsia="lt-LT"/>
                  </w:rPr>
                  <w:t xml:space="preserve">Pagal Aprašą įgyvendinamos projekto veiklos priskiriamos </w:t>
                </w:r>
                <w:r>
                  <w:rPr>
                    <w:iCs/>
                    <w:szCs w:val="24"/>
                    <w:lang w:eastAsia="lt-LT"/>
                  </w:rPr>
                  <w:t xml:space="preserve">vienam iš regionų, nepriklausomai nuo to, kurio regiono tikslinei grupei skirta projekto veikla. Įgyvendinant Aprašo 2.1.1  ir  2.1.2  papunkčiuose nurodytas </w:t>
                </w:r>
                <w:proofErr w:type="spellStart"/>
                <w:r>
                  <w:rPr>
                    <w:iCs/>
                    <w:szCs w:val="24"/>
                    <w:lang w:eastAsia="lt-LT"/>
                  </w:rPr>
                  <w:t>poveikles</w:t>
                </w:r>
                <w:proofErr w:type="spellEnd"/>
                <w:r>
                  <w:rPr>
                    <w:iCs/>
                    <w:szCs w:val="24"/>
                    <w:lang w:eastAsia="lt-LT"/>
                  </w:rPr>
                  <w:t>, jose gali dalyvauti tikslinės grupės asmenys iš visos Lietuvos. </w:t>
                </w:r>
              </w:p>
              <w:p w:rsidR="00BC34F5" w:rsidRDefault="00D808B1">
                <w:pPr>
                  <w:jc w:val="both"/>
                  <w:rPr>
                    <w:szCs w:val="24"/>
                  </w:rPr>
                </w:pPr>
                <w:r>
                  <w:rPr>
                    <w:szCs w:val="24"/>
                  </w:rPr>
                  <w:t xml:space="preserve">2.8. </w:t>
                </w:r>
                <w:r>
                  <w:rPr>
                    <w:iCs/>
                    <w:szCs w:val="24"/>
                  </w:rPr>
                  <w:t>Taikant Reglament</w:t>
                </w:r>
                <w:r>
                  <w:rPr>
                    <w:iCs/>
                    <w:szCs w:val="24"/>
                  </w:rPr>
                  <w:t xml:space="preserve">o (ES) 63 straipsnio 3 dalies nuostatą dėl ESF+ projektų, tinkama tikslinė grupė ar jos dalis ir </w:t>
                </w:r>
                <w:r>
                  <w:rPr>
                    <w:szCs w:val="24"/>
                  </w:rPr>
                  <w:t>su veiksmais susijusios išlaidos,</w:t>
                </w:r>
                <w:r>
                  <w:rPr>
                    <w:iCs/>
                    <w:szCs w:val="24"/>
                  </w:rPr>
                  <w:t xml:space="preserve"> esant pagrįstam poreikiui, gali būti priskiriamos vienam iš regionų, neatsižvelgiant į tai, kuriame regione asmenys gyvena ar</w:t>
                </w:r>
                <w:r>
                  <w:rPr>
                    <w:iCs/>
                    <w:szCs w:val="24"/>
                  </w:rPr>
                  <w:t xml:space="preserve"> dirba, su sąlyga, kad veiksmas padeda siekti konkrečių programos tikslų.</w:t>
                </w:r>
              </w:p>
              <w:p w:rsidR="00BC34F5" w:rsidRDefault="00D808B1">
                <w:pPr>
                  <w:jc w:val="both"/>
                  <w:rPr>
                    <w:szCs w:val="24"/>
                  </w:rPr>
                </w:pPr>
                <w:r>
                  <w:rPr>
                    <w:szCs w:val="24"/>
                  </w:rPr>
                  <w:t>2.9. Projekto išlaidos negali viršyti regionui nurodytų sumų ir turi būti pasiekti pagal regioną nurodyti stebėsenos rodikliai.</w:t>
                </w:r>
              </w:p>
              <w:p w:rsidR="00BC34F5" w:rsidRDefault="00D808B1">
                <w:pPr>
                  <w:jc w:val="both"/>
                  <w:rPr>
                    <w:iCs/>
                    <w:szCs w:val="24"/>
                  </w:rPr>
                </w:pPr>
                <w:r>
                  <w:rPr>
                    <w:szCs w:val="24"/>
                  </w:rPr>
                  <w:t xml:space="preserve">2.10. </w:t>
                </w:r>
                <w:r>
                  <w:rPr>
                    <w:iCs/>
                    <w:szCs w:val="24"/>
                  </w:rPr>
                  <w:t>Projektai gali būti įgyvendinami Sostinės region</w:t>
                </w:r>
                <w:r>
                  <w:rPr>
                    <w:iCs/>
                    <w:szCs w:val="24"/>
                  </w:rPr>
                  <w:t xml:space="preserve">e ir Vidurio ir vakarų Lietuvos regione. Prireikus dalis veiklų gali būti įgyvendinamos Europos Sąjungos, Europos ekonominės erdvės šalių ir Jungtinės Didžiosios Britanijos ir Šiaurės Airijos Karalystės teritorijoje. </w:t>
                </w:r>
              </w:p>
              <w:p w:rsidR="00BC34F5" w:rsidRDefault="00D808B1">
                <w:pPr>
                  <w:ind w:left="32"/>
                  <w:jc w:val="both"/>
                </w:pPr>
                <w:r>
                  <w:rPr>
                    <w:szCs w:val="24"/>
                  </w:rPr>
                  <w:lastRenderedPageBreak/>
                  <w:t xml:space="preserve">2.11. </w:t>
                </w:r>
                <w:r>
                  <w:t>Projektas turi atitikti projektų</w:t>
                </w:r>
                <w:r>
                  <w:t xml:space="preserve"> bendruosius atrankos kriterijus, nustatytus Strateginio valdymo metodikos 36 punkte ir PAFT 2 priede.</w:t>
                </w:r>
              </w:p>
              <w:p w:rsidR="00BC34F5" w:rsidRDefault="00D808B1">
                <w:pPr>
                  <w:ind w:left="32"/>
                  <w:jc w:val="both"/>
                </w:pPr>
                <w:r>
                  <w:t>2.12. Projekto veiklos turi būti įgyvendintos per 36 mėnesius nuo projekto sutarties įsigaliojimo. Prireikus projekto veiklos gali būti pratęstos pagrįst</w:t>
                </w:r>
                <w:r>
                  <w:t>am laikotarpiui, bet ne vėliau kaip iki 2029 m. gruodžio 31 d.</w:t>
                </w:r>
              </w:p>
              <w:p w:rsidR="00BC34F5" w:rsidRDefault="00D808B1">
                <w:pPr>
                  <w:jc w:val="both"/>
                  <w:rPr>
                    <w:b/>
                    <w:bCs/>
                    <w:szCs w:val="24"/>
                  </w:rPr>
                </w:pPr>
                <w:r>
                  <w:rPr>
                    <w:szCs w:val="24"/>
                  </w:rPr>
                  <w:t>2.13. Projekto matomumo ir informavimo apie projektą veiksmai atliekami vadovaujantis PAFT VIII skyriaus pirmojo skirsnio nuostatomis.</w:t>
                </w:r>
              </w:p>
              <w:p w:rsidR="00BC34F5" w:rsidRDefault="00D808B1">
                <w:pPr>
                  <w:tabs>
                    <w:tab w:val="left" w:pos="1134"/>
                  </w:tabs>
                  <w:jc w:val="both"/>
                  <w:rPr>
                    <w:szCs w:val="24"/>
                  </w:rPr>
                </w:pPr>
                <w:r>
                  <w:rPr>
                    <w:szCs w:val="24"/>
                  </w:rPr>
                  <w:t xml:space="preserve">2.14. Kartu su PĮP turi būti pateikta: </w:t>
                </w:r>
              </w:p>
              <w:p w:rsidR="00BC34F5" w:rsidRDefault="00D808B1">
                <w:pPr>
                  <w:tabs>
                    <w:tab w:val="left" w:pos="1134"/>
                  </w:tabs>
                  <w:jc w:val="both"/>
                  <w:rPr>
                    <w:color w:val="000000"/>
                  </w:rPr>
                </w:pPr>
                <w:r>
                  <w:rPr>
                    <w:color w:val="000000"/>
                  </w:rPr>
                  <w:t xml:space="preserve">2.14.1. partnerių </w:t>
                </w:r>
                <w:r>
                  <w:rPr>
                    <w:color w:val="000000"/>
                  </w:rPr>
                  <w:t xml:space="preserve">deklaracijos pagal PAFT 1 priedo 1 priedą; </w:t>
                </w:r>
              </w:p>
              <w:p w:rsidR="00BC34F5" w:rsidRDefault="00D808B1">
                <w:pPr>
                  <w:tabs>
                    <w:tab w:val="left" w:pos="1134"/>
                  </w:tabs>
                  <w:jc w:val="both"/>
                  <w:rPr>
                    <w:szCs w:val="24"/>
                  </w:rPr>
                </w:pPr>
                <w:r>
                  <w:rPr>
                    <w:color w:val="000000"/>
                  </w:rPr>
                  <w:t>2.14.2. informacija apie projekto biudžeto paskirstymą pagal pareiškėjus ir partnerius pagal PAFT 1 priedo 2 priedą;</w:t>
                </w:r>
              </w:p>
              <w:p w:rsidR="00BC34F5" w:rsidRDefault="00D808B1">
                <w:pPr>
                  <w:tabs>
                    <w:tab w:val="left" w:pos="1134"/>
                  </w:tabs>
                  <w:jc w:val="both"/>
                  <w:rPr>
                    <w:szCs w:val="24"/>
                  </w:rPr>
                </w:pPr>
                <w:r>
                  <w:rPr>
                    <w:szCs w:val="24"/>
                  </w:rPr>
                  <w:t>2.14.3. dokumentai, pagrindžiantys projekto išlaidų pagrįstumą (sudarytos sutartys, komerciniai</w:t>
                </w:r>
                <w:r>
                  <w:rPr>
                    <w:szCs w:val="24"/>
                  </w:rPr>
                  <w:t xml:space="preserve"> siūlymai, nuorodos į rinkoje esančias kainas), išlaidų skaičiavimai;</w:t>
                </w:r>
              </w:p>
              <w:p w:rsidR="00BC34F5" w:rsidRDefault="00D808B1">
                <w:pPr>
                  <w:jc w:val="both"/>
                  <w:rPr>
                    <w:szCs w:val="24"/>
                    <w:highlight w:val="yellow"/>
                  </w:rPr>
                </w:pPr>
                <w:r>
                  <w:rPr>
                    <w:szCs w:val="24"/>
                  </w:rPr>
                  <w:t>2.14.4. projekto atitiktį bendriesiems projektų atrankos kriterijams, nurodytiems PAFT 2 priede, patvirtinantys dokumentai.</w:t>
                </w:r>
              </w:p>
              <w:p w:rsidR="00BC34F5" w:rsidRDefault="00BC34F5">
                <w:pPr>
                  <w:jc w:val="both"/>
                  <w:rPr>
                    <w:i/>
                    <w:iCs/>
                    <w:szCs w:val="24"/>
                  </w:rPr>
                </w:pPr>
              </w:p>
            </w:tc>
          </w:tr>
          <w:tr w:rsidR="00BC34F5">
            <w:tc>
              <w:tcPr>
                <w:tcW w:w="15134" w:type="dxa"/>
              </w:tcPr>
              <w:p w:rsidR="00BC34F5" w:rsidRDefault="00D808B1">
                <w:pPr>
                  <w:jc w:val="both"/>
                  <w:rPr>
                    <w:iCs/>
                    <w:szCs w:val="24"/>
                  </w:rPr>
                </w:pPr>
                <w:r>
                  <w:rPr>
                    <w:b/>
                    <w:szCs w:val="24"/>
                  </w:rPr>
                  <w:lastRenderedPageBreak/>
                  <w:t>3.</w:t>
                </w:r>
                <w:r>
                  <w:rPr>
                    <w:szCs w:val="24"/>
                  </w:rPr>
                  <w:t xml:space="preserve"> </w:t>
                </w:r>
                <w:r>
                  <w:rPr>
                    <w:b/>
                    <w:szCs w:val="24"/>
                  </w:rPr>
                  <w:t>Reikalavimai jungtinio projekto projektams ir jungtinio p</w:t>
                </w:r>
                <w:r>
                  <w:rPr>
                    <w:b/>
                    <w:szCs w:val="24"/>
                  </w:rPr>
                  <w:t>rojekto projektų pareiškėjams</w:t>
                </w:r>
              </w:p>
            </w:tc>
          </w:tr>
          <w:tr w:rsidR="00BC34F5">
            <w:trPr>
              <w:trHeight w:val="308"/>
            </w:trPr>
            <w:tc>
              <w:tcPr>
                <w:tcW w:w="15134" w:type="dxa"/>
              </w:tcPr>
              <w:p w:rsidR="00BC34F5" w:rsidRDefault="00D808B1">
                <w:pPr>
                  <w:jc w:val="both"/>
                  <w:rPr>
                    <w:szCs w:val="24"/>
                  </w:rPr>
                </w:pPr>
                <w:r>
                  <w:rPr>
                    <w:szCs w:val="24"/>
                  </w:rPr>
                  <w:t>Netaikoma.</w:t>
                </w:r>
              </w:p>
            </w:tc>
          </w:tr>
          <w:tr w:rsidR="00BC34F5">
            <w:trPr>
              <w:trHeight w:val="285"/>
            </w:trPr>
            <w:tc>
              <w:tcPr>
                <w:tcW w:w="15134" w:type="dxa"/>
              </w:tcPr>
              <w:p w:rsidR="00BC34F5" w:rsidRDefault="00D808B1">
                <w:pPr>
                  <w:rPr>
                    <w:b/>
                    <w:szCs w:val="24"/>
                  </w:rPr>
                </w:pPr>
                <w:r>
                  <w:rPr>
                    <w:b/>
                    <w:szCs w:val="24"/>
                  </w:rPr>
                  <w:t>4. Projekto tikslinės grupės</w:t>
                </w:r>
              </w:p>
            </w:tc>
          </w:tr>
          <w:tr w:rsidR="00BC34F5">
            <w:trPr>
              <w:trHeight w:val="285"/>
            </w:trPr>
            <w:tc>
              <w:tcPr>
                <w:tcW w:w="15134" w:type="dxa"/>
              </w:tcPr>
              <w:p w:rsidR="00BC34F5" w:rsidRDefault="00D808B1">
                <w:pPr>
                  <w:jc w:val="both"/>
                  <w:rPr>
                    <w:szCs w:val="24"/>
                  </w:rPr>
                </w:pPr>
                <w:r>
                  <w:rPr>
                    <w:szCs w:val="24"/>
                  </w:rPr>
                  <w:t xml:space="preserve">Galima projekto tikslinė grupė – pedagogai, švietimo pagalbos specialistai, ikimokyklinio ir priešmokyklinio ugdymo programas įgyvendinančių įstaigų vadovai, </w:t>
                </w:r>
                <w:r>
                  <w:rPr>
                    <w:color w:val="000000"/>
                  </w:rPr>
                  <w:t xml:space="preserve">viešojo administravimo </w:t>
                </w:r>
                <w:r>
                  <w:rPr>
                    <w:color w:val="000000"/>
                  </w:rPr>
                  <w:t>institucijų specialistai.</w:t>
                </w:r>
              </w:p>
              <w:p w:rsidR="00BC34F5" w:rsidRDefault="00BC34F5">
                <w:pPr>
                  <w:jc w:val="both"/>
                  <w:rPr>
                    <w:sz w:val="22"/>
                    <w:szCs w:val="22"/>
                  </w:rPr>
                </w:pPr>
              </w:p>
            </w:tc>
          </w:tr>
          <w:tr w:rsidR="00BC34F5">
            <w:trPr>
              <w:trHeight w:val="285"/>
            </w:trPr>
            <w:tc>
              <w:tcPr>
                <w:tcW w:w="15134" w:type="dxa"/>
              </w:tcPr>
              <w:p w:rsidR="00BC34F5" w:rsidRDefault="00D808B1">
                <w:pPr>
                  <w:rPr>
                    <w:sz w:val="22"/>
                    <w:szCs w:val="22"/>
                  </w:rPr>
                </w:pPr>
                <w:r>
                  <w:rPr>
                    <w:b/>
                    <w:szCs w:val="24"/>
                  </w:rPr>
                  <w:t>5</w:t>
                </w:r>
                <w:r>
                  <w:rPr>
                    <w:szCs w:val="24"/>
                  </w:rPr>
                  <w:t xml:space="preserve">. </w:t>
                </w:r>
                <w:r>
                  <w:rPr>
                    <w:b/>
                    <w:szCs w:val="24"/>
                  </w:rPr>
                  <w:t>Horizontaliųjų principų reikalavimai</w:t>
                </w:r>
              </w:p>
            </w:tc>
          </w:tr>
          <w:tr w:rsidR="00BC34F5">
            <w:tc>
              <w:tcPr>
                <w:tcW w:w="15134" w:type="dxa"/>
              </w:tcPr>
              <w:p w:rsidR="00BC34F5" w:rsidRDefault="00D808B1">
                <w:pPr>
                  <w:jc w:val="both"/>
                  <w:rPr>
                    <w:iCs/>
                    <w:szCs w:val="24"/>
                  </w:rPr>
                </w:pPr>
                <w:r>
                  <w:rPr>
                    <w:iCs/>
                    <w:szCs w:val="24"/>
                  </w:rPr>
                  <w:t>5.1. Projekte negali būti numatyta:</w:t>
                </w:r>
              </w:p>
              <w:p w:rsidR="00BC34F5" w:rsidRDefault="00D808B1">
                <w:pPr>
                  <w:ind w:left="32" w:hanging="32"/>
                  <w:jc w:val="both"/>
                  <w:rPr>
                    <w:iCs/>
                    <w:szCs w:val="24"/>
                  </w:rPr>
                </w:pPr>
                <w:r>
                  <w:rPr>
                    <w:iCs/>
                    <w:szCs w:val="24"/>
                  </w:rPr>
                  <w:t xml:space="preserve">5.1.1. </w:t>
                </w:r>
                <w:r>
                  <w:t xml:space="preserve">apribojimų, kurie turėtų neigiamą poveikį lygių galimybių ir nediskriminavimo dėl lyties, rasės, tautybės, pilietybės, kalbos, kilmės, </w:t>
                </w:r>
                <w:r>
                  <w:t>socialinės padėties, tikėjimo, įsitikinimų ar pažiūrų, amžiaus, negalios, lytinės orientacijos, etninės priklausomybės, religijos ar kitais pagrindais principui įgyvendinti;</w:t>
                </w:r>
              </w:p>
              <w:p w:rsidR="00BC34F5" w:rsidRDefault="00D808B1">
                <w:pPr>
                  <w:ind w:left="32" w:hanging="32"/>
                  <w:jc w:val="both"/>
                  <w:rPr>
                    <w:iCs/>
                    <w:szCs w:val="24"/>
                  </w:rPr>
                </w:pPr>
                <w:r>
                  <w:rPr>
                    <w:iCs/>
                    <w:szCs w:val="24"/>
                  </w:rPr>
                  <w:t xml:space="preserve">5.1.2. veiksmų, kurie turėtų neigiamą poveikį darnaus vystymosi principui </w:t>
                </w:r>
                <w:r>
                  <w:rPr>
                    <w:iCs/>
                    <w:szCs w:val="24"/>
                  </w:rPr>
                  <w:t>įgyvendinti.</w:t>
                </w:r>
              </w:p>
              <w:p w:rsidR="00BC34F5" w:rsidRDefault="00D808B1">
                <w:pPr>
                  <w:jc w:val="both"/>
                  <w:rPr>
                    <w:color w:val="000000"/>
                    <w:szCs w:val="24"/>
                    <w:lang w:eastAsia="lt-LT"/>
                  </w:rPr>
                </w:pPr>
                <w:r>
                  <w:rPr>
                    <w:color w:val="000000"/>
                    <w:szCs w:val="24"/>
                    <w:lang w:eastAsia="lt-LT"/>
                  </w:rPr>
                  <w:t>5.2. Projekte turi būti numatyta:</w:t>
                </w:r>
              </w:p>
              <w:p w:rsidR="00BC34F5" w:rsidRDefault="00D808B1">
                <w:pPr>
                  <w:jc w:val="both"/>
                  <w:rPr>
                    <w:color w:val="000000"/>
                    <w:szCs w:val="24"/>
                    <w:lang w:eastAsia="lt-LT"/>
                  </w:rPr>
                </w:pPr>
                <w:r>
                  <w:rPr>
                    <w:color w:val="000000"/>
                    <w:szCs w:val="24"/>
                    <w:lang w:eastAsia="lt-LT"/>
                  </w:rPr>
                  <w:t>5.2.1. organizuodamas mokymus projekto vykdytojas prieš projekto veiklos įgyvendinimą turi atlikti būsimų mokymų dalyvių apklausą, siekdamas nustatyti, ar mokymų dalyviai turi specialiųjų poreikių, į kuriuos o</w:t>
                </w:r>
                <w:r>
                  <w:rPr>
                    <w:color w:val="000000"/>
                    <w:szCs w:val="24"/>
                    <w:lang w:eastAsia="lt-LT"/>
                  </w:rPr>
                  <w:t>rganizatorius turėtų atsižvelgti (pvz., parinkdamas mokymų vietą, prieinamą žmonėms su judėjimo negalia, suorganizuodamas gestų kalbos specialisto paslaugą, parinkdamas tinkamas mokomąsias priemones akliesiems ar silpnaregiams ir pan.);</w:t>
                </w:r>
              </w:p>
              <w:p w:rsidR="00BC34F5" w:rsidRDefault="00D808B1">
                <w:pPr>
                  <w:jc w:val="both"/>
                  <w:rPr>
                    <w:color w:val="000000"/>
                    <w:szCs w:val="24"/>
                    <w:lang w:eastAsia="lt-LT"/>
                  </w:rPr>
                </w:pPr>
                <w:r>
                  <w:rPr>
                    <w:color w:val="000000"/>
                  </w:rPr>
                  <w:t>5.2.2. įgyvendinant</w:t>
                </w:r>
                <w:r>
                  <w:rPr>
                    <w:color w:val="000000"/>
                  </w:rPr>
                  <w:t xml:space="preserve"> projekto veiklas (kuriant produktus ir vykdant mokymus), turi būti įtrauktas lyčių lygybės aspektas, pvz., temos apie lyčių stereotipų mažinimą.</w:t>
                </w:r>
              </w:p>
              <w:p w:rsidR="00BC34F5" w:rsidRDefault="00D808B1">
                <w:pPr>
                  <w:jc w:val="both"/>
                  <w:rPr>
                    <w:i/>
                    <w:iCs/>
                    <w:sz w:val="22"/>
                    <w:szCs w:val="22"/>
                  </w:rPr>
                </w:pPr>
                <w:r>
                  <w:rPr>
                    <w:iCs/>
                    <w:szCs w:val="24"/>
                  </w:rPr>
                  <w:t>5.3. Projektai turi atitikti reikšmingos žalos nedarymo principą, t. y. turi būti tvarūs aplinkos atžvilgiu ir</w:t>
                </w:r>
                <w:r>
                  <w:rPr>
                    <w:iCs/>
                    <w:szCs w:val="24"/>
                  </w:rPr>
                  <w:t xml:space="preserve"> vykdomi visapusiškai atsižvelgiant į Europos Sąjungos klimato ir aplinkos apsaugos standartus ir prioritetus, kaip tai suprantama pagal 2020 m. birželio 18 d. Europos Parlamento ir Tarybos reglamentą (ES) Nr. 2020/852 dėl sistemos tvariam investavimui pal</w:t>
                </w:r>
                <w:r>
                  <w:rPr>
                    <w:iCs/>
                    <w:szCs w:val="24"/>
                  </w:rPr>
                  <w:t>engvinti sukūrimo, kuriuo iš dalies keičiamas Reglamentas (ES) Nr. 2019/2088. Atitiktis šiam principui turi būti užtikrinta viso projekto įgyvendinimo metu (Aprašo priedas).</w:t>
                </w:r>
              </w:p>
              <w:p w:rsidR="00BC34F5" w:rsidRDefault="00BC34F5">
                <w:pPr>
                  <w:jc w:val="both"/>
                  <w:rPr>
                    <w:i/>
                    <w:iCs/>
                    <w:sz w:val="22"/>
                    <w:szCs w:val="22"/>
                  </w:rPr>
                </w:pPr>
              </w:p>
            </w:tc>
          </w:tr>
          <w:tr w:rsidR="00BC34F5">
            <w:tc>
              <w:tcPr>
                <w:tcW w:w="15134" w:type="dxa"/>
              </w:tcPr>
              <w:p w:rsidR="00BC34F5" w:rsidRDefault="00D808B1">
                <w:pPr>
                  <w:spacing w:line="259" w:lineRule="auto"/>
                  <w:jc w:val="both"/>
                  <w:rPr>
                    <w:b/>
                    <w:iCs/>
                    <w:szCs w:val="24"/>
                  </w:rPr>
                </w:pPr>
                <w:r>
                  <w:rPr>
                    <w:b/>
                    <w:iCs/>
                    <w:szCs w:val="24"/>
                  </w:rPr>
                  <w:t>6. Europos Sąjungos pagrindinių teisių chartijos (toliau – Chartija) reikalavima</w:t>
                </w:r>
                <w:r>
                  <w:rPr>
                    <w:b/>
                    <w:iCs/>
                    <w:szCs w:val="24"/>
                  </w:rPr>
                  <w:t>i</w:t>
                </w:r>
              </w:p>
            </w:tc>
          </w:tr>
          <w:tr w:rsidR="00BC34F5">
            <w:tc>
              <w:tcPr>
                <w:tcW w:w="15134" w:type="dxa"/>
              </w:tcPr>
              <w:p w:rsidR="00BC34F5" w:rsidRDefault="00D808B1">
                <w:pPr>
                  <w:jc w:val="both"/>
                  <w:rPr>
                    <w:i/>
                    <w:iCs/>
                    <w:sz w:val="22"/>
                    <w:szCs w:val="22"/>
                  </w:rPr>
                </w:pPr>
                <w:r>
                  <w:rPr>
                    <w:bCs/>
                    <w:szCs w:val="24"/>
                  </w:rPr>
                  <w:lastRenderedPageBreak/>
                  <w:t xml:space="preserve">Veiklos ir </w:t>
                </w:r>
                <w:proofErr w:type="spellStart"/>
                <w:r>
                  <w:rPr>
                    <w:bCs/>
                    <w:szCs w:val="24"/>
                  </w:rPr>
                  <w:t>poveiklės</w:t>
                </w:r>
                <w:proofErr w:type="spellEnd"/>
                <w:r>
                  <w:rPr>
                    <w:bCs/>
                    <w:szCs w:val="24"/>
                  </w:rPr>
                  <w:t xml:space="preserve"> atitinka Europos Sąjungos pagrindinių teisių chartijos nuostatas pagal 2016 m. liepos 23 d. Europos Komisijos pranešimą – Rekomendacijų, kaip užtikrinti, kad būtų laikomasi Europos Sąjungos pagrindinių teisių chartijos nuostatų skir</w:t>
                </w:r>
                <w:r>
                  <w:rPr>
                    <w:bCs/>
                    <w:szCs w:val="24"/>
                  </w:rPr>
                  <w:t>stant Europos struktūrinių ir investicinių fondų (ESI fondų) paramą (2016/C 269/01), III priedą. Pagrindiniai Chartijos nuostatų laikymuisi taikomi reikalavimai aprašyti šio Aprašo 3.1 ir 3.2 papunkčiuose.</w:t>
                </w:r>
              </w:p>
            </w:tc>
          </w:tr>
          <w:tr w:rsidR="00BC34F5">
            <w:tc>
              <w:tcPr>
                <w:tcW w:w="15134" w:type="dxa"/>
              </w:tcPr>
              <w:p w:rsidR="00BC34F5" w:rsidRDefault="00D808B1">
                <w:pPr>
                  <w:rPr>
                    <w:b/>
                    <w:szCs w:val="24"/>
                  </w:rPr>
                </w:pPr>
                <w:r>
                  <w:rPr>
                    <w:b/>
                    <w:szCs w:val="24"/>
                  </w:rPr>
                  <w:t>7. Apskritis, kurioje gali būti įgyvendinami proj</w:t>
                </w:r>
                <w:r>
                  <w:rPr>
                    <w:b/>
                    <w:szCs w:val="24"/>
                  </w:rPr>
                  <w:t>ektai</w:t>
                </w:r>
              </w:p>
            </w:tc>
          </w:tr>
          <w:tr w:rsidR="00BC34F5">
            <w:tc>
              <w:tcPr>
                <w:tcW w:w="15134" w:type="dxa"/>
              </w:tcPr>
              <w:p w:rsidR="00BC34F5" w:rsidRDefault="00D808B1">
                <w:pPr>
                  <w:jc w:val="both"/>
                  <w:rPr>
                    <w:szCs w:val="24"/>
                  </w:rPr>
                </w:pPr>
                <w:r>
                  <w:rPr>
                    <w:szCs w:val="24"/>
                  </w:rPr>
                  <w:t>Netaikoma.</w:t>
                </w:r>
              </w:p>
            </w:tc>
          </w:tr>
          <w:tr w:rsidR="00BC34F5">
            <w:tc>
              <w:tcPr>
                <w:tcW w:w="15134" w:type="dxa"/>
              </w:tcPr>
              <w:p w:rsidR="00BC34F5" w:rsidRDefault="00D808B1">
                <w:pPr>
                  <w:jc w:val="both"/>
                  <w:rPr>
                    <w:szCs w:val="24"/>
                  </w:rPr>
                </w:pPr>
                <w:r>
                  <w:rPr>
                    <w:b/>
                    <w:szCs w:val="24"/>
                  </w:rPr>
                  <w:t>8.</w:t>
                </w:r>
                <w:r>
                  <w:rPr>
                    <w:szCs w:val="24"/>
                  </w:rPr>
                  <w:t xml:space="preserve"> </w:t>
                </w:r>
                <w:r>
                  <w:rPr>
                    <w:b/>
                    <w:szCs w:val="24"/>
                  </w:rPr>
                  <w:t>Reikalavimai valstybės pagalbai (kurie nėra nurodyti kituose Aprašo punktuose)</w:t>
                </w:r>
              </w:p>
            </w:tc>
          </w:tr>
          <w:tr w:rsidR="00BC34F5">
            <w:tc>
              <w:tcPr>
                <w:tcW w:w="15134" w:type="dxa"/>
              </w:tcPr>
              <w:p w:rsidR="00BC34F5" w:rsidRDefault="00D808B1">
                <w:pPr>
                  <w:jc w:val="both"/>
                  <w:rPr>
                    <w:iCs/>
                    <w:szCs w:val="24"/>
                  </w:rPr>
                </w:pPr>
                <w:r>
                  <w:rPr>
                    <w:iCs/>
                    <w:szCs w:val="24"/>
                  </w:rPr>
                  <w:t xml:space="preserve">8.1. 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(OL 2013 L 352, p. 1) nuostatas, neteikiama.</w:t>
                </w:r>
              </w:p>
              <w:p w:rsidR="00BC34F5" w:rsidRDefault="00D808B1">
                <w:pPr>
                  <w:jc w:val="both"/>
                  <w:rPr>
                    <w:i/>
                    <w:iCs/>
                    <w:sz w:val="22"/>
                    <w:szCs w:val="22"/>
                  </w:rPr>
                </w:pPr>
                <w:r>
                  <w:rPr>
                    <w:iCs/>
                    <w:szCs w:val="24"/>
                  </w:rPr>
                  <w:t>8.2. Pagal Aprašą, valstybės pa</w:t>
                </w:r>
                <w:r>
                  <w:rPr>
                    <w:iCs/>
                    <w:szCs w:val="24"/>
                  </w:rPr>
                  <w:t xml:space="preserve">galba, kuri atitinka 2014 m. birželio 17 d. Komisijos reglamento (ES) Nr. 651/2014, kuriuo tam tikrų kategorijų pagalba skelbiama suderinama su vidaus rinka taikant Sutarties 107 ir 108 straipsnius, neteikiama. </w:t>
                </w:r>
              </w:p>
            </w:tc>
          </w:tr>
          <w:tr w:rsidR="00BC34F5">
            <w:tc>
              <w:tcPr>
                <w:tcW w:w="15134" w:type="dxa"/>
              </w:tcPr>
              <w:p w:rsidR="00BC34F5" w:rsidRDefault="00D808B1">
                <w:pPr>
                  <w:ind w:left="426" w:hanging="426"/>
                  <w:jc w:val="both"/>
                  <w:rPr>
                    <w:szCs w:val="24"/>
                  </w:rPr>
                </w:pPr>
                <w:r>
                  <w:rPr>
                    <w:b/>
                    <w:szCs w:val="24"/>
                  </w:rPr>
                  <w:t>9.</w:t>
                </w:r>
                <w:r>
                  <w:rPr>
                    <w:szCs w:val="24"/>
                  </w:rPr>
                  <w:t xml:space="preserve"> </w:t>
                </w:r>
                <w:r>
                  <w:rPr>
                    <w:b/>
                    <w:szCs w:val="24"/>
                  </w:rPr>
                  <w:t>Projektų atrankos kriterijai</w:t>
                </w:r>
              </w:p>
              <w:p w:rsidR="00BC34F5" w:rsidRDefault="00D808B1">
                <w:pPr>
                  <w:jc w:val="both"/>
                  <w:rPr>
                    <w:i/>
                    <w:szCs w:val="24"/>
                  </w:rPr>
                </w:pPr>
                <w:r>
                  <w:t>(Kiekvienas</w:t>
                </w:r>
                <w:r>
                  <w:t xml:space="preserve"> projektas turi atitikti </w:t>
                </w:r>
                <w:r>
                  <w:rPr>
                    <w:iCs/>
                    <w:color w:val="000000"/>
                  </w:rPr>
                  <w:t>PAFT 2 priede nustatytus projektų bendruosius atrankos kriterijus).</w:t>
                </w:r>
              </w:p>
            </w:tc>
          </w:tr>
          <w:tr w:rsidR="00BC34F5">
            <w:trPr>
              <w:trHeight w:val="338"/>
            </w:trPr>
            <w:tc>
              <w:tcPr>
                <w:tcW w:w="15134" w:type="dxa"/>
              </w:tcPr>
              <w:p w:rsidR="00BC34F5" w:rsidRDefault="00D808B1">
                <w:pPr>
                  <w:jc w:val="both"/>
                  <w:rPr>
                    <w:iCs/>
                    <w:szCs w:val="24"/>
                  </w:rPr>
                </w:pPr>
                <w:r>
                  <w:rPr>
                    <w:iCs/>
                    <w:szCs w:val="24"/>
                  </w:rPr>
                  <w:t>Netaikoma.</w:t>
                </w:r>
              </w:p>
            </w:tc>
          </w:tr>
          <w:tr w:rsidR="00BC34F5">
            <w:trPr>
              <w:trHeight w:val="309"/>
            </w:trPr>
            <w:tc>
              <w:tcPr>
                <w:tcW w:w="15134" w:type="dxa"/>
              </w:tcPr>
              <w:p w:rsidR="00BC34F5" w:rsidRDefault="00D808B1">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BC34F5" w:rsidRDefault="00D808B1">
                <w:pPr>
                  <w:jc w:val="both"/>
                  <w:rPr>
                    <w:i/>
                    <w:sz w:val="22"/>
                    <w:szCs w:val="22"/>
                  </w:rPr>
                </w:pPr>
                <w:r>
                  <w:t>(Kiekvienas jungtinio projekto projektas turi atitikti</w:t>
                </w:r>
                <w:r>
                  <w:rPr>
                    <w:iCs/>
                    <w:color w:val="000000"/>
                  </w:rPr>
                  <w:t xml:space="preserve"> PAFT 2 priede nustatytus projektų bendruosius atrankos kriterijus).</w:t>
                </w:r>
              </w:p>
            </w:tc>
          </w:tr>
          <w:tr w:rsidR="00BC34F5">
            <w:trPr>
              <w:trHeight w:val="521"/>
            </w:trPr>
            <w:tc>
              <w:tcPr>
                <w:tcW w:w="15134" w:type="dxa"/>
              </w:tcPr>
              <w:p w:rsidR="00BC34F5" w:rsidRDefault="00D808B1">
                <w:pPr>
                  <w:jc w:val="both"/>
                  <w:rPr>
                    <w:iCs/>
                    <w:szCs w:val="24"/>
                  </w:rPr>
                </w:pPr>
                <w:r>
                  <w:rPr>
                    <w:iCs/>
                    <w:szCs w:val="24"/>
                  </w:rPr>
                  <w:t>Netaikoma.</w:t>
                </w:r>
              </w:p>
            </w:tc>
          </w:tr>
          <w:tr w:rsidR="00BC34F5">
            <w:tc>
              <w:tcPr>
                <w:tcW w:w="15134" w:type="dxa"/>
              </w:tcPr>
              <w:p w:rsidR="00BC34F5" w:rsidRDefault="00D808B1">
                <w:pPr>
                  <w:rPr>
                    <w:szCs w:val="24"/>
                  </w:rPr>
                </w:pPr>
                <w:r>
                  <w:rPr>
                    <w:b/>
                    <w:szCs w:val="24"/>
                  </w:rPr>
                  <w:t>11.</w:t>
                </w:r>
                <w:r>
                  <w:rPr>
                    <w:szCs w:val="24"/>
                  </w:rPr>
                  <w:t xml:space="preserve"> </w:t>
                </w:r>
                <w:r>
                  <w:rPr>
                    <w:b/>
                    <w:szCs w:val="24"/>
                  </w:rPr>
                  <w:t>Reikalavimai, įgyvendinus projektų veiklas</w:t>
                </w:r>
              </w:p>
            </w:tc>
          </w:tr>
          <w:tr w:rsidR="00BC34F5">
            <w:tc>
              <w:tcPr>
                <w:tcW w:w="15134" w:type="dxa"/>
              </w:tcPr>
              <w:p w:rsidR="00BC34F5" w:rsidRDefault="00D808B1">
                <w:pPr>
                  <w:jc w:val="both"/>
                  <w:rPr>
                    <w:i/>
                    <w:sz w:val="22"/>
                    <w:szCs w:val="22"/>
                  </w:rPr>
                </w:pPr>
                <w:r>
                  <w:rPr>
                    <w:szCs w:val="24"/>
                  </w:rPr>
                  <w:t>Papildomi reikalavimai, įgyvendinus projektų veiklas, nei numatyta PAFT, netaikomi.</w:t>
                </w:r>
              </w:p>
            </w:tc>
          </w:tr>
          <w:tr w:rsidR="00BC34F5">
            <w:tc>
              <w:tcPr>
                <w:tcW w:w="15134" w:type="dxa"/>
              </w:tcPr>
              <w:p w:rsidR="00BC34F5" w:rsidRDefault="00D808B1">
                <w:pPr>
                  <w:rPr>
                    <w:szCs w:val="24"/>
                  </w:rPr>
                </w:pPr>
                <w:r>
                  <w:rPr>
                    <w:b/>
                    <w:szCs w:val="24"/>
                  </w:rPr>
                  <w:t>12.</w:t>
                </w:r>
                <w:r>
                  <w:rPr>
                    <w:szCs w:val="24"/>
                  </w:rPr>
                  <w:t xml:space="preserve"> </w:t>
                </w:r>
                <w:r>
                  <w:rPr>
                    <w:b/>
                    <w:szCs w:val="24"/>
                  </w:rPr>
                  <w:t>Kiti reikalavimai</w:t>
                </w:r>
              </w:p>
            </w:tc>
          </w:tr>
          <w:tr w:rsidR="00BC34F5">
            <w:tc>
              <w:tcPr>
                <w:tcW w:w="15134" w:type="dxa"/>
              </w:tcPr>
              <w:p w:rsidR="00BC34F5" w:rsidRDefault="00D808B1">
                <w:pPr>
                  <w:tabs>
                    <w:tab w:val="left" w:pos="1134"/>
                  </w:tabs>
                  <w:jc w:val="both"/>
                  <w:rPr>
                    <w:szCs w:val="24"/>
                  </w:rPr>
                </w:pPr>
                <w:r>
                  <w:rPr>
                    <w:szCs w:val="24"/>
                  </w:rPr>
                  <w:t xml:space="preserve">12.1. Administruojanti institucija turi informuoti Lietuvos Respublikos švietimo, mokslo ir sporto ministeriją (toliau – Ministerija), jeigu vertinimo metu nustatyta, kad pareiškėjo pateiktas PĮP neatitinka šio Aprašo 2.14 papunkčio. </w:t>
                </w:r>
              </w:p>
              <w:p w:rsidR="00BC34F5" w:rsidRDefault="00D808B1">
                <w:pPr>
                  <w:tabs>
                    <w:tab w:val="left" w:pos="1134"/>
                  </w:tabs>
                  <w:jc w:val="both"/>
                  <w:rPr>
                    <w:i/>
                    <w:sz w:val="22"/>
                    <w:szCs w:val="22"/>
                  </w:rPr>
                </w:pPr>
                <w:r>
                  <w:rPr>
                    <w:szCs w:val="24"/>
                  </w:rPr>
                  <w:t xml:space="preserve">12.2. </w:t>
                </w:r>
                <w:r>
                  <w:rPr>
                    <w:color w:val="000000"/>
                  </w:rPr>
                  <w:t>Projekto įgyven</w:t>
                </w:r>
                <w:r>
                  <w:rPr>
                    <w:color w:val="000000"/>
                  </w:rPr>
                  <w:t>dinimo priežiūrai užtikrinti ir iškilusiems projekto įgyvendinimo klausimams spręsti Ministerija sudarys Projektų priežiūros komitetą.</w:t>
                </w:r>
              </w:p>
            </w:tc>
          </w:tr>
          <w:tr w:rsidR="00BC34F5">
            <w:tc>
              <w:tcPr>
                <w:tcW w:w="15134" w:type="dxa"/>
              </w:tcPr>
              <w:p w:rsidR="00BC34F5" w:rsidRDefault="00D808B1">
                <w:pPr>
                  <w:rPr>
                    <w:b/>
                    <w:szCs w:val="24"/>
                  </w:rPr>
                </w:pPr>
                <w:r>
                  <w:rPr>
                    <w:b/>
                    <w:szCs w:val="24"/>
                  </w:rPr>
                  <w:t>IŠLAIDŲ TINKAMUMO FINANSUOTI REIKALAVIMAI</w:t>
                </w:r>
              </w:p>
            </w:tc>
          </w:tr>
          <w:tr w:rsidR="00BC34F5">
            <w:tc>
              <w:tcPr>
                <w:tcW w:w="15134" w:type="dxa"/>
              </w:tcPr>
              <w:p w:rsidR="00BC34F5" w:rsidRDefault="00D808B1">
                <w:pPr>
                  <w:jc w:val="both"/>
                  <w:rPr>
                    <w:b/>
                    <w:szCs w:val="24"/>
                  </w:rPr>
                </w:pPr>
                <w:r>
                  <w:rPr>
                    <w:b/>
                    <w:szCs w:val="24"/>
                  </w:rPr>
                  <w:t>13. Išlaidų tinkamumo finansuoti reikalavimai</w:t>
                </w:r>
              </w:p>
            </w:tc>
          </w:tr>
          <w:tr w:rsidR="00BC34F5">
            <w:tc>
              <w:tcPr>
                <w:tcW w:w="15134" w:type="dxa"/>
              </w:tcPr>
              <w:p w:rsidR="00BC34F5" w:rsidRDefault="00D808B1">
                <w:pPr>
                  <w:jc w:val="both"/>
                  <w:rPr>
                    <w:iCs/>
                    <w:szCs w:val="24"/>
                  </w:rPr>
                </w:pPr>
                <w:r>
                  <w:rPr>
                    <w:iCs/>
                    <w:szCs w:val="24"/>
                  </w:rPr>
                  <w:t>13.1. Didžiausia galima projek</w:t>
                </w:r>
                <w:r>
                  <w:rPr>
                    <w:iCs/>
                    <w:szCs w:val="24"/>
                  </w:rPr>
                  <w:t>tų finansuojamoji dalis sudaro 100 proc. visų tinkamų finansuoti projekto išlaidų. Pareiškėjas savo iniciatyva ir savo, ir (arba) kitų šaltinių lėšomis gali prisidėti prie projekto įgyvendinimo.</w:t>
                </w:r>
              </w:p>
              <w:p w:rsidR="00BC34F5" w:rsidRDefault="00D808B1">
                <w:pPr>
                  <w:jc w:val="both"/>
                  <w:rPr>
                    <w:iCs/>
                    <w:szCs w:val="24"/>
                  </w:rPr>
                </w:pPr>
                <w:r>
                  <w:rPr>
                    <w:iCs/>
                    <w:szCs w:val="24"/>
                  </w:rPr>
                  <w:t>13.2. Projekto tinkamų finansuoti išlaidų dalis, kurios nepad</w:t>
                </w:r>
                <w:r>
                  <w:rPr>
                    <w:iCs/>
                    <w:szCs w:val="24"/>
                  </w:rPr>
                  <w:t>engia projektui skiriamo finansavimo lėšos, turi būti finansuojama iš projekto vykdytojo lėšų.</w:t>
                </w:r>
              </w:p>
              <w:p w:rsidR="00BC34F5" w:rsidRDefault="00D808B1">
                <w:pPr>
                  <w:jc w:val="both"/>
                  <w:rPr>
                    <w:iCs/>
                    <w:szCs w:val="24"/>
                  </w:rPr>
                </w:pPr>
                <w:r>
                  <w:rPr>
                    <w:iCs/>
                    <w:szCs w:val="24"/>
                  </w:rPr>
                  <w:t>13.3. Planuojamos išlaidos turi atitikti PAFT VII skyriuje išdėstytus projektų išlaidoms taikomus reikalavimus.</w:t>
                </w:r>
              </w:p>
              <w:p w:rsidR="00BC34F5" w:rsidRDefault="00D808B1">
                <w:pPr>
                  <w:jc w:val="both"/>
                  <w:rPr>
                    <w:iCs/>
                    <w:szCs w:val="24"/>
                  </w:rPr>
                </w:pPr>
                <w:r>
                  <w:rPr>
                    <w:iCs/>
                    <w:szCs w:val="22"/>
                  </w:rPr>
                  <w:t>13.4. Projekto vykdytojui gali būti išmokamas ava</w:t>
                </w:r>
                <w:r>
                  <w:rPr>
                    <w:iCs/>
                    <w:szCs w:val="22"/>
                  </w:rPr>
                  <w:t xml:space="preserve">nsas iki 30 proc. tinkamų finansuoti projekto išlaidų. </w:t>
                </w:r>
                <w:r>
                  <w:rPr>
                    <w:color w:val="000000"/>
                  </w:rPr>
                  <w:t>Projektų išlaidos gali būti patirtos iki projekto sutarties pasirašymo, jei tai neprieštarauja PAFT 294 punkto nuostatoms.</w:t>
                </w:r>
              </w:p>
              <w:p w:rsidR="00BC34F5" w:rsidRDefault="00D808B1">
                <w:pPr>
                  <w:jc w:val="both"/>
                  <w:rPr>
                    <w:iCs/>
                    <w:szCs w:val="24"/>
                  </w:rPr>
                </w:pPr>
                <w:r>
                  <w:rPr>
                    <w:iCs/>
                    <w:szCs w:val="24"/>
                  </w:rPr>
                  <w:t>13.5. Pagal Aprašą tinkamos išlaidos yra šios:</w:t>
                </w:r>
              </w:p>
              <w:p w:rsidR="00BC34F5" w:rsidRDefault="00D808B1">
                <w:pPr>
                  <w:jc w:val="both"/>
                  <w:rPr>
                    <w:bCs/>
                    <w:szCs w:val="24"/>
                  </w:rPr>
                </w:pPr>
                <w:r>
                  <w:rPr>
                    <w:iCs/>
                    <w:szCs w:val="24"/>
                  </w:rPr>
                  <w:lastRenderedPageBreak/>
                  <w:t xml:space="preserve">13.5.1. darbo užmokestis, </w:t>
                </w:r>
                <w:r>
                  <w:rPr>
                    <w:bCs/>
                    <w:szCs w:val="24"/>
                  </w:rPr>
                  <w:t>kvali</w:t>
                </w:r>
                <w:r>
                  <w:rPr>
                    <w:bCs/>
                    <w:szCs w:val="24"/>
                  </w:rPr>
                  <w:t>fikacijos tobulinimo, mokymų išlaidos, švietimo ekspertų paslaugos, renginių organizavimas, mokymo priemonės licencijos, metodikos, komandiruotės ir vizitai, kitos paslaugos ir prekės, reikalingos veikloms įgyvendinti;</w:t>
                </w:r>
              </w:p>
              <w:p w:rsidR="00BC34F5" w:rsidRDefault="00D808B1">
                <w:pPr>
                  <w:jc w:val="both"/>
                  <w:rPr>
                    <w:bCs/>
                    <w:szCs w:val="24"/>
                  </w:rPr>
                </w:pPr>
                <w:r>
                  <w:rPr>
                    <w:bCs/>
                    <w:szCs w:val="24"/>
                  </w:rPr>
                  <w:t xml:space="preserve">13.5.2. privalomos projektų matomumo </w:t>
                </w:r>
                <w:r>
                  <w:rPr>
                    <w:bCs/>
                    <w:szCs w:val="24"/>
                  </w:rPr>
                  <w:t xml:space="preserve">ir informavimo apie projektus priemonės pagal PAFT 340 ir 341 punktus; </w:t>
                </w:r>
              </w:p>
              <w:p w:rsidR="00BC34F5" w:rsidRDefault="00D808B1">
                <w:pPr>
                  <w:jc w:val="both"/>
                  <w:rPr>
                    <w:bCs/>
                    <w:szCs w:val="24"/>
                  </w:rPr>
                </w:pPr>
                <w:r>
                  <w:rPr>
                    <w:bCs/>
                    <w:szCs w:val="24"/>
                  </w:rPr>
                  <w:t>13.5.3. išlaidos, kurios aptartos Aprašo 14 punkte.</w:t>
                </w:r>
              </w:p>
            </w:tc>
          </w:tr>
          <w:tr w:rsidR="00BC34F5">
            <w:trPr>
              <w:trHeight w:val="349"/>
            </w:trPr>
            <w:tc>
              <w:tcPr>
                <w:tcW w:w="15134" w:type="dxa"/>
              </w:tcPr>
              <w:p w:rsidR="00BC34F5" w:rsidRDefault="00D808B1">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BC34F5">
            <w:tc>
              <w:tcPr>
                <w:tcW w:w="15134" w:type="dxa"/>
              </w:tcPr>
              <w:p w:rsidR="00BC34F5" w:rsidRDefault="00D808B1">
                <w:pPr>
                  <w:jc w:val="both"/>
                  <w:rPr>
                    <w:iCs/>
                    <w:szCs w:val="22"/>
                  </w:rPr>
                </w:pPr>
                <w:r>
                  <w:rPr>
                    <w:iCs/>
                    <w:szCs w:val="22"/>
                  </w:rPr>
                  <w:t xml:space="preserve">14.1. </w:t>
                </w:r>
                <w:r>
                  <w:rPr>
                    <w:iCs/>
                    <w:szCs w:val="22"/>
                  </w:rPr>
                  <w:t>Supaprastintai apmokamos išlaidos yra tinkamos finansuoti, jei galimybė jas apmokėti supaprastintai iš anksto (iki projekto sutarties sudarymo) yra įtraukta į Supaprastintai apmokamų išlaidų dydžių registrą, skelbiamą Europos socialinio fondo agentūros (</w:t>
                </w:r>
                <w:proofErr w:type="spellStart"/>
                <w:r>
                  <w:rPr>
                    <w:iCs/>
                    <w:szCs w:val="22"/>
                  </w:rPr>
                  <w:t>es</w:t>
                </w:r>
                <w:r>
                  <w:rPr>
                    <w:iCs/>
                    <w:szCs w:val="22"/>
                  </w:rPr>
                  <w:t>f.lt</w:t>
                </w:r>
                <w:proofErr w:type="spellEnd"/>
                <w:r>
                  <w:rPr>
                    <w:iCs/>
                    <w:szCs w:val="22"/>
                  </w:rPr>
                  <w:t>) interneto svetainės skiltyje „Metodinės pagalbos centras“.</w:t>
                </w:r>
              </w:p>
              <w:p w:rsidR="00BC34F5" w:rsidRDefault="00D808B1">
                <w:pPr>
                  <w:jc w:val="both"/>
                  <w:rPr>
                    <w:iCs/>
                    <w:szCs w:val="22"/>
                  </w:rPr>
                </w:pPr>
                <w:r>
                  <w:rPr>
                    <w:iCs/>
                    <w:szCs w:val="22"/>
                  </w:rPr>
                  <w:t xml:space="preserve">14.2. Supaprastintai apmokamų išlaidų dydžiai gali būti įtraukti ir po projektų sutarčių pasirašymo laikotarpiu nuo 2020 m. vasario 1 d. iki 2026 m. rugpjūčio 31 d. </w:t>
                </w:r>
              </w:p>
              <w:p w:rsidR="00BC34F5" w:rsidRDefault="00D808B1">
                <w:pPr>
                  <w:jc w:val="both"/>
                  <w:rPr>
                    <w:iCs/>
                    <w:szCs w:val="22"/>
                  </w:rPr>
                </w:pPr>
                <w:r>
                  <w:rPr>
                    <w:iCs/>
                    <w:szCs w:val="22"/>
                  </w:rPr>
                  <w:t>14.3. Projektų įgyvendini</w:t>
                </w:r>
                <w:r>
                  <w:rPr>
                    <w:iCs/>
                    <w:szCs w:val="22"/>
                  </w:rPr>
                  <w:t xml:space="preserve">mo metu </w:t>
                </w:r>
                <w:r>
                  <w:t>administruojančiai</w:t>
                </w:r>
                <w:r>
                  <w:rPr>
                    <w:iCs/>
                    <w:szCs w:val="22"/>
                  </w:rPr>
                  <w:t xml:space="preserve"> ar audito institucijoms nustačius, kad fiksuotosios sumos ar fiksuotosios normos buvo netinkamai nustatytos, patikslinti dydžiai ar jų taikymo sąlygos taikomi projektų veiksmų, vykdomų nuo dydžių ar jų taikymo sąlygų patikslinimo</w:t>
                </w:r>
                <w:r>
                  <w:rPr>
                    <w:iCs/>
                    <w:szCs w:val="22"/>
                  </w:rPr>
                  <w:t xml:space="preserve"> įsigaliojimo dienos, išlaidoms apmokėti.</w:t>
                </w:r>
              </w:p>
              <w:p w:rsidR="00BC34F5" w:rsidRDefault="00BC34F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BC34F5">
                  <w:tc>
                    <w:tcPr>
                      <w:tcW w:w="14449" w:type="dxa"/>
                      <w:gridSpan w:val="5"/>
                      <w:tcBorders>
                        <w:top w:val="single" w:sz="8" w:space="0" w:color="auto"/>
                        <w:left w:val="single" w:sz="8" w:space="0" w:color="auto"/>
                        <w:bottom w:val="single" w:sz="8" w:space="0" w:color="auto"/>
                        <w:right w:val="single" w:sz="8" w:space="0" w:color="auto"/>
                      </w:tcBorders>
                    </w:tcPr>
                    <w:p w:rsidR="00BC34F5" w:rsidRDefault="00D808B1">
                      <w:pPr>
                        <w:jc w:val="both"/>
                        <w:rPr>
                          <w:b/>
                          <w:bCs/>
                          <w:szCs w:val="24"/>
                        </w:rPr>
                      </w:pPr>
                      <w:r>
                        <w:rPr>
                          <w:rFonts w:ascii="Segoe UI Symbol" w:eastAsia="MS Gothic" w:hAnsi="Segoe UI Symbol" w:cs="Segoe UI Symbol"/>
                          <w:b/>
                          <w:bCs/>
                          <w:szCs w:val="24"/>
                        </w:rPr>
                        <w:t>☒</w:t>
                      </w:r>
                      <w:r>
                        <w:rPr>
                          <w:b/>
                          <w:bCs/>
                          <w:szCs w:val="24"/>
                        </w:rPr>
                        <w:t xml:space="preserve"> Indeksuojama</w:t>
                      </w:r>
                    </w:p>
                    <w:p w:rsidR="00BC34F5" w:rsidRDefault="00D808B1">
                      <w:pPr>
                        <w:jc w:val="both"/>
                        <w:rPr>
                          <w:b/>
                          <w:bCs/>
                          <w:szCs w:val="24"/>
                        </w:rPr>
                      </w:pPr>
                      <w:r>
                        <w:rPr>
                          <w:rFonts w:ascii="Segoe UI Symbol" w:eastAsia="MS Gothic" w:hAnsi="Segoe UI Symbol" w:cs="Segoe UI Symbol"/>
                          <w:b/>
                          <w:bCs/>
                          <w:szCs w:val="24"/>
                        </w:rPr>
                        <w:t>☐</w:t>
                      </w:r>
                      <w:r>
                        <w:rPr>
                          <w:rFonts w:ascii="Segoe UI Symbol" w:eastAsia="MS Gothic" w:hAnsi="Segoe UI Symbol" w:cs="Segoe UI Symbol"/>
                          <w:b/>
                          <w:bCs/>
                          <w:szCs w:val="24"/>
                        </w:rPr>
                        <w:t xml:space="preserve"> </w:t>
                      </w:r>
                      <w:r>
                        <w:rPr>
                          <w:b/>
                          <w:bCs/>
                          <w:szCs w:val="24"/>
                        </w:rPr>
                        <w:t>Neindeksuojama</w:t>
                      </w:r>
                    </w:p>
                  </w:tc>
                </w:tr>
                <w:tr w:rsidR="00BC34F5">
                  <w:tc>
                    <w:tcPr>
                      <w:tcW w:w="2889"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Papildoma informacija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Netiesioginėms projekto veikloms ir išlaidoms apmokėti</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Iki 7 proc. 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Netiesioginės projekto išlaidos skaičiuojamos nuo tinkamų finansuoti</w:t>
                      </w:r>
                      <w:r>
                        <w:rPr>
                          <w:szCs w:val="24"/>
                        </w:rPr>
                        <w:t xml:space="preserve"> tiesioginių projekto išlaidų (7 proc.).</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shd w:val="clear" w:color="auto" w:fill="FFFFFF"/>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 xml:space="preserve">Įgyvendintų privalomų matomumo ir informavimo priemonių apie Europos Sąjungos fondų investicijų veiklas fiksuotoji suma, </w:t>
                      </w:r>
                      <w:r>
                        <w:rPr>
                          <w:szCs w:val="24"/>
                        </w:rPr>
                        <w:t>pirmojo rinkinio FS su PVM</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Fiksuotąją sumą sudaro visų pirmojo privalomų matomumo ir informavimo priemonių rinkinio išlaidos, kai:</w:t>
                      </w:r>
                    </w:p>
                    <w:p w:rsidR="00BC34F5" w:rsidRDefault="00D808B1">
                      <w:pPr>
                        <w:jc w:val="center"/>
                        <w:rPr>
                          <w:szCs w:val="24"/>
                        </w:rPr>
                      </w:pPr>
                      <w:r>
                        <w:rPr>
                          <w:szCs w:val="24"/>
                        </w:rPr>
                        <w:t xml:space="preserve">a) projekto įgyvendinimo pradžioje projekto vykdytojo oficialioje </w:t>
                      </w:r>
                      <w:r>
                        <w:rPr>
                          <w:szCs w:val="24"/>
                        </w:rPr>
                        <w:lastRenderedPageBreak/>
                        <w:t>interneto svetainėje, jei tokia yra, ir socialinės žiniaskl</w:t>
                      </w:r>
                      <w:r>
                        <w:rPr>
                          <w:szCs w:val="24"/>
                        </w:rPr>
                        <w:t>aidos svetainėse paskelbta informacija – trumpas veiksmo, įskaitant jo tikslus ir rezultatus, aprašymas, proporcingas paramos dydžiui, bei informavimas apie iš ES gaunamą finansinę paramą;</w:t>
                      </w:r>
                    </w:p>
                    <w:p w:rsidR="00BC34F5" w:rsidRDefault="00D808B1">
                      <w:pPr>
                        <w:jc w:val="center"/>
                        <w:rPr>
                          <w:szCs w:val="24"/>
                        </w:rPr>
                      </w:pPr>
                      <w:r>
                        <w:rPr>
                          <w:szCs w:val="24"/>
                        </w:rPr>
                        <w:t>b) projekto įgyvendinimo pradžioje visuomenei gerai matomoje vietoj</w:t>
                      </w:r>
                      <w:r>
                        <w:rPr>
                          <w:szCs w:val="24"/>
                        </w:rPr>
                        <w:t>e pakabintas bent vienas ne mažesnio nei A3 formato spausdintas skelbimas (plakatas) arba elektroniniame ekrane paskelbtas lygiavertis pranešimas, kuriame turi būti pateikta informacija apie veiksmą, akcentuojant iš ES gaunamą finansinę paramą;</w:t>
                      </w:r>
                    </w:p>
                    <w:p w:rsidR="00BC34F5" w:rsidRDefault="00D808B1">
                      <w:pPr>
                        <w:jc w:val="center"/>
                        <w:rPr>
                          <w:i/>
                          <w:iCs/>
                          <w:szCs w:val="24"/>
                        </w:rPr>
                      </w:pPr>
                      <w:r>
                        <w:rPr>
                          <w:szCs w:val="24"/>
                        </w:rPr>
                        <w:t>c) visuomen</w:t>
                      </w:r>
                      <w:r>
                        <w:rPr>
                          <w:szCs w:val="24"/>
                        </w:rPr>
                        <w:t>ei arba dalyviams skirtuose dokumentuose ir komunikacijos medžiagoje, susijusioje su veiksmo įgyvendinimu, gerai matomai pateiktas pareiškimas, kuriame akcentuojama gaunama ES parama.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p w:rsidR="00BC34F5" w:rsidRDefault="00D808B1">
                      <w:pPr>
                        <w:jc w:val="center"/>
                        <w:rPr>
                          <w:szCs w:val="24"/>
                        </w:rPr>
                      </w:pPr>
                      <w:r>
                        <w:rPr>
                          <w:szCs w:val="24"/>
                        </w:rPr>
                        <w:t>Privalomos projektų matomumo ir informavimo apie projektus priemonės i</w:t>
                      </w:r>
                      <w:r>
                        <w:rPr>
                          <w:szCs w:val="24"/>
                        </w:rPr>
                        <w:t>r išlaidos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Fiksuotąją sumą sudaro visų pirmojo privalomų matomumo ir informavimo priemonių rinkini</w:t>
                      </w:r>
                      <w:r>
                        <w:rPr>
                          <w:szCs w:val="24"/>
                        </w:rPr>
                        <w:t>o išlaidos, kai:</w:t>
                      </w:r>
                    </w:p>
                    <w:p w:rsidR="00BC34F5" w:rsidRDefault="00D808B1">
                      <w:pPr>
                        <w:jc w:val="cente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w:t>
                      </w:r>
                      <w:r>
                        <w:rPr>
                          <w:szCs w:val="24"/>
                        </w:rPr>
                        <w:t>gas paramos dydžiui, bei informavimas apie iš ES gaunamą finansinę paramą;</w:t>
                      </w:r>
                    </w:p>
                    <w:p w:rsidR="00BC34F5" w:rsidRDefault="00D808B1">
                      <w:pPr>
                        <w:jc w:val="center"/>
                        <w:rPr>
                          <w:szCs w:val="24"/>
                        </w:rPr>
                      </w:pPr>
                      <w:r>
                        <w:rPr>
                          <w:szCs w:val="24"/>
                        </w:rPr>
                        <w:t xml:space="preserve">b) projekto įgyvendinimo pradžioje visuomenei gerai matomoje vietoje pakabintas bent vienas ne mažesnio nei A3 formato spausdintas skelbimas (plakatas) arba elektroniniame ekrane </w:t>
                      </w:r>
                      <w:r>
                        <w:rPr>
                          <w:szCs w:val="24"/>
                        </w:rPr>
                        <w:t>paskelbtas lygiavertis pranešimas, kuriame turi būti pateikta informacija apie veiksmą, akcentuojant iš ES gaunamą finansinę paramą;</w:t>
                      </w:r>
                    </w:p>
                    <w:p w:rsidR="00BC34F5" w:rsidRDefault="00D808B1">
                      <w:pPr>
                        <w:jc w:val="center"/>
                        <w:rPr>
                          <w:szCs w:val="24"/>
                        </w:rPr>
                      </w:pPr>
                      <w:r>
                        <w:rPr>
                          <w:szCs w:val="24"/>
                        </w:rPr>
                        <w:t xml:space="preserve">c) visuomenei arba dalyviams skirtuose </w:t>
                      </w:r>
                      <w:r>
                        <w:rPr>
                          <w:szCs w:val="24"/>
                        </w:rPr>
                        <w:lastRenderedPageBreak/>
                        <w:t>dokumentuose ir komunikacijos medžiagoje, susijusioje su veiksmo įgyvendinimu, gerai</w:t>
                      </w:r>
                      <w:r>
                        <w:rPr>
                          <w:szCs w:val="24"/>
                        </w:rPr>
                        <w:t xml:space="preserve"> matomai pateiktas pareiškimas, kuriame akcentuojama gaunama ES parama.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Įgyvendintų privalomų matomumo ir informavimo priemonių apie ES fondų investicijų veiklas </w:t>
                      </w:r>
                      <w:r>
                        <w:rPr>
                          <w:szCs w:val="24"/>
                        </w:rPr>
                        <w:t>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Įgyvendintų privalomų matomumo ir informavimo priemonių apie ES fondų investicijų veiklas fiksuotoji suma, antrojo rinkin</w:t>
                      </w:r>
                      <w:r>
                        <w:rPr>
                          <w:szCs w:val="24"/>
                        </w:rPr>
                        <w:t>io FS su PVM</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w:t>
                      </w:r>
                      <w:r>
                        <w:rPr>
                          <w:szCs w:val="24"/>
                        </w:rPr>
                        <w:t>ksuotoji norma taikoma, kai priklauso 20 darbo dienos (toliau –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w:t>
                      </w:r>
                      <w:r>
                        <w:rPr>
                          <w:szCs w:val="24"/>
                        </w:rPr>
                        <w:t>, kurios apskaičiuojamos nuo tinkamų finansuoti faktiškai patirtų vykdančiojo personalo darbo užmokesčio išlaidų.</w:t>
                      </w:r>
                    </w:p>
                  </w:tc>
                </w:tr>
                <w:tr w:rsidR="00BC34F5">
                  <w:trPr>
                    <w:trHeight w:val="2449"/>
                  </w:trPr>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 xml:space="preserve">Darbo užmokesčio išlaidų dalis per mėnesį, skirta kasmetinėms atostogoms, kuri apskaičiuojama nuo tinkamų finansuoti faktiškai patirtų darbo </w:t>
                      </w:r>
                      <w:r>
                        <w:rPr>
                          <w:szCs w:val="24"/>
                        </w:rPr>
                        <w:t xml:space="preserve">užmokesčio išlaidų už faktiškai dirbtą laiką </w:t>
                      </w:r>
                    </w:p>
                    <w:p w:rsidR="00BC34F5" w:rsidRDefault="00D808B1">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w:t>
                      </w:r>
                      <w:r>
                        <w:rPr>
                          <w:szCs w:val="24"/>
                        </w:rPr>
                        <w:t xml:space="preserve">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Darbo užmokesčio išlaidų dalis per mėnesį, skirta kasmetinėms atostogom</w:t>
                      </w:r>
                      <w:r>
                        <w:rPr>
                          <w:szCs w:val="24"/>
                        </w:rPr>
                        <w:t>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26 iki 30 d. d. (jeigu dirbama 5 d. d. per savaitę) arba nuo 31 iki 36 d.</w:t>
                      </w:r>
                      <w:r>
                        <w:rPr>
                          <w:szCs w:val="24"/>
                        </w:rPr>
                        <w:t xml:space="preserve">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lang w:eastAsia="lt-LT"/>
                        </w:rPr>
                      </w:pPr>
                      <w:r>
                        <w:rPr>
                          <w:lang w:eastAsia="lt-LT"/>
                        </w:rPr>
                        <w:t xml:space="preserve">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lang w:eastAsia="lt-LT"/>
                        </w:rPr>
                        <w:t>(14,99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FN-05-04</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lang w:eastAsia="lt-LT"/>
                        </w:rPr>
                        <w:t xml:space="preserve">Fiksuotoji norma taikoma, kai priklauso nuo </w:t>
                      </w:r>
                      <w:r>
                        <w:rPr>
                          <w:lang w:eastAsia="lt-LT"/>
                        </w:rPr>
                        <w:t>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lang w:eastAsia="lt-LT"/>
                        </w:rPr>
                        <w:t>Projektą vykdančio personalo darbo užmokesčio išlaidos už kasmetines atostogas, kurios apskaičiuojamos nuo tinkamų finansu</w:t>
                      </w:r>
                      <w:r>
                        <w:rPr>
                          <w:lang w:eastAsia="lt-LT"/>
                        </w:rPr>
                        <w:t>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Darbo užmokesčio išlaidų dalis per mėnesį, skirta kasmetinėms atostogoms, kuri apskaičiuojama nuo tinkamų finansuoti faktiškai patirtų darbo </w:t>
                      </w:r>
                      <w:r>
                        <w:rPr>
                          <w:szCs w:val="24"/>
                        </w:rPr>
                        <w:lastRenderedPageBreak/>
                        <w:t>užmokesčio išlaidų už faktiškai dirbtą laiką</w:t>
                      </w:r>
                      <w:r>
                        <w:rPr>
                          <w:szCs w:val="24"/>
                        </w:rPr>
                        <w:t xml:space="preserve"> </w:t>
                      </w:r>
                    </w:p>
                    <w:p w:rsidR="00BC34F5" w:rsidRDefault="00D808B1">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FN-05-05</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w:t>
                      </w:r>
                      <w:r>
                        <w:rPr>
                          <w:szCs w:val="24"/>
                        </w:rPr>
                        <w:t xml:space="preserve">dos už kasmetines atostogas, kurios apskaičiuojamos nuo tinkamų finansuoti faktiškai patirtų </w:t>
                      </w:r>
                      <w:r>
                        <w:rPr>
                          <w:szCs w:val="24"/>
                        </w:rPr>
                        <w:lastRenderedPageBreak/>
                        <w:t>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Darbo užmokesčio išlaidų dalis per mėnesį, skirta kasmetinėms atostogoms, kuri apskaičiuojama nuo tinkamų finansuo</w:t>
                      </w:r>
                      <w:r>
                        <w:rPr>
                          <w:szCs w:val="24"/>
                        </w:rPr>
                        <w:t xml:space="preserve">ti faktiškai patirtų darbo užmokesčio išlaidų už faktiškai dirbtą laiką </w:t>
                      </w:r>
                    </w:p>
                    <w:p w:rsidR="00BC34F5" w:rsidRDefault="00D808B1">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FN-05-06</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Darbo užmokesčio išlaidų dalis per mėnesį, skirta kasmetinėms a</w:t>
                      </w:r>
                      <w:r>
                        <w:rPr>
                          <w:szCs w:val="24"/>
                        </w:rPr>
                        <w:t xml:space="preserve">tostogoms, kuri apskaičiuojama nuo tinkamų finansuoti faktiškai patirtų darbo užmokesčio išlaidų už faktiškai dirbtą laiką </w:t>
                      </w:r>
                    </w:p>
                    <w:p w:rsidR="00BC34F5" w:rsidRDefault="00D808B1">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FN-05-07</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Fiksuotoji norma taikoma, kai priklauso nuo 41 d. d. (jeigu dirbama 5 d. d. per savaitę) arba nuo 49 d. d. </w:t>
                      </w:r>
                      <w:r>
                        <w:rPr>
                          <w:szCs w:val="24"/>
                        </w:rPr>
                        <w:t>(jeigu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rsidR="00BC34F5" w:rsidRDefault="00BC34F5">
                <w:pPr>
                  <w:jc w:val="both"/>
                  <w:rPr>
                    <w:i/>
                    <w:iCs/>
                    <w:sz w:val="22"/>
                    <w:szCs w:val="22"/>
                  </w:rPr>
                </w:pPr>
              </w:p>
            </w:tc>
          </w:tr>
        </w:tbl>
        <w:p w:rsidR="00BC34F5" w:rsidRDefault="00BC34F5">
          <w:pPr>
            <w:spacing w:line="276" w:lineRule="auto"/>
            <w:jc w:val="center"/>
            <w:rPr>
              <w:rFonts w:eastAsia="Calibri"/>
              <w:sz w:val="22"/>
              <w:szCs w:val="22"/>
            </w:rPr>
          </w:pPr>
        </w:p>
        <w:p w:rsidR="00BC34F5" w:rsidRDefault="00BC34F5">
          <w:pPr>
            <w:rPr>
              <w:sz w:val="18"/>
              <w:szCs w:val="18"/>
            </w:rPr>
          </w:pPr>
        </w:p>
        <w:p w:rsidR="00BC34F5" w:rsidRDefault="00BC34F5">
          <w:pPr>
            <w:rPr>
              <w:sz w:val="18"/>
              <w:szCs w:val="18"/>
            </w:rPr>
          </w:pPr>
        </w:p>
        <w:sdt>
          <w:sdtPr>
            <w:alias w:val="pabaiga"/>
            <w:tag w:val="part_b0d84713604c4e7fbd443ec172e3f58a"/>
            <w:id w:val="1848905435"/>
            <w:lock w:val="sdtLocked"/>
          </w:sdtPr>
          <w:sdtEndPr/>
          <w:sdtContent>
            <w:p w:rsidR="00BC34F5" w:rsidRDefault="00D808B1">
              <w:pPr>
                <w:spacing w:line="276" w:lineRule="auto"/>
                <w:jc w:val="center"/>
                <w:rPr>
                  <w:rFonts w:eastAsia="Calibri"/>
                  <w:szCs w:val="24"/>
                </w:rPr>
                <w:sectPr w:rsidR="00BC34F5">
                  <w:headerReference w:type="even" r:id="rId12"/>
                  <w:headerReference w:type="default" r:id="rId13"/>
                  <w:footerReference w:type="even" r:id="rId14"/>
                  <w:footerReference w:type="default" r:id="rId15"/>
                  <w:headerReference w:type="first" r:id="rId16"/>
                  <w:footerReference w:type="first" r:id="rId17"/>
                  <w:pgSz w:w="16838" w:h="11906" w:orient="landscape"/>
                  <w:pgMar w:top="426" w:right="567" w:bottom="1134" w:left="1134" w:header="567" w:footer="567" w:gutter="0"/>
                  <w:cols w:space="1296"/>
                  <w:titlePg/>
                  <w:docGrid w:linePitch="360"/>
                </w:sectPr>
              </w:pPr>
              <w:r>
                <w:rPr>
                  <w:rFonts w:eastAsia="Calibri"/>
                  <w:szCs w:val="24"/>
                </w:rPr>
                <w:t>________________</w:t>
              </w:r>
            </w:p>
            <w:p w:rsidR="00BC34F5" w:rsidRDefault="00D808B1">
              <w:pPr>
                <w:tabs>
                  <w:tab w:val="center" w:pos="4819"/>
                  <w:tab w:val="right" w:pos="9638"/>
                </w:tabs>
                <w:jc w:val="center"/>
                <w:rPr>
                  <w:sz w:val="22"/>
                  <w:szCs w:val="22"/>
                </w:rPr>
              </w:pPr>
            </w:p>
          </w:sdtContent>
        </w:sdt>
      </w:sdtContent>
    </w:sdt>
    <w:sdt>
      <w:sdtPr>
        <w:alias w:val="pr."/>
        <w:tag w:val="part_9897f011aa734e2b9644aa580c1088d1"/>
        <w:id w:val="-1396511257"/>
        <w:lock w:val="sdtLocked"/>
      </w:sdtPr>
      <w:sdtEndPr/>
      <w:sdtContent>
        <w:p w:rsidR="00BC34F5" w:rsidRDefault="00D808B1">
          <w:pPr>
            <w:ind w:left="9639"/>
            <w:jc w:val="both"/>
            <w:rPr>
              <w:szCs w:val="24"/>
            </w:rPr>
          </w:pPr>
          <w:r>
            <w:rPr>
              <w:szCs w:val="24"/>
              <w:lang w:eastAsia="lt-LT"/>
            </w:rPr>
            <w:t xml:space="preserve">2021–2030 m. plėtros programos valdytojos Lietuvos Respublikos švietimo, mokslo ir sporto ministerijos švietimo plėtros programos pažangos priemonės </w:t>
          </w:r>
          <w:r>
            <w:rPr>
              <w:szCs w:val="24"/>
            </w:rPr>
            <w:t xml:space="preserve">Nr. 12-003-03-01-04 „Užtikrinti visiems </w:t>
          </w:r>
          <w:r>
            <w:rPr>
              <w:szCs w:val="24"/>
            </w:rPr>
            <w:t>prieinamą ankstyvąjį ugdymą“ projektų finansavimo sąlygų aprašo Nr. 3</w:t>
          </w:r>
        </w:p>
        <w:p w:rsidR="00BC34F5" w:rsidRDefault="00D808B1">
          <w:pPr>
            <w:ind w:left="9639"/>
            <w:jc w:val="both"/>
            <w:rPr>
              <w:szCs w:val="24"/>
            </w:rPr>
          </w:pPr>
          <w:r>
            <w:rPr>
              <w:szCs w:val="24"/>
            </w:rPr>
            <w:t>priedas</w:t>
          </w:r>
        </w:p>
        <w:p w:rsidR="00BC34F5" w:rsidRDefault="00BC34F5">
          <w:pPr>
            <w:ind w:left="9639"/>
            <w:jc w:val="both"/>
            <w:rPr>
              <w:rFonts w:eastAsia="Calibri"/>
              <w:b/>
              <w:bCs/>
              <w:szCs w:val="24"/>
            </w:rPr>
          </w:pPr>
        </w:p>
        <w:p w:rsidR="00BC34F5" w:rsidRDefault="00D808B1">
          <w:pPr>
            <w:jc w:val="center"/>
            <w:rPr>
              <w:rFonts w:eastAsia="Calibri"/>
              <w:b/>
              <w:bCs/>
              <w:szCs w:val="24"/>
            </w:rPr>
          </w:pPr>
          <w:sdt>
            <w:sdtPr>
              <w:alias w:val="Pavadinimas"/>
              <w:tag w:val="title_9897f011aa734e2b9644aa580c1088d1"/>
              <w:id w:val="-1272476126"/>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BC34F5" w:rsidRDefault="00BC34F5">
          <w:pPr>
            <w:jc w:val="center"/>
            <w:rPr>
              <w:rFonts w:eastAsia="Calibri"/>
              <w:b/>
              <w:bCs/>
              <w:szCs w:val="24"/>
            </w:rPr>
          </w:pPr>
        </w:p>
        <w:p w:rsidR="00BC34F5" w:rsidRDefault="00D808B1">
          <w:pPr>
            <w:spacing w:line="276" w:lineRule="auto"/>
            <w:jc w:val="both"/>
            <w:rPr>
              <w:rFonts w:eastAsia="Calibri"/>
              <w:bCs/>
              <w:szCs w:val="24"/>
            </w:rPr>
          </w:pPr>
          <w:r>
            <w:rPr>
              <w:rFonts w:eastAsia="Calibri"/>
              <w:bCs/>
              <w:szCs w:val="24"/>
            </w:rPr>
            <w:t xml:space="preserve">Finansavimo šaltinis, pagal kurį </w:t>
          </w:r>
          <w:r>
            <w:rPr>
              <w:rFonts w:eastAsia="Calibri"/>
              <w:bCs/>
              <w:szCs w:val="24"/>
            </w:rPr>
            <w:t>finansuojamas projektas (</w:t>
          </w:r>
          <w:r>
            <w:rPr>
              <w:rFonts w:eastAsia="Calibri"/>
              <w:bCs/>
              <w:i/>
              <w:szCs w:val="24"/>
            </w:rPr>
            <w:t>pažymėkite tinkamą</w:t>
          </w:r>
          <w:r>
            <w:rPr>
              <w:rFonts w:eastAsia="Calibri"/>
              <w:bCs/>
              <w:szCs w:val="24"/>
            </w:rPr>
            <w:t>):</w:t>
          </w:r>
        </w:p>
        <w:p w:rsidR="00BC34F5" w:rsidRDefault="00D808B1">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BC34F5" w:rsidRDefault="00D808B1">
          <w:pPr>
            <w:spacing w:line="276" w:lineRule="auto"/>
            <w:jc w:val="both"/>
            <w:rPr>
              <w:rFonts w:eastAsia="Calibri"/>
              <w:bCs/>
              <w:szCs w:val="24"/>
            </w:rPr>
          </w:pPr>
          <w:r>
            <w:rPr>
              <w:rFonts w:ascii="MS Gothic" w:eastAsia="MS Gothic" w:hAnsi="MS Gothic"/>
            </w:rPr>
            <w:t>☒</w:t>
          </w:r>
          <w:r>
            <w:rPr>
              <w:rFonts w:ascii="MS Gothic" w:eastAsia="MS Gothic" w:hAnsi="MS Gothic"/>
            </w:rPr>
            <w:t xml:space="preserve"> </w:t>
          </w:r>
          <w:r>
            <w:t>Europos Sąjungos fondų i</w:t>
          </w:r>
          <w:r>
            <w:rPr>
              <w:rFonts w:eastAsia="Calibri"/>
              <w:bCs/>
              <w:szCs w:val="24"/>
            </w:rPr>
            <w:t>nvesticijų programa (toliau – ESIP)</w:t>
          </w:r>
        </w:p>
        <w:p w:rsidR="00BC34F5" w:rsidRDefault="00BC34F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BC34F5">
            <w:tc>
              <w:tcPr>
                <w:tcW w:w="3545" w:type="dxa"/>
              </w:tcPr>
              <w:p w:rsidR="00BC34F5" w:rsidRDefault="00D808B1">
                <w:pPr>
                  <w:jc w:val="center"/>
                  <w:rPr>
                    <w:rFonts w:eastAsia="Calibri"/>
                    <w:b/>
                    <w:szCs w:val="24"/>
                  </w:rPr>
                </w:pPr>
                <w:r>
                  <w:rPr>
                    <w:rFonts w:eastAsia="Calibri"/>
                    <w:b/>
                    <w:szCs w:val="24"/>
                  </w:rPr>
                  <w:t>Aplinkos tikslai</w:t>
                </w:r>
              </w:p>
              <w:p w:rsidR="00BC34F5" w:rsidRDefault="00BC34F5">
                <w:pPr>
                  <w:jc w:val="both"/>
                  <w:rPr>
                    <w:rFonts w:eastAsia="Calibri"/>
                    <w:b/>
                    <w:szCs w:val="24"/>
                  </w:rPr>
                </w:pPr>
              </w:p>
            </w:tc>
            <w:tc>
              <w:tcPr>
                <w:tcW w:w="8079" w:type="dxa"/>
              </w:tcPr>
              <w:p w:rsidR="00BC34F5" w:rsidRDefault="00D808B1">
                <w:pPr>
                  <w:jc w:val="center"/>
                  <w:rPr>
                    <w:rFonts w:eastAsia="Calibri"/>
                    <w:b/>
                    <w:szCs w:val="24"/>
                  </w:rPr>
                </w:pPr>
                <w:r>
                  <w:rPr>
                    <w:rFonts w:eastAsia="Calibri"/>
                    <w:b/>
                    <w:szCs w:val="24"/>
                  </w:rPr>
                  <w:t>Pagrindimas</w:t>
                </w:r>
              </w:p>
              <w:p w:rsidR="00BC34F5" w:rsidRDefault="00BC34F5">
                <w:pPr>
                  <w:jc w:val="both"/>
                  <w:rPr>
                    <w:rFonts w:eastAsia="Calibri"/>
                    <w:b/>
                    <w:szCs w:val="24"/>
                  </w:rPr>
                </w:pPr>
              </w:p>
            </w:tc>
            <w:tc>
              <w:tcPr>
                <w:tcW w:w="3225" w:type="dxa"/>
              </w:tcPr>
              <w:p w:rsidR="00BC34F5" w:rsidRDefault="00D808B1">
                <w:pPr>
                  <w:jc w:val="center"/>
                  <w:rPr>
                    <w:rFonts w:eastAsia="Calibri"/>
                    <w:i/>
                    <w:sz w:val="20"/>
                  </w:rPr>
                </w:pPr>
                <w:r>
                  <w:rPr>
                    <w:rFonts w:eastAsia="Calibri"/>
                    <w:b/>
                    <w:szCs w:val="24"/>
                  </w:rPr>
                  <w:t>Pagrindimo dokumentai</w:t>
                </w:r>
              </w:p>
              <w:p w:rsidR="00BC34F5" w:rsidRDefault="00BC34F5">
                <w:pPr>
                  <w:jc w:val="both"/>
                  <w:rPr>
                    <w:rFonts w:eastAsia="Calibri"/>
                    <w:i/>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1.</w:t>
                </w:r>
                <w:r>
                  <w:rPr>
                    <w:rFonts w:eastAsia="Calibri"/>
                    <w:szCs w:val="24"/>
                  </w:rPr>
                  <w:tab/>
                  <w:t xml:space="preserve">Klimato kaitos </w:t>
                </w:r>
                <w:r>
                  <w:rPr>
                    <w:rFonts w:eastAsia="Calibri"/>
                    <w:szCs w:val="24"/>
                  </w:rPr>
                  <w:t>švelninimas</w:t>
                </w:r>
              </w:p>
            </w:tc>
            <w:tc>
              <w:tcPr>
                <w:tcW w:w="8079" w:type="dxa"/>
              </w:tcPr>
              <w:p w:rsidR="00BC34F5" w:rsidRDefault="00D808B1">
                <w:pPr>
                  <w:jc w:val="both"/>
                  <w:rPr>
                    <w:i/>
                    <w:iCs/>
                    <w:color w:val="000000"/>
                    <w:shd w:val="clear" w:color="auto" w:fill="FFFFFF"/>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w:t>
                </w:r>
                <w:r>
                  <w:rPr>
                    <w:rFonts w:eastAsia="Calibri"/>
                    <w:szCs w:val="24"/>
                  </w:rPr>
                  <w:t xml:space="preserve"> dujų (ŠESD) išsiskyrimo. Planuojama priemonės veikla (pagal savo pobūdį) neturi jokio tiesioginio ar netiesioginio neigiamo poveikio šiam aplinkos tikslui. Bus finansuojamas</w:t>
                </w:r>
                <w:r>
                  <w:rPr>
                    <w:bCs/>
                    <w:iCs/>
                    <w:szCs w:val="24"/>
                  </w:rPr>
                  <w:t xml:space="preserve"> įstaigų, vykdančių ikimokyklinio ugdymo programas, stiprinimo paketas, apimantis </w:t>
                </w:r>
                <w:r>
                  <w:rPr>
                    <w:bCs/>
                    <w:iCs/>
                    <w:szCs w:val="24"/>
                  </w:rPr>
                  <w:t xml:space="preserve">mokymąsi vieniems iš kitų (angl. </w:t>
                </w:r>
                <w:proofErr w:type="spellStart"/>
                <w:r>
                  <w:rPr>
                    <w:bCs/>
                    <w:i/>
                    <w:szCs w:val="24"/>
                  </w:rPr>
                  <w:t>peer-learning</w:t>
                </w:r>
                <w:proofErr w:type="spellEnd"/>
                <w:r>
                  <w:rPr>
                    <w:bCs/>
                    <w:iCs/>
                    <w:szCs w:val="24"/>
                  </w:rPr>
                  <w:t xml:space="preserve">), ikimokyklinio ugdymo mokytojų kompetencijų atnaujinimą ir stiprinimą, aprūpinimą moderniomis darbo vietomis. </w:t>
                </w:r>
                <w:r>
                  <w:rPr>
                    <w:rFonts w:eastAsia="Calibri"/>
                    <w:szCs w:val="24"/>
                  </w:rPr>
                  <w:t>Ši veikla neturės jokio neigiamo tiesioginio ar netiesioginio poveikio klimato kaitos švelninimo t</w:t>
                </w:r>
                <w:r>
                  <w:rPr>
                    <w:rFonts w:eastAsia="Calibri"/>
                    <w:szCs w:val="24"/>
                  </w:rPr>
                  <w:t xml:space="preserve">ikslui, nes nenumatoma, kad įgyvendinant veiklas galėtų būti ŠESD išsiskyrimas. </w:t>
                </w:r>
              </w:p>
              <w:p w:rsidR="00BC34F5" w:rsidRDefault="00BC34F5">
                <w:pPr>
                  <w:jc w:val="both"/>
                  <w:rPr>
                    <w:rFonts w:eastAsia="Calibri"/>
                    <w:bCs/>
                    <w:i/>
                    <w:sz w:val="20"/>
                  </w:rPr>
                </w:pPr>
              </w:p>
            </w:tc>
            <w:tc>
              <w:tcPr>
                <w:tcW w:w="3225" w:type="dxa"/>
              </w:tcPr>
              <w:p w:rsidR="00BC34F5" w:rsidRDefault="00D808B1">
                <w:pPr>
                  <w:jc w:val="both"/>
                </w:pPr>
                <w:r>
                  <w:t>Netaikoma. Numatomos veiklos neturi neigiamo poveikio, todėl papildomi dokumentai neteikiami.</w:t>
                </w:r>
              </w:p>
              <w:p w:rsidR="00BC34F5" w:rsidRDefault="00BC34F5">
                <w:pPr>
                  <w:tabs>
                    <w:tab w:val="left" w:pos="589"/>
                  </w:tabs>
                  <w:jc w:val="both"/>
                  <w:rPr>
                    <w:rFonts w:eastAsia="Calibri"/>
                    <w:i/>
                    <w:sz w:val="20"/>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8079" w:type="dxa"/>
              </w:tcPr>
              <w:p w:rsidR="00BC34F5" w:rsidRDefault="00D808B1">
                <w:pPr>
                  <w:jc w:val="both"/>
                  <w:rPr>
                    <w:color w:val="000000"/>
                    <w:highlight w:val="yellow"/>
                    <w:shd w:val="clear" w:color="auto" w:fill="FFFFFF"/>
                  </w:rPr>
                </w:pPr>
                <w:r>
                  <w:rPr>
                    <w:rFonts w:eastAsia="Calibri"/>
                    <w:szCs w:val="24"/>
                  </w:rPr>
                  <w:t>Vertinama, kad planuojama įgyvendinti pri</w:t>
                </w:r>
                <w:r>
                  <w:rPr>
                    <w:rFonts w:eastAsia="Calibri"/>
                    <w:szCs w:val="24"/>
                  </w:rPr>
                  <w:t>emonė neturi jokio numatomo poveikio šiam aplinkos tikslui arba numatomas jos poveikis yra nereikšmingas, t. y. neplanuojama, kad įgyvendinama priemonė didina neigiamą dabartinio ir ateities klimato poveikį ar daro neigiamą poveikį žmonėms, gamtai ar turtu</w:t>
                </w:r>
                <w:r>
                  <w:rPr>
                    <w:rFonts w:eastAsia="Calibri"/>
                    <w:szCs w:val="24"/>
                  </w:rPr>
                  <w:t>i: priemonės veiklos (pagal savo pobūdį) neturi jokio tiesioginio ar netiesioginio neigiamo poveikio šiam aplinkos tikslui.</w:t>
                </w:r>
              </w:p>
              <w:p w:rsidR="00BC34F5" w:rsidRDefault="00BC34F5">
                <w:pPr>
                  <w:jc w:val="both"/>
                  <w:rPr>
                    <w:color w:val="000000"/>
                    <w:shd w:val="clear" w:color="auto" w:fill="FFFFFF"/>
                  </w:rPr>
                </w:pPr>
              </w:p>
            </w:tc>
            <w:tc>
              <w:tcPr>
                <w:tcW w:w="3225" w:type="dxa"/>
              </w:tcPr>
              <w:p w:rsidR="00BC34F5" w:rsidRDefault="00D808B1">
                <w:pPr>
                  <w:jc w:val="both"/>
                </w:pPr>
                <w:r>
                  <w:lastRenderedPageBreak/>
                  <w:t>Netaikoma. Numatomos veiklos neturi neigiamo poveikio, todėl papildomi dokumentai neteikiami.</w:t>
                </w:r>
              </w:p>
              <w:p w:rsidR="00BC34F5" w:rsidRDefault="00BC34F5">
                <w:pPr>
                  <w:jc w:val="both"/>
                  <w:rPr>
                    <w:rFonts w:eastAsia="Calibri"/>
                    <w:b/>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3.</w:t>
                </w:r>
                <w:r>
                  <w:rPr>
                    <w:rFonts w:eastAsia="Calibri"/>
                    <w:szCs w:val="24"/>
                  </w:rPr>
                  <w:tab/>
                  <w:t xml:space="preserve">Tausus vandens ir jūrų išteklių </w:t>
                </w:r>
                <w:r>
                  <w:rPr>
                    <w:rFonts w:eastAsia="Calibri"/>
                    <w:szCs w:val="24"/>
                  </w:rPr>
                  <w:t>naudojimas ir apsauga</w:t>
                </w:r>
              </w:p>
            </w:tc>
            <w:tc>
              <w:tcPr>
                <w:tcW w:w="8079" w:type="dxa"/>
              </w:tcPr>
              <w:p w:rsidR="00BC34F5" w:rsidRDefault="00D808B1">
                <w:pPr>
                  <w:jc w:val="both"/>
                  <w:rPr>
                    <w:color w:val="000000"/>
                    <w:shd w:val="clear" w:color="auto" w:fill="FFFFFF"/>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ir</w:t>
                </w:r>
                <w:r>
                  <w:rPr>
                    <w:rFonts w:eastAsia="Calibri"/>
                    <w:szCs w:val="24"/>
                  </w:rPr>
                  <w:t xml:space="preserve"> laikoma, kad ji atitinka tausaus išteklių naudojimo ir apsaugos tikslą. Įgyvendinant priemonę nenumatoma atnaujinti infrastruktūros, todėl ji neturi poveikio tausiam vandens ir jūrų išteklių naudojimui: veiklos (pagal savo pobūdį) neturi jokio tiesioginio</w:t>
                </w:r>
                <w:r>
                  <w:rPr>
                    <w:rFonts w:eastAsia="Calibri"/>
                    <w:szCs w:val="24"/>
                  </w:rPr>
                  <w:t xml:space="preserve"> ar netiesioginio neigiamo poveikio šiam aplinkos tikslui.</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bCs/>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079" w:type="dxa"/>
              </w:tcPr>
              <w:p w:rsidR="00BC34F5" w:rsidRDefault="00D808B1">
                <w:pPr>
                  <w:jc w:val="both"/>
                  <w:rPr>
                    <w:color w:val="000000"/>
                    <w:shd w:val="clear" w:color="auto" w:fill="FFFFFF"/>
                  </w:rPr>
                </w:pPr>
                <w:r>
                  <w:rPr>
                    <w:rFonts w:eastAsia="Calibri"/>
                    <w:szCs w:val="24"/>
                  </w:rPr>
                  <w:t>Vertinama, kad planuojama įgyvendinti priemonė neturi jokio numatomo poveikio šiam aplinkos tikslui arba numatomas jos poveikis yra nereikšmingas, kadangi įgyvendinant investicijas nenumatoma kurti infrastruktūros, kuri daro žalą žiedinei ekonomikai, įskai</w:t>
                </w:r>
                <w:r>
                  <w:rPr>
                    <w:rFonts w:eastAsia="Calibri"/>
                    <w:szCs w:val="24"/>
                  </w:rPr>
                  <w:t xml:space="preserve">tant atliekų prevenciją ir perdirbimą: veiklos (pagal savo pobūdį) neturi jokio tiesioginio ar netiesioginio neigiamo poveikio šiam aplinkos tikslui. </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w:t>
                </w:r>
                <w:r>
                  <w:rPr>
                    <w:rFonts w:eastAsia="Calibri"/>
                    <w:bCs/>
                    <w:szCs w:val="24"/>
                  </w:rPr>
                  <w:t>vandens ar žemės taršos prevencija ir kontrolė</w:t>
                </w:r>
              </w:p>
            </w:tc>
            <w:tc>
              <w:tcPr>
                <w:tcW w:w="8079" w:type="dxa"/>
              </w:tcPr>
              <w:p w:rsidR="00BC34F5" w:rsidRDefault="00D808B1">
                <w:pPr>
                  <w:jc w:val="both"/>
                  <w:rPr>
                    <w:color w:val="000000"/>
                    <w:shd w:val="clear" w:color="auto" w:fill="FFFFFF"/>
                  </w:rPr>
                </w:pPr>
                <w:r>
                  <w:rPr>
                    <w:rFonts w:eastAsia="Calibri"/>
                    <w:szCs w:val="24"/>
                  </w:rPr>
                  <w:t>Vertinama, kad planuojama įgyvendinti priemonė neturi jokio numatomo poveikio šiam aplinkos tikslui arba numatomas jos poveikis yra nereikšmingas, t. y. nedaro tiesioginio ir pirminio netiesioginio poveikio pe</w:t>
                </w:r>
                <w:r>
                  <w:rPr>
                    <w:rFonts w:eastAsia="Calibri"/>
                    <w:szCs w:val="24"/>
                  </w:rPr>
                  <w:t>r visą gyvavimo ciklą, ir laikoma, kad ji atitinka oro, vandens ar žemės taršos prevencijos ir kontrolės tikslą: įgyvendinant priemonę nenumatoma kurti infrastruktūros, kuri turėtų įtakos reikšmingai oro, vandens ir dirvožemio taršai susidaryti: veiklos (p</w:t>
                </w:r>
                <w:r>
                  <w:rPr>
                    <w:rFonts w:eastAsia="Calibri"/>
                    <w:szCs w:val="24"/>
                  </w:rPr>
                  <w:t xml:space="preserve">agal savo pobūdį) neturi jokio tiesioginio ar netiesioginio neigiamo poveikio šiam aplinkos tikslui. </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szCs w:val="24"/>
                  </w:rPr>
                </w:pPr>
              </w:p>
            </w:tc>
          </w:tr>
          <w:tr w:rsidR="00BC34F5">
            <w:tc>
              <w:tcPr>
                <w:tcW w:w="3545" w:type="dxa"/>
              </w:tcPr>
              <w:p w:rsidR="00BC34F5" w:rsidRDefault="00D808B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8079" w:type="dxa"/>
              </w:tcPr>
              <w:p w:rsidR="00BC34F5" w:rsidRDefault="00D808B1">
                <w:pPr>
                  <w:jc w:val="both"/>
                  <w:rPr>
                    <w:color w:val="000000"/>
                    <w:shd w:val="clear" w:color="auto" w:fill="FFFFFF"/>
                  </w:rPr>
                </w:pPr>
                <w:r>
                  <w:rPr>
                    <w:rFonts w:eastAsia="Calibri"/>
                    <w:szCs w:val="24"/>
                  </w:rPr>
                  <w:t>Vertinama, kad planuojama įgyvendinti priemonė neturi jokio numatomo poveikio šiam aplinkos tikslui arba numatomas poveikis yra nereikšmingas, t. y. nedaro tiesioginio ir pirminio netiesioginio poveikio per visą gyvavimo ciklą, ir laikoma, kad ši priemonė</w:t>
                </w:r>
                <w:r>
                  <w:rPr>
                    <w:rFonts w:eastAsia="Calibri"/>
                    <w:szCs w:val="24"/>
                  </w:rPr>
                  <w:t xml:space="preserve"> atitinka biologinės įvairovės ir ekosistemų apsaugos ir atkūrimo tikslą: nenumatoma, kad priemonės veiklos turės neigiamą poveikį biologinei įvairovei ar ekosistemų apsaugai.   </w:t>
                </w:r>
              </w:p>
            </w:tc>
            <w:tc>
              <w:tcPr>
                <w:tcW w:w="3225" w:type="dxa"/>
              </w:tcPr>
              <w:p w:rsidR="00BC34F5" w:rsidRDefault="00D808B1">
                <w:pPr>
                  <w:jc w:val="both"/>
                </w:pPr>
                <w:r>
                  <w:t>Netaikoma. Numatomos veiklos neturi neigiamo poveikio, todėl papildomi dokume</w:t>
                </w:r>
                <w:r>
                  <w:t>ntai neteikiami.</w:t>
                </w:r>
              </w:p>
              <w:p w:rsidR="00BC34F5" w:rsidRDefault="00BC34F5">
                <w:pPr>
                  <w:jc w:val="both"/>
                  <w:rPr>
                    <w:rFonts w:eastAsia="Calibri"/>
                    <w:szCs w:val="24"/>
                  </w:rPr>
                </w:pPr>
              </w:p>
            </w:tc>
          </w:tr>
        </w:tbl>
        <w:p w:rsidR="00BC34F5" w:rsidRDefault="00BC34F5"/>
        <w:sdt>
          <w:sdtPr>
            <w:alias w:val="pabaiga"/>
            <w:tag w:val="part_9db2ed2bab774868b10faa000653b7f9"/>
            <w:id w:val="361253739"/>
            <w:lock w:val="sdtLocked"/>
          </w:sdtPr>
          <w:sdtEndPr/>
          <w:sdtContent>
            <w:p w:rsidR="00BC34F5" w:rsidRDefault="00D808B1">
              <w:pPr>
                <w:spacing w:line="276" w:lineRule="auto"/>
                <w:jc w:val="center"/>
                <w:rPr>
                  <w:sz w:val="22"/>
                  <w:szCs w:val="22"/>
                  <w:u w:val="single"/>
                </w:rPr>
              </w:pPr>
              <w:r>
                <w:rPr>
                  <w:rFonts w:ascii="Calibri" w:eastAsia="Calibri" w:hAnsi="Calibri"/>
                  <w:sz w:val="22"/>
                  <w:szCs w:val="22"/>
                  <w:u w:val="single"/>
                </w:rPr>
                <w:t>________________</w:t>
              </w:r>
            </w:p>
            <w:p w:rsidR="00BC34F5" w:rsidRDefault="00D808B1">
              <w:pPr>
                <w:spacing w:line="276" w:lineRule="auto"/>
                <w:jc w:val="center"/>
                <w:rPr>
                  <w:szCs w:val="24"/>
                </w:rPr>
              </w:pPr>
            </w:p>
          </w:sdtContent>
        </w:sdt>
      </w:sdtContent>
    </w:sdt>
    <w:sectPr w:rsidR="00BC34F5">
      <w:pgSz w:w="16838" w:h="11906" w:orient="landscape"/>
      <w:pgMar w:top="426"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8B1" w:rsidRDefault="00D808B1">
      <w:pPr>
        <w:rPr>
          <w:sz w:val="22"/>
          <w:szCs w:val="22"/>
        </w:rPr>
      </w:pPr>
      <w:r>
        <w:rPr>
          <w:sz w:val="22"/>
          <w:szCs w:val="22"/>
        </w:rPr>
        <w:separator/>
      </w:r>
    </w:p>
  </w:endnote>
  <w:endnote w:type="continuationSeparator" w:id="0">
    <w:p w:rsidR="00D808B1" w:rsidRDefault="00D808B1">
      <w:pPr>
        <w:rPr>
          <w:sz w:val="22"/>
          <w:szCs w:val="22"/>
        </w:rPr>
      </w:pPr>
      <w:r>
        <w:rPr>
          <w:sz w:val="22"/>
          <w:szCs w:val="22"/>
        </w:rPr>
        <w:continuationSeparator/>
      </w:r>
    </w:p>
  </w:endnote>
  <w:endnote w:type="continuationNotice" w:id="1">
    <w:p w:rsidR="00D808B1" w:rsidRDefault="00D808B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8B1" w:rsidRDefault="00D808B1">
      <w:pPr>
        <w:rPr>
          <w:sz w:val="22"/>
          <w:szCs w:val="22"/>
        </w:rPr>
      </w:pPr>
      <w:r>
        <w:rPr>
          <w:sz w:val="22"/>
          <w:szCs w:val="22"/>
        </w:rPr>
        <w:separator/>
      </w:r>
    </w:p>
  </w:footnote>
  <w:footnote w:type="continuationSeparator" w:id="0">
    <w:p w:rsidR="00D808B1" w:rsidRDefault="00D808B1">
      <w:pPr>
        <w:rPr>
          <w:sz w:val="22"/>
          <w:szCs w:val="22"/>
        </w:rPr>
      </w:pPr>
      <w:r>
        <w:rPr>
          <w:sz w:val="22"/>
          <w:szCs w:val="22"/>
        </w:rPr>
        <w:continuationSeparator/>
      </w:r>
    </w:p>
  </w:footnote>
  <w:footnote w:type="continuationNotice" w:id="1">
    <w:p w:rsidR="00D808B1" w:rsidRDefault="00D808B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D808B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25D20">
      <w:rPr>
        <w:noProof/>
        <w:szCs w:val="22"/>
      </w:rPr>
      <w:t>2</w:t>
    </w:r>
    <w:r>
      <w:rPr>
        <w:szCs w:val="22"/>
      </w:rPr>
      <w:fldChar w:fldCharType="end"/>
    </w:r>
  </w:p>
  <w:p w:rsidR="00BC34F5" w:rsidRDefault="00BC34F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25D20"/>
    <w:rsid w:val="00A361B0"/>
    <w:rsid w:val="00BC34F5"/>
    <w:rsid w:val="00D808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82213997">
      <w:bodyDiv w:val="1"/>
      <w:marLeft w:val="0"/>
      <w:marRight w:val="0"/>
      <w:marTop w:val="0"/>
      <w:marBottom w:val="0"/>
      <w:divBdr>
        <w:top w:val="none" w:sz="0" w:space="0" w:color="auto"/>
        <w:left w:val="none" w:sz="0" w:space="0" w:color="auto"/>
        <w:bottom w:val="none" w:sz="0" w:space="0" w:color="auto"/>
        <w:right w:val="none" w:sz="0" w:space="0" w:color="auto"/>
      </w:divBdr>
    </w:div>
    <w:div w:id="857961795">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1212214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80184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3" Abbr="3 pr." Title="2021–2030 M. PLĖTROS PROGRAMOS VALDYTOJOS LIETUVOS RESPUBLIKOS ŠVIETIMO, MOKSLO IR SPORTO MINISTERIJOS ŠVIETIMO PLĖTROS PROGRAMOS PAŽANGOS PRIEMONĖS NR. 12-003-03-01-04 „UŽTIKRINTI VISIEMS PRIEINAMĄ ANKSTYVĄJĮ UGDYMĄ“ PROJEKTŲ FINANSAVIMO SĄLYGŲ APRAŠAS NR. 3" DocPartId="f3474d55baa8417088c08fa90880df19" PartId="8e39cfd27586412f97df12ebdcfda72e">
    <Part Type="pabaiga" DocPartId="41da42a3966341239986ac63677889fa" PartId="b0d84713604c4e7fbd443ec172e3f58a"/>
  </Part>
  <Part Type="priedas" Abbr="pr." Title="PROJEKTO (ĮSKAITANT JUNGTINĮ PROJEKTĄ) ATITIKTIES REIKŠMINGOS ŽALOS NEDARYMO HORIZONTALIAJAM PRINCIPUI VERTINIMO REIKALAVIMŲ APRAŠAS" DocPartId="f83393f9912f46e79ba60c729b5a99dd" PartId="9897f011aa734e2b9644aa580c1088d1">
    <Part Type="pabaiga" DocPartId="4dc6d4a9ea1747c881d1360534d364e8" PartId="9db2ed2bab774868b10faa000653b7f9"/>
  </Part>
</Part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F654FD8-6FCB-4EF0-9F5A-6A264FE92AD1}">
  <ds:schemaRefs>
    <ds:schemaRef ds:uri="http://lrs.lt/TAIS/DocPart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3029B79E-B5C5-48DA-A587-F4D13967B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F31CF28-FA4D-4556-A8CF-441EF50824E8}">
  <ds:schemaRefs>
    <ds:schemaRef ds:uri="http://schemas.openxmlformats.org/officeDocument/2006/bibliography"/>
  </ds:schemaRefs>
</ds:datastoreItem>
</file>

<file path=customXml/itemProps6.xml><?xml version="1.0" encoding="utf-8"?>
<ds:datastoreItem xmlns:ds="http://schemas.openxmlformats.org/officeDocument/2006/customXml" ds:itemID="{EA893A62-E853-44FB-BA9B-B04BB0D31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16884</Words>
  <Characters>9625</Characters>
  <Application>Microsoft Office Word</Application>
  <DocSecurity>0</DocSecurity>
  <Lines>80</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Nr12-003-03-01-04 uztikrinti visiems</vt:lpstr>
      <vt:lpstr>PFSA Nr12-003-03-01-04 uztikrinti visiems</vt:lpstr>
    </vt:vector>
  </TitlesOfParts>
  <Company>HP Inc.</Company>
  <LinksUpToDate>false</LinksUpToDate>
  <CharactersWithSpaces>26457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Nr12-003-03-01-04 uztikrinti visiems</dc:title>
  <dc:creator>Virginija Levinskienė</dc:creator>
  <cp:lastModifiedBy>TAMALIŪNIENĖ Vilija</cp:lastModifiedBy>
  <cp:revision>2</cp:revision>
  <dcterms:created xsi:type="dcterms:W3CDTF">2023-09-07T12:35:00Z</dcterms:created>
  <dcterms:modified xsi:type="dcterms:W3CDTF">2023-09-07T12:35:00Z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
  </property>
  <property fmtid="{D5CDD505-2E9C-101B-9397-08002B2CF9AE}" pid="4" name="DmsPermissionsUsers">
    <vt:lpwstr>1325;#Nijolė Papievytė;#63;#Eglė Vizbarė;#1227;#Sonata Macijauskienė;#758;#Toma Šukienė;#166;#Margarita Kairienė;#1119;#Mantas Bernotas</vt:lpwstr>
  </property>
  <property fmtid="{D5CDD505-2E9C-101B-9397-08002B2CF9AE}" pid="5" name="ContentTypeId">
    <vt:lpwstr>0x010100D76F90AF19434866994CD715ED8FEE4200712820E1B0DE314FBCE77D75ADAD206D</vt:lpwstr>
  </property>
  <property fmtid="{D5CDD505-2E9C-101B-9397-08002B2CF9AE}" pid="6" name="TaxCatchAll">
    <vt:lpwstr/>
  </property>
</Properties>
</file>