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0 pr."/>
        <w:tag w:val="part_4154ddf74b2b4098adf7948c7ab170fb"/>
        <w:id w:val="495840484"/>
        <w:lock w:val="sdtLocked"/>
      </w:sdtPr>
      <w:sdtEndPr/>
      <w:sdtContent>
        <w:p w:rsidR="00E277C3" w:rsidRDefault="00E277C3">
          <w:pPr>
            <w:tabs>
              <w:tab w:val="center" w:pos="4819"/>
              <w:tab w:val="right" w:pos="9638"/>
            </w:tabs>
          </w:pPr>
        </w:p>
        <w:p w:rsidR="00E277C3" w:rsidRDefault="00DD7E53">
          <w:pPr>
            <w:ind w:left="9639"/>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 aprašo</w:t>
          </w:r>
        </w:p>
        <w:p w:rsidR="00E277C3" w:rsidRDefault="00DD7E53">
          <w:pPr>
            <w:ind w:left="9639"/>
            <w:rPr>
              <w:bCs/>
              <w:szCs w:val="24"/>
            </w:rPr>
          </w:pPr>
          <w:sdt>
            <w:sdtPr>
              <w:alias w:val="Numeris"/>
              <w:tag w:val="nr_4154ddf74b2b4098adf7948c7ab170fb"/>
              <w:id w:val="-1531177696"/>
              <w:lock w:val="sdtLocked"/>
            </w:sdtPr>
            <w:sdtEndPr/>
            <w:sdtContent>
              <w:r>
                <w:rPr>
                  <w:bCs/>
                  <w:szCs w:val="24"/>
                </w:rPr>
                <w:t>10</w:t>
              </w:r>
            </w:sdtContent>
          </w:sdt>
          <w:r>
            <w:rPr>
              <w:bCs/>
              <w:szCs w:val="24"/>
            </w:rPr>
            <w:t xml:space="preserve"> priedas</w:t>
          </w:r>
        </w:p>
        <w:p w:rsidR="00E277C3" w:rsidRDefault="00E277C3">
          <w:pPr>
            <w:jc w:val="center"/>
            <w:rPr>
              <w:iCs/>
              <w:szCs w:val="24"/>
            </w:rPr>
          </w:pPr>
        </w:p>
        <w:p w:rsidR="00E277C3" w:rsidRDefault="00E277C3">
          <w:pPr>
            <w:jc w:val="center"/>
            <w:rPr>
              <w:b/>
              <w:i/>
              <w:szCs w:val="24"/>
            </w:rPr>
          </w:pPr>
        </w:p>
        <w:p w:rsidR="00E277C3" w:rsidRDefault="00DD7E53">
          <w:pPr>
            <w:jc w:val="center"/>
            <w:rPr>
              <w:b/>
              <w:szCs w:val="24"/>
            </w:rPr>
          </w:pPr>
          <w:sdt>
            <w:sdtPr>
              <w:alias w:val="Pavadinimas"/>
              <w:tag w:val="title_4154ddf74b2b4098adf7948c7ab170fb"/>
              <w:id w:val="-946463318"/>
              <w:lock w:val="sdtLocked"/>
            </w:sdtPr>
            <w:sdtEndPr/>
            <w:sdtContent>
              <w:r>
                <w:rPr>
                  <w:b/>
                  <w:bCs/>
                  <w:szCs w:val="24"/>
                </w:rPr>
                <w:t>2022–2030 M. PLĖTROS PROGRAMOS VALDYTOJOS LIETUVOS RESPUBLIKOS ŠVIETIMO, MOKSLO IR SPORTO MINISTERIJOS MOKSLO PLĖTROS PROGRAMOS PAŽANGOS PRIEMONĖS NR. 12-001-01-02-01 „STIPRINTI INOVACIJŲ EKOSIS</w:t>
              </w:r>
              <w:r>
                <w:rPr>
                  <w:b/>
                  <w:bCs/>
                  <w:szCs w:val="24"/>
                </w:rPr>
                <w:t>TEMAS MOKSLO CENTRUOSE“ PROJEKTŲ FINANSAVIMO SĄLYGŲ APRAŠAS NR. 10</w:t>
              </w:r>
            </w:sdtContent>
          </w:sdt>
        </w:p>
        <w:p w:rsidR="00E277C3" w:rsidRDefault="00E277C3">
          <w:pPr>
            <w:rPr>
              <w:bCs/>
              <w:i/>
              <w:szCs w:val="24"/>
            </w:rPr>
          </w:pPr>
        </w:p>
        <w:sdt>
          <w:sdtPr>
            <w:alias w:val="skyrius"/>
            <w:tag w:val="part_b410e45bc6bd4d508ae7abf1b88479ae"/>
            <w:id w:val="1259418337"/>
            <w:lock w:val="sdtLocked"/>
          </w:sdtPr>
          <w:sdtEndPr/>
          <w:sdtContent>
            <w:p w:rsidR="00E277C3" w:rsidRDefault="00DD7E53">
              <w:pPr>
                <w:spacing w:line="259" w:lineRule="auto"/>
                <w:jc w:val="center"/>
                <w:rPr>
                  <w:b/>
                  <w:bCs/>
                </w:rPr>
              </w:pPr>
              <w:sdt>
                <w:sdtPr>
                  <w:alias w:val="Numeris"/>
                  <w:tag w:val="nr_b410e45bc6bd4d508ae7abf1b88479ae"/>
                  <w:id w:val="1244224589"/>
                  <w:lock w:val="sdtLocked"/>
                </w:sdtPr>
                <w:sdtEndPr/>
                <w:sdtContent>
                  <w:r>
                    <w:rPr>
                      <w:b/>
                      <w:bCs/>
                    </w:rPr>
                    <w:t>I</w:t>
                  </w:r>
                </w:sdtContent>
              </w:sdt>
              <w:r>
                <w:rPr>
                  <w:b/>
                  <w:bCs/>
                </w:rPr>
                <w:t xml:space="preserve"> SKYRIUS</w:t>
              </w:r>
            </w:p>
            <w:p w:rsidR="00E277C3" w:rsidRDefault="00DD7E53">
              <w:pPr>
                <w:spacing w:line="259" w:lineRule="auto"/>
                <w:jc w:val="center"/>
                <w:rPr>
                  <w:b/>
                  <w:bCs/>
                </w:rPr>
              </w:pPr>
              <w:sdt>
                <w:sdtPr>
                  <w:alias w:val="Pavadinimas"/>
                  <w:tag w:val="title_b410e45bc6bd4d508ae7abf1b88479ae"/>
                  <w:id w:val="1469242868"/>
                  <w:lock w:val="sdtLocked"/>
                </w:sdtPr>
                <w:sdtEndPr/>
                <w:sdtContent>
                  <w:r>
                    <w:rPr>
                      <w:b/>
                      <w:bCs/>
                    </w:rPr>
                    <w:t xml:space="preserve">VEIKLOS AR POVEIKLĖS, KURIOMS NUSTATOMOS PROJEKTŲ FINANSAVIMO SĄLYGOS </w:t>
                  </w:r>
                </w:sdtContent>
              </w:sdt>
            </w:p>
            <w:p w:rsidR="00E277C3" w:rsidRDefault="00E277C3">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E277C3">
                <w:tc>
                  <w:tcPr>
                    <w:tcW w:w="15155" w:type="dxa"/>
                    <w:gridSpan w:val="13"/>
                    <w:vAlign w:val="center"/>
                  </w:tcPr>
                  <w:p w:rsidR="00E277C3" w:rsidRDefault="00DD7E53">
                    <w:pPr>
                      <w:ind w:left="1080" w:hanging="360"/>
                      <w:rPr>
                        <w:b/>
                        <w:sz w:val="22"/>
                        <w:szCs w:val="22"/>
                      </w:rPr>
                    </w:pPr>
                    <w:r>
                      <w:rPr>
                        <w:b/>
                        <w:sz w:val="22"/>
                        <w:szCs w:val="22"/>
                      </w:rPr>
                      <w:t>1.</w:t>
                    </w:r>
                    <w:r>
                      <w:rPr>
                        <w:b/>
                        <w:sz w:val="22"/>
                        <w:szCs w:val="22"/>
                      </w:rPr>
                      <w:tab/>
                      <w:t>Veiklos ar poveiklės, kurioms nustatomos projektų finansavimo sąlygos</w:t>
                    </w:r>
                  </w:p>
                </w:tc>
              </w:tr>
              <w:tr w:rsidR="00E277C3">
                <w:tc>
                  <w:tcPr>
                    <w:tcW w:w="1110" w:type="dxa"/>
                    <w:vAlign w:val="center"/>
                  </w:tcPr>
                  <w:p w:rsidR="00E277C3" w:rsidRDefault="00DD7E53">
                    <w:pPr>
                      <w:jc w:val="center"/>
                      <w:rPr>
                        <w:b/>
                        <w:sz w:val="20"/>
                      </w:rPr>
                    </w:pPr>
                    <w:r>
                      <w:rPr>
                        <w:b/>
                        <w:sz w:val="20"/>
                      </w:rPr>
                      <w:t xml:space="preserve">Veiklos ar poveiklės </w:t>
                    </w:r>
                    <w:r>
                      <w:rPr>
                        <w:b/>
                        <w:color w:val="000000"/>
                        <w:sz w:val="20"/>
                      </w:rPr>
                      <w:t xml:space="preserve">numeris ir </w:t>
                    </w:r>
                    <w:r>
                      <w:rPr>
                        <w:b/>
                        <w:sz w:val="20"/>
                      </w:rPr>
                      <w:t>pavadini-mas</w:t>
                    </w:r>
                  </w:p>
                </w:tc>
                <w:tc>
                  <w:tcPr>
                    <w:tcW w:w="1125" w:type="dxa"/>
                    <w:vAlign w:val="center"/>
                  </w:tcPr>
                  <w:p w:rsidR="00E277C3" w:rsidRDefault="00DD7E53">
                    <w:pPr>
                      <w:jc w:val="center"/>
                      <w:rPr>
                        <w:b/>
                        <w:sz w:val="20"/>
                      </w:rPr>
                    </w:pPr>
                    <w:r>
                      <w:rPr>
                        <w:b/>
                        <w:sz w:val="20"/>
                      </w:rPr>
                      <w:t>Finansa-vimo šaltinis</w:t>
                    </w:r>
                  </w:p>
                </w:tc>
                <w:tc>
                  <w:tcPr>
                    <w:tcW w:w="1236" w:type="dxa"/>
                    <w:vAlign w:val="center"/>
                  </w:tcPr>
                  <w:p w:rsidR="00E277C3" w:rsidRDefault="00DD7E53">
                    <w:pPr>
                      <w:jc w:val="center"/>
                      <w:rPr>
                        <w:b/>
                        <w:sz w:val="20"/>
                      </w:rPr>
                    </w:pPr>
                    <w:r>
                      <w:rPr>
                        <w:b/>
                        <w:sz w:val="20"/>
                      </w:rPr>
                      <w:t>Prioritetas ar komponen-tas</w:t>
                    </w:r>
                  </w:p>
                </w:tc>
                <w:tc>
                  <w:tcPr>
                    <w:tcW w:w="1134" w:type="dxa"/>
                    <w:vAlign w:val="center"/>
                  </w:tcPr>
                  <w:p w:rsidR="00E277C3" w:rsidRDefault="00DD7E53">
                    <w:pPr>
                      <w:jc w:val="center"/>
                      <w:rPr>
                        <w:b/>
                        <w:sz w:val="20"/>
                      </w:rPr>
                    </w:pPr>
                    <w:r>
                      <w:rPr>
                        <w:b/>
                        <w:sz w:val="20"/>
                      </w:rPr>
                      <w:t>Uždavi-nys ar priemonė</w:t>
                    </w:r>
                  </w:p>
                </w:tc>
                <w:tc>
                  <w:tcPr>
                    <w:tcW w:w="1134" w:type="dxa"/>
                    <w:vAlign w:val="center"/>
                  </w:tcPr>
                  <w:p w:rsidR="00E277C3" w:rsidRDefault="00DD7E53">
                    <w:pPr>
                      <w:jc w:val="center"/>
                      <w:rPr>
                        <w:b/>
                        <w:sz w:val="20"/>
                      </w:rPr>
                    </w:pPr>
                    <w:r>
                      <w:rPr>
                        <w:b/>
                        <w:sz w:val="20"/>
                      </w:rPr>
                      <w:t>Veikla ar paprie-monė</w:t>
                    </w:r>
                  </w:p>
                </w:tc>
                <w:tc>
                  <w:tcPr>
                    <w:tcW w:w="1457" w:type="dxa"/>
                    <w:vAlign w:val="center"/>
                  </w:tcPr>
                  <w:p w:rsidR="00E277C3" w:rsidRDefault="00DD7E53">
                    <w:pPr>
                      <w:jc w:val="center"/>
                      <w:rPr>
                        <w:b/>
                        <w:sz w:val="20"/>
                      </w:rPr>
                    </w:pPr>
                    <w:r>
                      <w:rPr>
                        <w:b/>
                        <w:sz w:val="20"/>
                      </w:rPr>
                      <w:t>Intervencinės priemonės kodas</w:t>
                    </w:r>
                  </w:p>
                </w:tc>
                <w:tc>
                  <w:tcPr>
                    <w:tcW w:w="1344" w:type="dxa"/>
                    <w:vAlign w:val="center"/>
                  </w:tcPr>
                  <w:p w:rsidR="00E277C3" w:rsidRDefault="00DD7E53">
                    <w:pPr>
                      <w:jc w:val="center"/>
                      <w:rPr>
                        <w:b/>
                        <w:sz w:val="20"/>
                      </w:rPr>
                    </w:pPr>
                    <w:r>
                      <w:rPr>
                        <w:b/>
                        <w:sz w:val="20"/>
                      </w:rPr>
                      <w:t>Regionas, kuriam priskiriama veikla ar poveiklė</w:t>
                    </w:r>
                  </w:p>
                </w:tc>
                <w:tc>
                  <w:tcPr>
                    <w:tcW w:w="1080" w:type="dxa"/>
                    <w:vAlign w:val="center"/>
                  </w:tcPr>
                  <w:p w:rsidR="00E277C3" w:rsidRDefault="00DD7E53">
                    <w:pPr>
                      <w:jc w:val="center"/>
                      <w:rPr>
                        <w:b/>
                        <w:sz w:val="20"/>
                      </w:rPr>
                    </w:pPr>
                    <w:r>
                      <w:rPr>
                        <w:b/>
                        <w:sz w:val="20"/>
                      </w:rPr>
                      <w:t>Paramos formos kodas</w:t>
                    </w:r>
                  </w:p>
                </w:tc>
                <w:tc>
                  <w:tcPr>
                    <w:tcW w:w="1344" w:type="dxa"/>
                    <w:vAlign w:val="center"/>
                  </w:tcPr>
                  <w:p w:rsidR="00E277C3" w:rsidRDefault="00DD7E53">
                    <w:pPr>
                      <w:jc w:val="center"/>
                      <w:rPr>
                        <w:b/>
                        <w:sz w:val="20"/>
                      </w:rPr>
                    </w:pPr>
                    <w:r>
                      <w:rPr>
                        <w:b/>
                        <w:sz w:val="20"/>
                      </w:rPr>
                      <w:t xml:space="preserve">Pagrindinės teritorinės srities kodas </w:t>
                    </w:r>
                    <w:r>
                      <w:rPr>
                        <w:b/>
                        <w:sz w:val="20"/>
                      </w:rPr>
                      <w:t>(-ai)</w:t>
                    </w:r>
                  </w:p>
                </w:tc>
                <w:tc>
                  <w:tcPr>
                    <w:tcW w:w="1051" w:type="dxa"/>
                    <w:vAlign w:val="center"/>
                  </w:tcPr>
                  <w:p w:rsidR="00E277C3" w:rsidRDefault="00DD7E53">
                    <w:pPr>
                      <w:jc w:val="center"/>
                      <w:rPr>
                        <w:b/>
                        <w:sz w:val="20"/>
                      </w:rPr>
                    </w:pPr>
                    <w:r>
                      <w:rPr>
                        <w:b/>
                        <w:sz w:val="20"/>
                      </w:rPr>
                      <w:t xml:space="preserve">Ekono-minės veiklos kodas </w:t>
                    </w:r>
                  </w:p>
                  <w:p w:rsidR="00E277C3" w:rsidRDefault="00DD7E53">
                    <w:pPr>
                      <w:jc w:val="center"/>
                      <w:rPr>
                        <w:b/>
                        <w:sz w:val="20"/>
                      </w:rPr>
                    </w:pPr>
                    <w:r>
                      <w:rPr>
                        <w:b/>
                        <w:sz w:val="20"/>
                      </w:rPr>
                      <w:t>(-ai)</w:t>
                    </w:r>
                  </w:p>
                </w:tc>
                <w:tc>
                  <w:tcPr>
                    <w:tcW w:w="1132" w:type="dxa"/>
                    <w:vAlign w:val="center"/>
                  </w:tcPr>
                  <w:p w:rsidR="00E277C3" w:rsidRDefault="00DD7E53">
                    <w:pPr>
                      <w:jc w:val="center"/>
                      <w:rPr>
                        <w:b/>
                        <w:sz w:val="20"/>
                      </w:rPr>
                    </w:pPr>
                    <w:r>
                      <w:rPr>
                        <w:b/>
                        <w:sz w:val="20"/>
                      </w:rPr>
                      <w:t>„Europos socialinio fondo +“ (toliau – ESF+) antrinių temų kodai</w:t>
                    </w:r>
                  </w:p>
                </w:tc>
                <w:tc>
                  <w:tcPr>
                    <w:tcW w:w="859" w:type="dxa"/>
                    <w:vAlign w:val="center"/>
                  </w:tcPr>
                  <w:p w:rsidR="00E277C3" w:rsidRDefault="00DD7E53">
                    <w:pPr>
                      <w:jc w:val="center"/>
                      <w:rPr>
                        <w:b/>
                        <w:sz w:val="20"/>
                      </w:rPr>
                    </w:pPr>
                    <w:r>
                      <w:rPr>
                        <w:b/>
                        <w:sz w:val="20"/>
                      </w:rPr>
                      <w:t>Lyčių lygybės mat-mens kodas</w:t>
                    </w:r>
                  </w:p>
                </w:tc>
                <w:tc>
                  <w:tcPr>
                    <w:tcW w:w="1149" w:type="dxa"/>
                    <w:vAlign w:val="center"/>
                  </w:tcPr>
                  <w:p w:rsidR="00E277C3" w:rsidRDefault="00DD7E53">
                    <w:pPr>
                      <w:jc w:val="center"/>
                      <w:rPr>
                        <w:b/>
                        <w:sz w:val="20"/>
                      </w:rPr>
                    </w:pPr>
                    <w:r>
                      <w:rPr>
                        <w:b/>
                        <w:sz w:val="20"/>
                      </w:rPr>
                      <w:t>Nepanau-dotos Ekonomi-kos gaivinimo ir atsparumo didinimo priemonės lėšos</w:t>
                    </w:r>
                  </w:p>
                  <w:p w:rsidR="00E277C3" w:rsidRDefault="00DD7E53">
                    <w:pPr>
                      <w:jc w:val="center"/>
                      <w:rPr>
                        <w:b/>
                        <w:sz w:val="20"/>
                      </w:rPr>
                    </w:pPr>
                    <w:r>
                      <w:rPr>
                        <w:b/>
                        <w:sz w:val="20"/>
                      </w:rPr>
                      <w:t>(Taip / Ne)</w:t>
                    </w:r>
                  </w:p>
                </w:tc>
              </w:tr>
              <w:tr w:rsidR="00E277C3">
                <w:trPr>
                  <w:trHeight w:val="278"/>
                </w:trPr>
                <w:tc>
                  <w:tcPr>
                    <w:tcW w:w="1110" w:type="dxa"/>
                    <w:tcMar>
                      <w:left w:w="28" w:type="dxa"/>
                      <w:right w:w="28" w:type="dxa"/>
                    </w:tcMar>
                  </w:tcPr>
                  <w:p w:rsidR="00E277C3" w:rsidRDefault="00DD7E53">
                    <w:pPr>
                      <w:ind w:firstLine="48"/>
                      <w:jc w:val="center"/>
                      <w:rPr>
                        <w:iCs/>
                        <w:sz w:val="18"/>
                        <w:szCs w:val="18"/>
                      </w:rPr>
                    </w:pPr>
                    <w:r>
                      <w:rPr>
                        <w:color w:val="000000"/>
                        <w:sz w:val="22"/>
                        <w:szCs w:val="22"/>
                      </w:rPr>
                      <w:t xml:space="preserve">2.2. </w:t>
                    </w:r>
                    <w:r>
                      <w:rPr>
                        <w:sz w:val="22"/>
                        <w:szCs w:val="22"/>
                      </w:rPr>
                      <w:t xml:space="preserve">Didinti mokslo tarptautiš-kumo </w:t>
                    </w:r>
                    <w:r>
                      <w:rPr>
                        <w:sz w:val="22"/>
                        <w:szCs w:val="22"/>
                      </w:rPr>
                      <w:t>lygį (Sostinė)</w:t>
                    </w:r>
                  </w:p>
                </w:tc>
                <w:tc>
                  <w:tcPr>
                    <w:tcW w:w="1125" w:type="dxa"/>
                    <w:tcMar>
                      <w:left w:w="28" w:type="dxa"/>
                      <w:right w:w="28" w:type="dxa"/>
                    </w:tcMar>
                  </w:tcPr>
                  <w:p w:rsidR="00E277C3" w:rsidRDefault="00DD7E53">
                    <w:pPr>
                      <w:jc w:val="center"/>
                      <w:rPr>
                        <w:iCs/>
                        <w:sz w:val="22"/>
                        <w:szCs w:val="22"/>
                      </w:rPr>
                    </w:pPr>
                    <w:r>
                      <w:rPr>
                        <w:iCs/>
                        <w:sz w:val="22"/>
                        <w:szCs w:val="22"/>
                      </w:rPr>
                      <w:t xml:space="preserve">Europos Sąjungos (toliau – ES) fondų ir bendrojo </w:t>
                    </w:r>
                    <w:r>
                      <w:rPr>
                        <w:iCs/>
                        <w:sz w:val="22"/>
                        <w:szCs w:val="22"/>
                      </w:rPr>
                      <w:lastRenderedPageBreak/>
                      <w:t>finansa-vimo lėšos;</w:t>
                    </w:r>
                  </w:p>
                  <w:p w:rsidR="00E277C3" w:rsidRDefault="00DD7E53">
                    <w:pPr>
                      <w:jc w:val="center"/>
                      <w:rPr>
                        <w:bCs/>
                        <w:iCs/>
                        <w:sz w:val="18"/>
                        <w:szCs w:val="18"/>
                      </w:rPr>
                    </w:pPr>
                    <w:r>
                      <w:rPr>
                        <w:sz w:val="22"/>
                        <w:szCs w:val="22"/>
                      </w:rPr>
                      <w:t>valstybės biudžeto lėšos, skirtos ES fondų lėšomis netinka-mam finansuoti pridėtinės vertės mokesčiui apmokėti</w:t>
                    </w:r>
                  </w:p>
                </w:tc>
                <w:tc>
                  <w:tcPr>
                    <w:tcW w:w="1236" w:type="dxa"/>
                    <w:tcMar>
                      <w:left w:w="28" w:type="dxa"/>
                      <w:right w:w="28" w:type="dxa"/>
                    </w:tcMar>
                  </w:tcPr>
                  <w:p w:rsidR="00E277C3" w:rsidRDefault="00DD7E53">
                    <w:pPr>
                      <w:jc w:val="center"/>
                      <w:rPr>
                        <w:iCs/>
                        <w:sz w:val="22"/>
                        <w:szCs w:val="22"/>
                      </w:rPr>
                    </w:pPr>
                    <w:r>
                      <w:rPr>
                        <w:iCs/>
                        <w:sz w:val="22"/>
                        <w:szCs w:val="22"/>
                      </w:rPr>
                      <w:lastRenderedPageBreak/>
                      <w:t>1</w:t>
                    </w:r>
                  </w:p>
                </w:tc>
                <w:tc>
                  <w:tcPr>
                    <w:tcW w:w="1134" w:type="dxa"/>
                    <w:tcMar>
                      <w:left w:w="28" w:type="dxa"/>
                      <w:right w:w="28" w:type="dxa"/>
                    </w:tcMar>
                  </w:tcPr>
                  <w:p w:rsidR="00E277C3" w:rsidRDefault="00DD7E53">
                    <w:pPr>
                      <w:jc w:val="center"/>
                      <w:rPr>
                        <w:sz w:val="22"/>
                        <w:szCs w:val="22"/>
                      </w:rPr>
                    </w:pPr>
                    <w:r>
                      <w:rPr>
                        <w:sz w:val="22"/>
                        <w:szCs w:val="22"/>
                      </w:rPr>
                      <w:t>1.1</w:t>
                    </w:r>
                  </w:p>
                </w:tc>
                <w:tc>
                  <w:tcPr>
                    <w:tcW w:w="1134" w:type="dxa"/>
                    <w:tcMar>
                      <w:left w:w="28" w:type="dxa"/>
                      <w:right w:w="28" w:type="dxa"/>
                    </w:tcMar>
                  </w:tcPr>
                  <w:p w:rsidR="00E277C3" w:rsidRDefault="00DD7E53">
                    <w:pPr>
                      <w:jc w:val="center"/>
                      <w:rPr>
                        <w:i/>
                        <w:sz w:val="22"/>
                        <w:szCs w:val="22"/>
                      </w:rPr>
                    </w:pPr>
                    <w:r>
                      <w:rPr>
                        <w:sz w:val="22"/>
                        <w:szCs w:val="22"/>
                      </w:rPr>
                      <w:t>Lietuvos mokslo ir inovacijų ryšių ir kompeten-cijos bi</w:t>
                    </w:r>
                    <w:r>
                      <w:rPr>
                        <w:sz w:val="22"/>
                        <w:szCs w:val="22"/>
                      </w:rPr>
                      <w:t xml:space="preserve">uro </w:t>
                    </w:r>
                    <w:r>
                      <w:rPr>
                        <w:sz w:val="22"/>
                        <w:szCs w:val="22"/>
                      </w:rPr>
                      <w:lastRenderedPageBreak/>
                      <w:t>Briuselyje (toliau – LINO) veiklos stiprinimas</w:t>
                    </w:r>
                  </w:p>
                </w:tc>
                <w:tc>
                  <w:tcPr>
                    <w:tcW w:w="1457" w:type="dxa"/>
                    <w:tcMar>
                      <w:left w:w="28" w:type="dxa"/>
                      <w:right w:w="28" w:type="dxa"/>
                    </w:tcMar>
                  </w:tcPr>
                  <w:p w:rsidR="00E277C3" w:rsidRDefault="00DD7E53">
                    <w:pPr>
                      <w:jc w:val="center"/>
                      <w:rPr>
                        <w:iCs/>
                        <w:sz w:val="22"/>
                        <w:szCs w:val="22"/>
                      </w:rPr>
                    </w:pPr>
                    <w:r>
                      <w:rPr>
                        <w:iCs/>
                        <w:sz w:val="22"/>
                        <w:szCs w:val="22"/>
                      </w:rPr>
                      <w:lastRenderedPageBreak/>
                      <w:t>012</w:t>
                    </w:r>
                  </w:p>
                </w:tc>
                <w:tc>
                  <w:tcPr>
                    <w:tcW w:w="1344" w:type="dxa"/>
                    <w:tcMar>
                      <w:left w:w="28" w:type="dxa"/>
                      <w:right w:w="28" w:type="dxa"/>
                    </w:tcMar>
                  </w:tcPr>
                  <w:p w:rsidR="00E277C3" w:rsidRDefault="00DD7E53">
                    <w:pPr>
                      <w:jc w:val="center"/>
                      <w:rPr>
                        <w:iCs/>
                        <w:sz w:val="22"/>
                        <w:szCs w:val="22"/>
                      </w:rPr>
                    </w:pPr>
                    <w:r>
                      <w:rPr>
                        <w:iCs/>
                        <w:sz w:val="22"/>
                        <w:szCs w:val="22"/>
                      </w:rPr>
                      <w:t>Sostinės regionas</w:t>
                    </w:r>
                  </w:p>
                </w:tc>
                <w:tc>
                  <w:tcPr>
                    <w:tcW w:w="1080" w:type="dxa"/>
                    <w:tcMar>
                      <w:left w:w="28" w:type="dxa"/>
                      <w:right w:w="28" w:type="dxa"/>
                    </w:tcMar>
                  </w:tcPr>
                  <w:p w:rsidR="00E277C3" w:rsidRDefault="00DD7E53">
                    <w:pPr>
                      <w:jc w:val="center"/>
                      <w:rPr>
                        <w:iCs/>
                        <w:sz w:val="22"/>
                        <w:szCs w:val="22"/>
                      </w:rPr>
                    </w:pPr>
                    <w:r>
                      <w:rPr>
                        <w:sz w:val="22"/>
                        <w:szCs w:val="22"/>
                      </w:rPr>
                      <w:t>01 – Dotacija</w:t>
                    </w:r>
                  </w:p>
                </w:tc>
                <w:tc>
                  <w:tcPr>
                    <w:tcW w:w="1344" w:type="dxa"/>
                    <w:tcMar>
                      <w:left w:w="28" w:type="dxa"/>
                      <w:right w:w="28" w:type="dxa"/>
                    </w:tcMar>
                  </w:tcPr>
                  <w:p w:rsidR="00E277C3" w:rsidRDefault="00DD7E53">
                    <w:pPr>
                      <w:jc w:val="center"/>
                      <w:rPr>
                        <w:iCs/>
                        <w:sz w:val="22"/>
                        <w:szCs w:val="22"/>
                      </w:rPr>
                    </w:pPr>
                    <w:r>
                      <w:rPr>
                        <w:iCs/>
                        <w:sz w:val="22"/>
                        <w:szCs w:val="22"/>
                      </w:rPr>
                      <w:t>33 – nesiorien-tuojant į teritorinį principą</w:t>
                    </w:r>
                  </w:p>
                </w:tc>
                <w:tc>
                  <w:tcPr>
                    <w:tcW w:w="1051" w:type="dxa"/>
                    <w:tcMar>
                      <w:left w:w="28" w:type="dxa"/>
                      <w:right w:w="28" w:type="dxa"/>
                    </w:tcMar>
                  </w:tcPr>
                  <w:p w:rsidR="00E277C3" w:rsidRDefault="00DD7E53">
                    <w:pPr>
                      <w:jc w:val="center"/>
                      <w:rPr>
                        <w:iCs/>
                        <w:sz w:val="22"/>
                        <w:szCs w:val="22"/>
                      </w:rPr>
                    </w:pPr>
                    <w:r>
                      <w:rPr>
                        <w:iCs/>
                        <w:sz w:val="22"/>
                        <w:szCs w:val="22"/>
                      </w:rPr>
                      <w:t xml:space="preserve">26 – </w:t>
                    </w:r>
                  </w:p>
                  <w:p w:rsidR="00E277C3" w:rsidRDefault="00DD7E53">
                    <w:pPr>
                      <w:jc w:val="center"/>
                      <w:rPr>
                        <w:iCs/>
                        <w:sz w:val="22"/>
                        <w:szCs w:val="22"/>
                      </w:rPr>
                    </w:pPr>
                    <w:r>
                      <w:rPr>
                        <w:iCs/>
                        <w:sz w:val="22"/>
                        <w:szCs w:val="22"/>
                      </w:rPr>
                      <w:t>kitos nenuro-dytos paslaugos</w:t>
                    </w:r>
                  </w:p>
                </w:tc>
                <w:tc>
                  <w:tcPr>
                    <w:tcW w:w="1132" w:type="dxa"/>
                    <w:tcMar>
                      <w:left w:w="28" w:type="dxa"/>
                      <w:right w:w="28" w:type="dxa"/>
                    </w:tcMar>
                  </w:tcPr>
                  <w:p w:rsidR="00E277C3" w:rsidRDefault="00DD7E53">
                    <w:pPr>
                      <w:jc w:val="center"/>
                      <w:rPr>
                        <w:iCs/>
                        <w:sz w:val="22"/>
                        <w:szCs w:val="22"/>
                      </w:rPr>
                    </w:pPr>
                    <w:r>
                      <w:rPr>
                        <w:iCs/>
                        <w:sz w:val="22"/>
                        <w:szCs w:val="22"/>
                      </w:rPr>
                      <w:t>09</w:t>
                    </w:r>
                  </w:p>
                </w:tc>
                <w:tc>
                  <w:tcPr>
                    <w:tcW w:w="859" w:type="dxa"/>
                    <w:tcMar>
                      <w:left w:w="28" w:type="dxa"/>
                      <w:right w:w="28" w:type="dxa"/>
                    </w:tcMar>
                  </w:tcPr>
                  <w:p w:rsidR="00E277C3" w:rsidRDefault="00DD7E53">
                    <w:pPr>
                      <w:jc w:val="center"/>
                      <w:rPr>
                        <w:iCs/>
                        <w:sz w:val="22"/>
                        <w:szCs w:val="22"/>
                      </w:rPr>
                    </w:pPr>
                    <w:r>
                      <w:rPr>
                        <w:iCs/>
                        <w:sz w:val="22"/>
                        <w:szCs w:val="22"/>
                      </w:rPr>
                      <w:t>03 – neutralu-mas lyties požiūriu</w:t>
                    </w:r>
                  </w:p>
                </w:tc>
                <w:tc>
                  <w:tcPr>
                    <w:tcW w:w="1149" w:type="dxa"/>
                  </w:tcPr>
                  <w:p w:rsidR="00E277C3" w:rsidRDefault="00DD7E53">
                    <w:pPr>
                      <w:jc w:val="center"/>
                      <w:rPr>
                        <w:iCs/>
                        <w:sz w:val="22"/>
                        <w:szCs w:val="22"/>
                      </w:rPr>
                    </w:pPr>
                    <w:r>
                      <w:rPr>
                        <w:iCs/>
                        <w:sz w:val="22"/>
                        <w:szCs w:val="22"/>
                      </w:rPr>
                      <w:t>Ne</w:t>
                    </w:r>
                  </w:p>
                </w:tc>
              </w:tr>
            </w:tbl>
            <w:p w:rsidR="00E277C3" w:rsidRDefault="00E277C3">
              <w:pPr>
                <w:ind w:firstLine="567"/>
                <w:jc w:val="both"/>
                <w:rPr>
                  <w:b/>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E277C3">
                <w:trPr>
                  <w:trHeight w:val="405"/>
                </w:trPr>
                <w:tc>
                  <w:tcPr>
                    <w:tcW w:w="14752" w:type="dxa"/>
                    <w:gridSpan w:val="4"/>
                    <w:vAlign w:val="center"/>
                  </w:tcPr>
                  <w:p w:rsidR="00E277C3" w:rsidRDefault="00DD7E53">
                    <w:pPr>
                      <w:rPr>
                        <w:b/>
                        <w:sz w:val="22"/>
                        <w:szCs w:val="22"/>
                      </w:rPr>
                    </w:pPr>
                    <w:r>
                      <w:rPr>
                        <w:b/>
                        <w:sz w:val="22"/>
                        <w:szCs w:val="22"/>
                      </w:rPr>
                      <w:t>2. Veiklos ar poveiklės rodikliai</w:t>
                    </w:r>
                  </w:p>
                </w:tc>
              </w:tr>
              <w:tr w:rsidR="00E277C3">
                <w:trPr>
                  <w:trHeight w:val="405"/>
                </w:trPr>
                <w:tc>
                  <w:tcPr>
                    <w:tcW w:w="14752" w:type="dxa"/>
                    <w:gridSpan w:val="4"/>
                    <w:vAlign w:val="center"/>
                  </w:tcPr>
                  <w:p w:rsidR="00E277C3" w:rsidRDefault="00DD7E53">
                    <w:pPr>
                      <w:rPr>
                        <w:bCs/>
                        <w:sz w:val="22"/>
                        <w:szCs w:val="22"/>
                      </w:rPr>
                    </w:pPr>
                    <w:r>
                      <w:rPr>
                        <w:bCs/>
                        <w:sz w:val="22"/>
                        <w:szCs w:val="22"/>
                      </w:rPr>
                      <w:t>2.1. Didinti</w:t>
                    </w:r>
                    <w:r>
                      <w:rPr>
                        <w:bCs/>
                        <w:sz w:val="22"/>
                        <w:szCs w:val="22"/>
                      </w:rPr>
                      <w:t xml:space="preserve"> mokslo tarptautiškumo lygį (Sostinė)</w:t>
                    </w:r>
                  </w:p>
                </w:tc>
              </w:tr>
              <w:tr w:rsidR="00E277C3">
                <w:trPr>
                  <w:trHeight w:val="405"/>
                </w:trPr>
                <w:tc>
                  <w:tcPr>
                    <w:tcW w:w="3688" w:type="dxa"/>
                    <w:vAlign w:val="center"/>
                  </w:tcPr>
                  <w:p w:rsidR="00E277C3" w:rsidRDefault="00DD7E53">
                    <w:pPr>
                      <w:jc w:val="center"/>
                      <w:rPr>
                        <w:sz w:val="18"/>
                        <w:szCs w:val="18"/>
                      </w:rPr>
                    </w:pPr>
                    <w:r>
                      <w:rPr>
                        <w:sz w:val="22"/>
                        <w:szCs w:val="22"/>
                      </w:rPr>
                      <w:t>Rodiklio pavadinimas</w:t>
                    </w:r>
                  </w:p>
                </w:tc>
                <w:tc>
                  <w:tcPr>
                    <w:tcW w:w="3688" w:type="dxa"/>
                    <w:vAlign w:val="center"/>
                  </w:tcPr>
                  <w:p w:rsidR="00E277C3" w:rsidRDefault="00DD7E53">
                    <w:pPr>
                      <w:jc w:val="center"/>
                      <w:rPr>
                        <w:sz w:val="18"/>
                        <w:szCs w:val="18"/>
                      </w:rPr>
                    </w:pPr>
                    <w:r>
                      <w:rPr>
                        <w:sz w:val="22"/>
                        <w:szCs w:val="22"/>
                      </w:rPr>
                      <w:t>Rodiklio kodas</w:t>
                    </w:r>
                  </w:p>
                </w:tc>
                <w:tc>
                  <w:tcPr>
                    <w:tcW w:w="3688" w:type="dxa"/>
                    <w:vAlign w:val="center"/>
                  </w:tcPr>
                  <w:p w:rsidR="00E277C3" w:rsidRDefault="00DD7E53">
                    <w:pPr>
                      <w:jc w:val="center"/>
                      <w:rPr>
                        <w:sz w:val="18"/>
                        <w:szCs w:val="18"/>
                      </w:rPr>
                    </w:pPr>
                    <w:r>
                      <w:rPr>
                        <w:sz w:val="22"/>
                        <w:szCs w:val="22"/>
                      </w:rPr>
                      <w:t>Matavimo vienetai</w:t>
                    </w:r>
                  </w:p>
                </w:tc>
                <w:tc>
                  <w:tcPr>
                    <w:tcW w:w="3688" w:type="dxa"/>
                    <w:vAlign w:val="center"/>
                  </w:tcPr>
                  <w:p w:rsidR="00E277C3" w:rsidRDefault="00DD7E53">
                    <w:pPr>
                      <w:jc w:val="center"/>
                      <w:rPr>
                        <w:sz w:val="18"/>
                        <w:szCs w:val="18"/>
                      </w:rPr>
                    </w:pPr>
                    <w:r>
                      <w:rPr>
                        <w:sz w:val="22"/>
                        <w:szCs w:val="22"/>
                      </w:rPr>
                      <w:t>Siektina reikšmė ir pasiekimo data</w:t>
                    </w:r>
                  </w:p>
                </w:tc>
              </w:tr>
              <w:tr w:rsidR="00E277C3">
                <w:trPr>
                  <w:trHeight w:val="725"/>
                </w:trPr>
                <w:tc>
                  <w:tcPr>
                    <w:tcW w:w="3688" w:type="dxa"/>
                  </w:tcPr>
                  <w:p w:rsidR="00E277C3" w:rsidRDefault="00DD7E53">
                    <w:pPr>
                      <w:jc w:val="center"/>
                      <w:rPr>
                        <w:iCs/>
                        <w:sz w:val="22"/>
                        <w:szCs w:val="22"/>
                      </w:rPr>
                    </w:pPr>
                    <w:r>
                      <w:rPr>
                        <w:sz w:val="22"/>
                        <w:szCs w:val="22"/>
                      </w:rPr>
                      <w:t xml:space="preserve">LINO renginiai / susitikimai apie ES tarptautines programas, iniciatyvas bei galimybes, aktualias Lietuvos mokslo ir inovacijų </w:t>
                    </w:r>
                    <w:r>
                      <w:rPr>
                        <w:sz w:val="22"/>
                        <w:szCs w:val="22"/>
                      </w:rPr>
                      <w:t>ekosistemai</w:t>
                    </w:r>
                  </w:p>
                </w:tc>
                <w:tc>
                  <w:tcPr>
                    <w:tcW w:w="3688" w:type="dxa"/>
                  </w:tcPr>
                  <w:p w:rsidR="00E277C3" w:rsidRDefault="00E277C3">
                    <w:pPr>
                      <w:jc w:val="center"/>
                      <w:rPr>
                        <w:sz w:val="22"/>
                        <w:szCs w:val="22"/>
                      </w:rPr>
                    </w:pPr>
                  </w:p>
                  <w:p w:rsidR="00E277C3" w:rsidRDefault="00DD7E53">
                    <w:pPr>
                      <w:jc w:val="center"/>
                      <w:rPr>
                        <w:sz w:val="22"/>
                        <w:szCs w:val="22"/>
                      </w:rPr>
                    </w:pPr>
                    <w:r>
                      <w:rPr>
                        <w:sz w:val="22"/>
                        <w:szCs w:val="22"/>
                      </w:rPr>
                      <w:t>P-12-001-01-02-01-18</w:t>
                    </w:r>
                  </w:p>
                  <w:p w:rsidR="00E277C3" w:rsidRDefault="00DD7E53">
                    <w:pPr>
                      <w:jc w:val="center"/>
                      <w:rPr>
                        <w:iCs/>
                        <w:sz w:val="22"/>
                        <w:szCs w:val="22"/>
                      </w:rPr>
                    </w:pPr>
                    <w:r>
                      <w:rPr>
                        <w:sz w:val="22"/>
                        <w:szCs w:val="22"/>
                      </w:rPr>
                      <w:t>P.N.2.4567</w:t>
                    </w:r>
                  </w:p>
                </w:tc>
                <w:tc>
                  <w:tcPr>
                    <w:tcW w:w="3688" w:type="dxa"/>
                  </w:tcPr>
                  <w:p w:rsidR="00E277C3" w:rsidRDefault="00E277C3">
                    <w:pPr>
                      <w:jc w:val="center"/>
                      <w:rPr>
                        <w:iCs/>
                        <w:sz w:val="22"/>
                        <w:szCs w:val="22"/>
                      </w:rPr>
                    </w:pPr>
                  </w:p>
                  <w:p w:rsidR="00E277C3" w:rsidRDefault="00DD7E53">
                    <w:pPr>
                      <w:jc w:val="center"/>
                      <w:rPr>
                        <w:iCs/>
                        <w:sz w:val="22"/>
                        <w:szCs w:val="22"/>
                      </w:rPr>
                    </w:pPr>
                    <w:r>
                      <w:rPr>
                        <w:iCs/>
                        <w:sz w:val="22"/>
                        <w:szCs w:val="22"/>
                      </w:rPr>
                      <w:t>Skaičius</w:t>
                    </w:r>
                  </w:p>
                </w:tc>
                <w:tc>
                  <w:tcPr>
                    <w:tcW w:w="3688" w:type="dxa"/>
                  </w:tcPr>
                  <w:p w:rsidR="00E277C3" w:rsidRDefault="00E277C3">
                    <w:pPr>
                      <w:jc w:val="center"/>
                      <w:rPr>
                        <w:iCs/>
                        <w:sz w:val="22"/>
                        <w:szCs w:val="22"/>
                      </w:rPr>
                    </w:pPr>
                  </w:p>
                  <w:p w:rsidR="00E277C3" w:rsidRDefault="00DD7E53">
                    <w:pPr>
                      <w:jc w:val="center"/>
                      <w:rPr>
                        <w:iCs/>
                        <w:sz w:val="22"/>
                        <w:szCs w:val="22"/>
                      </w:rPr>
                    </w:pPr>
                    <w:r>
                      <w:rPr>
                        <w:sz w:val="22"/>
                        <w:szCs w:val="22"/>
                      </w:rPr>
                      <w:t>60 (2029)</w:t>
                    </w:r>
                  </w:p>
                </w:tc>
              </w:tr>
            </w:tbl>
            <w:p w:rsidR="00E277C3" w:rsidRDefault="00E277C3">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277C3">
                <w:trPr>
                  <w:trHeight w:val="298"/>
                </w:trPr>
                <w:tc>
                  <w:tcPr>
                    <w:tcW w:w="15158" w:type="dxa"/>
                  </w:tcPr>
                  <w:p w:rsidR="00E277C3" w:rsidRDefault="00DD7E53">
                    <w:pPr>
                      <w:jc w:val="both"/>
                      <w:rPr>
                        <w:sz w:val="22"/>
                        <w:szCs w:val="22"/>
                      </w:rPr>
                    </w:pPr>
                    <w:r>
                      <w:rPr>
                        <w:b/>
                        <w:bCs/>
                        <w:color w:val="000000"/>
                        <w:sz w:val="22"/>
                        <w:szCs w:val="22"/>
                      </w:rPr>
                      <w:t xml:space="preserve">3. Lietuvos Respublikos švietimo, mokslo ir sporto ministerijos (toliau – Ministerija) stebėsenos rodiklių aprašymo kortelės </w:t>
                    </w:r>
                  </w:p>
                </w:tc>
              </w:tr>
              <w:tr w:rsidR="00E277C3">
                <w:trPr>
                  <w:trHeight w:val="315"/>
                </w:trPr>
                <w:tc>
                  <w:tcPr>
                    <w:tcW w:w="15158" w:type="dxa"/>
                  </w:tcPr>
                  <w:p w:rsidR="00E277C3" w:rsidRDefault="00DD7E53">
                    <w:pPr>
                      <w:jc w:val="both"/>
                      <w:rPr>
                        <w:i/>
                        <w:sz w:val="22"/>
                        <w:szCs w:val="22"/>
                      </w:rPr>
                    </w:pPr>
                    <w:r>
                      <w:rPr>
                        <w:sz w:val="22"/>
                        <w:szCs w:val="22"/>
                      </w:rPr>
                      <w:t xml:space="preserve">3.1. Stebėsenos rodiklių aprašymo kortelės pateiktos </w:t>
                    </w:r>
                    <w:r>
                      <w:rPr>
                        <w:iCs/>
                        <w:sz w:val="22"/>
                        <w:szCs w:val="22"/>
                      </w:rPr>
                      <w:t xml:space="preserve">šiuo Lietuvos Respublikos švietimo, mokslo ir sporto ministro įsakymu patvirtinto </w:t>
                    </w:r>
                    <w:r>
                      <w:rPr>
                        <w:sz w:val="22"/>
                        <w:szCs w:val="22"/>
                      </w:rPr>
                      <w:t>2022–2030 metų plėtros programos valdytojos Lietuvos Respublikos švietimo, mokslo ir sporto ministerijos mokslo plėtros programos pažangos priemonės Nr. 12-001-01-02-01 „Stip</w:t>
                    </w:r>
                    <w:r>
                      <w:rPr>
                        <w:sz w:val="22"/>
                        <w:szCs w:val="22"/>
                      </w:rPr>
                      <w:t>rinti inovacijų ekosistemas mokslo centruose“ aprašo 16 priede.</w:t>
                    </w:r>
                  </w:p>
                </w:tc>
              </w:tr>
            </w:tbl>
            <w:p w:rsidR="00E277C3" w:rsidRDefault="00E277C3">
              <w:pPr>
                <w:jc w:val="center"/>
                <w:rPr>
                  <w:szCs w:val="24"/>
                </w:rPr>
              </w:pPr>
            </w:p>
            <w:p w:rsidR="00E277C3" w:rsidRDefault="00DD7E53">
              <w:pPr>
                <w:rPr>
                  <w:b/>
                  <w:bCs/>
                  <w:szCs w:val="24"/>
                </w:rPr>
              </w:pPr>
            </w:p>
          </w:sdtContent>
        </w:sdt>
        <w:sdt>
          <w:sdtPr>
            <w:alias w:val="skyrius"/>
            <w:tag w:val="part_9553ac6add9e423a84955793987e62ba"/>
            <w:id w:val="198132547"/>
            <w:lock w:val="sdtLocked"/>
          </w:sdtPr>
          <w:sdtEndPr/>
          <w:sdtContent>
            <w:p w:rsidR="00E277C3" w:rsidRDefault="00DD7E53">
              <w:pPr>
                <w:jc w:val="center"/>
                <w:rPr>
                  <w:b/>
                  <w:bCs/>
                  <w:szCs w:val="24"/>
                </w:rPr>
              </w:pPr>
              <w:sdt>
                <w:sdtPr>
                  <w:alias w:val="Numeris"/>
                  <w:tag w:val="nr_9553ac6add9e423a84955793987e62ba"/>
                  <w:id w:val="1077786077"/>
                  <w:lock w:val="sdtLocked"/>
                </w:sdtPr>
                <w:sdtEndPr/>
                <w:sdtContent>
                  <w:r>
                    <w:rPr>
                      <w:b/>
                      <w:bCs/>
                      <w:szCs w:val="24"/>
                    </w:rPr>
                    <w:t>II</w:t>
                  </w:r>
                </w:sdtContent>
              </w:sdt>
              <w:r>
                <w:rPr>
                  <w:b/>
                  <w:bCs/>
                  <w:szCs w:val="24"/>
                </w:rPr>
                <w:t xml:space="preserve"> SKYRIUS</w:t>
              </w:r>
            </w:p>
            <w:p w:rsidR="00E277C3" w:rsidRDefault="00DD7E53">
              <w:pPr>
                <w:jc w:val="center"/>
                <w:rPr>
                  <w:b/>
                  <w:szCs w:val="24"/>
                </w:rPr>
              </w:pPr>
              <w:sdt>
                <w:sdtPr>
                  <w:alias w:val="Pavadinimas"/>
                  <w:tag w:val="title_9553ac6add9e423a84955793987e62ba"/>
                  <w:id w:val="996085019"/>
                  <w:lock w:val="sdtLocked"/>
                </w:sdtPr>
                <w:sdtEndPr/>
                <w:sdtContent>
                  <w:r>
                    <w:rPr>
                      <w:b/>
                      <w:szCs w:val="24"/>
                    </w:rPr>
                    <w:t>SPECIALIEJI FINANSAVIMO REIKALAVIMAI</w:t>
                  </w:r>
                </w:sdtContent>
              </w:sdt>
            </w:p>
            <w:p w:rsidR="00E277C3" w:rsidRDefault="00E277C3">
              <w:pPr>
                <w:rPr>
                  <w:b/>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277C3">
                <w:tc>
                  <w:tcPr>
                    <w:tcW w:w="15134" w:type="dxa"/>
                  </w:tcPr>
                  <w:p w:rsidR="00E277C3" w:rsidRDefault="00DD7E53">
                    <w:pPr>
                      <w:rPr>
                        <w:sz w:val="22"/>
                        <w:szCs w:val="22"/>
                      </w:rPr>
                    </w:pPr>
                    <w:r>
                      <w:rPr>
                        <w:b/>
                        <w:bCs/>
                        <w:sz w:val="22"/>
                        <w:szCs w:val="22"/>
                      </w:rPr>
                      <w:t>4. Taikomi teisės aktai</w:t>
                    </w:r>
                    <w:r>
                      <w:rPr>
                        <w:sz w:val="22"/>
                        <w:szCs w:val="22"/>
                      </w:rPr>
                      <w:t xml:space="preserve"> </w:t>
                    </w:r>
                    <w:r>
                      <w:rPr>
                        <w:b/>
                        <w:bCs/>
                        <w:sz w:val="22"/>
                        <w:szCs w:val="22"/>
                      </w:rPr>
                      <w:t>ir, jei taikoma, Apraše vartojamos sąvokos</w:t>
                    </w:r>
                  </w:p>
                </w:tc>
              </w:tr>
              <w:tr w:rsidR="00E277C3">
                <w:tc>
                  <w:tcPr>
                    <w:tcW w:w="15134" w:type="dxa"/>
                  </w:tcPr>
                  <w:p w:rsidR="00E277C3" w:rsidRDefault="00DD7E53">
                    <w:pPr>
                      <w:jc w:val="both"/>
                      <w:rPr>
                        <w:iCs/>
                        <w:sz w:val="22"/>
                        <w:szCs w:val="22"/>
                      </w:rPr>
                    </w:pPr>
                    <w:r>
                      <w:rPr>
                        <w:iCs/>
                        <w:sz w:val="22"/>
                        <w:szCs w:val="22"/>
                      </w:rPr>
                      <w:t xml:space="preserve">4.1. Teisės aktai, kuriais vadovaujamasi rengiant, teikiant ir </w:t>
                    </w:r>
                    <w:r>
                      <w:rPr>
                        <w:iCs/>
                        <w:sz w:val="22"/>
                        <w:szCs w:val="22"/>
                      </w:rPr>
                      <w:t>vertinant projekto įgyvendinimo planą, priimant sprendimą dėl projekto finansavimo, sudarant projekto sutartį ir įgyvendinant projektą, finansuojamą pagal 2022–2030 metų plėtros programos valdytojos Lietuvos Respublikos švietimo, mokslo ir sporto ministeri</w:t>
                    </w:r>
                    <w:r>
                      <w:rPr>
                        <w:iCs/>
                        <w:sz w:val="22"/>
                        <w:szCs w:val="22"/>
                      </w:rPr>
                      <w:t>jos mokslo plėtros programos pažangos priemonės Nr. 12-001-01-02-01 „Stiprinti inovacijų ekosistemas mokslo centruose“ projektų finansavimo sąlygų aprašą Nr. 10 (toliau – Aprašas):</w:t>
                    </w:r>
                  </w:p>
                  <w:p w:rsidR="00E277C3" w:rsidRDefault="00DD7E53">
                    <w:pPr>
                      <w:jc w:val="both"/>
                      <w:rPr>
                        <w:iCs/>
                        <w:sz w:val="22"/>
                        <w:szCs w:val="22"/>
                      </w:rPr>
                    </w:pPr>
                    <w:r>
                      <w:rPr>
                        <w:iCs/>
                        <w:sz w:val="22"/>
                        <w:szCs w:val="22"/>
                      </w:rPr>
                      <w:t>4.1.1. Bendrieji teisės aktai:</w:t>
                    </w:r>
                  </w:p>
                  <w:p w:rsidR="00E277C3" w:rsidRDefault="00DD7E53">
                    <w:pPr>
                      <w:jc w:val="both"/>
                      <w:rPr>
                        <w:iCs/>
                        <w:sz w:val="22"/>
                        <w:szCs w:val="22"/>
                      </w:rPr>
                    </w:pPr>
                    <w:r>
                      <w:rPr>
                        <w:iCs/>
                        <w:sz w:val="22"/>
                        <w:szCs w:val="22"/>
                      </w:rPr>
                      <w:t>4.1.1.1. Aštuonioliktosios Lietuvos Respubli</w:t>
                    </w:r>
                    <w:r>
                      <w:rPr>
                        <w:iCs/>
                        <w:sz w:val="22"/>
                        <w:szCs w:val="22"/>
                      </w:rPr>
                      <w:t>kos Vyriausybės programa, kuriai pritarta Lietuvos Respublikos Seimo 2020 m. gruodžio 11 d. nutarimu Nr. XIV-72 „Dėl Aštuonioliktosios Lietuvos Respublikos Vyriausybės programos“;</w:t>
                    </w:r>
                  </w:p>
                  <w:p w:rsidR="00E277C3" w:rsidRDefault="00DD7E53">
                    <w:pPr>
                      <w:jc w:val="both"/>
                      <w:rPr>
                        <w:iCs/>
                        <w:sz w:val="22"/>
                        <w:szCs w:val="22"/>
                      </w:rPr>
                    </w:pPr>
                    <w:r>
                      <w:rPr>
                        <w:iCs/>
                        <w:sz w:val="22"/>
                        <w:szCs w:val="22"/>
                      </w:rPr>
                      <w:t xml:space="preserve">4.1.1.2. Strateginio valdymo metodika, patvirtinta Lietuvos </w:t>
                    </w:r>
                    <w:r>
                      <w:rPr>
                        <w:szCs w:val="24"/>
                      </w:rPr>
                      <w:t>Respublikos Vyri</w:t>
                    </w:r>
                    <w:r>
                      <w:rPr>
                        <w:szCs w:val="24"/>
                      </w:rPr>
                      <w:t>ausybės 2021 m. balandžio 28 d. nutarimu Nr. 292 „Dėl Strateginio valdymo metodikos patvirtinimo“;</w:t>
                    </w:r>
                  </w:p>
                  <w:p w:rsidR="00E277C3" w:rsidRDefault="00DD7E53">
                    <w:pPr>
                      <w:jc w:val="both"/>
                      <w:rPr>
                        <w:iCs/>
                        <w:sz w:val="22"/>
                        <w:szCs w:val="22"/>
                      </w:rPr>
                    </w:pPr>
                    <w:r>
                      <w:rPr>
                        <w:iCs/>
                        <w:sz w:val="22"/>
                        <w:szCs w:val="22"/>
                      </w:rPr>
                      <w:t>4.1.1.3. 2022–2030 m. plėtros programos valdytojos Lietuvos Respublikos švietimo, mokslo ir sporto ministerijos mokslo plėtros programa, patvirtinta Lietuvos Respublikos Vyriausybės 2022 m. sausio 26 d. nutarimu Nr. 67 „Dėl 2022–2030 m. plėtros programos v</w:t>
                    </w:r>
                    <w:r>
                      <w:rPr>
                        <w:iCs/>
                        <w:sz w:val="22"/>
                        <w:szCs w:val="22"/>
                      </w:rPr>
                      <w:t xml:space="preserve">aldytojos Lietuvos Respublikos švietimo, mokslo ir sporto ministerijos mokslo plėtros programos patvirtinimo“; </w:t>
                    </w:r>
                  </w:p>
                  <w:p w:rsidR="00E277C3" w:rsidRDefault="00DD7E53">
                    <w:pPr>
                      <w:jc w:val="both"/>
                      <w:rPr>
                        <w:iCs/>
                        <w:sz w:val="22"/>
                        <w:szCs w:val="22"/>
                      </w:rPr>
                    </w:pPr>
                    <w:r>
                      <w:rPr>
                        <w:iCs/>
                        <w:sz w:val="22"/>
                        <w:szCs w:val="22"/>
                      </w:rPr>
                      <w:t xml:space="preserve">4.1.1.4. 2022–2030 m. plėtros programos valdytojos Lietuvos Respublikos švietimo, mokslo ir sporto ministerijos mokslo plėtros programos </w:t>
                    </w:r>
                    <w:r>
                      <w:rPr>
                        <w:iCs/>
                        <w:sz w:val="22"/>
                        <w:szCs w:val="22"/>
                      </w:rPr>
                      <w:t>pažangos priemonės Nr. 12-001-01-02-01 „Stiprinti inovacijų ekosistemas mokslo centruose“ aprašas, patvirtintas Lietuvos Respublikos švietimo, mokslo ir sporto ministro 2022 m. rugpjūčio 17 d. įsakymu Nr. V-1250 „Dėl 2022–2030 m. plėtros programos valdytoj</w:t>
                    </w:r>
                    <w:r>
                      <w:rPr>
                        <w:iCs/>
                        <w:sz w:val="22"/>
                        <w:szCs w:val="22"/>
                      </w:rPr>
                      <w:t>os Lietuvos Respublikos švietimo, mokslo ir sporto ministerijos mokslo plėtros programos pažangos priemonės Nr. 12-001-01-02-01 „Stiprinti inovacijų ekosistemas mokslo centruose“ aprašo patvirtinimo“;</w:t>
                    </w:r>
                  </w:p>
                  <w:p w:rsidR="00E277C3" w:rsidRDefault="00DD7E53">
                    <w:pPr>
                      <w:jc w:val="both"/>
                      <w:rPr>
                        <w:iCs/>
                        <w:sz w:val="22"/>
                        <w:szCs w:val="22"/>
                      </w:rPr>
                    </w:pPr>
                    <w:r>
                      <w:rPr>
                        <w:iCs/>
                        <w:sz w:val="22"/>
                        <w:szCs w:val="22"/>
                      </w:rPr>
                      <w:t>4.1.1.5. Projektų administravimo ir finansavimo taisykl</w:t>
                    </w:r>
                    <w:r>
                      <w:rPr>
                        <w:iCs/>
                        <w:sz w:val="22"/>
                        <w:szCs w:val="22"/>
                      </w:rPr>
                      <w:t>ės, patvirtintos Lietuvos Respublikos finansų ministro 2022 m. birželio 22 d. įsakymu Nr. 1K-237 „Dėl 2021–2027 metų Europos Sąjungos fondų investicijų programos ir Ekonomikos gaivinimo ir atsparumo didinimo plano „Naujos kartos Lietuva“ įgyvendinimo“ (tol</w:t>
                    </w:r>
                    <w:r>
                      <w:rPr>
                        <w:iCs/>
                        <w:sz w:val="22"/>
                        <w:szCs w:val="22"/>
                      </w:rPr>
                      <w:t>iau – PAFT);</w:t>
                    </w:r>
                  </w:p>
                  <w:p w:rsidR="00E277C3" w:rsidRDefault="00DD7E53">
                    <w:pPr>
                      <w:jc w:val="both"/>
                      <w:rPr>
                        <w:iCs/>
                        <w:sz w:val="22"/>
                        <w:szCs w:val="22"/>
                      </w:rPr>
                    </w:pPr>
                    <w:r>
                      <w:rPr>
                        <w:iCs/>
                        <w:sz w:val="22"/>
                        <w:szCs w:val="22"/>
                      </w:rPr>
                      <w:t>4.1.1.6. 2021 m. birželio 24 d. Europos Parlamento ir Tarybos reglamentas (ES) 2021/1060, kuriuo nustatomos bendros Europos regioninės plėtros fondo, „Europos socialinio fondo +“, Sanglaudos fondo, Teisingos pertvarkos fondo ir Europos jūrų re</w:t>
                    </w:r>
                    <w:r>
                      <w:rPr>
                        <w:iCs/>
                        <w:sz w:val="22"/>
                        <w:szCs w:val="22"/>
                      </w:rPr>
                      <w:t>ikalų, žvejybos ir akvakultūros fondo nuostatos ir šių fondų bei Prieglobsčio, migracijos ir integracijos fondo, Vidaus saugumo fondo ir Sienų valdymo ir vizų politikos finansinės paramos priemonės taisyklės;</w:t>
                    </w:r>
                  </w:p>
                  <w:p w:rsidR="00E277C3" w:rsidRDefault="00DD7E53">
                    <w:pPr>
                      <w:jc w:val="both"/>
                      <w:rPr>
                        <w:iCs/>
                        <w:sz w:val="22"/>
                        <w:szCs w:val="22"/>
                      </w:rPr>
                    </w:pPr>
                    <w:r>
                      <w:rPr>
                        <w:iCs/>
                        <w:sz w:val="22"/>
                        <w:szCs w:val="22"/>
                      </w:rPr>
                      <w:t>4.1.1.7. Mokslinių tyrimų ir eksperimentinės pl</w:t>
                    </w:r>
                    <w:r>
                      <w:rPr>
                        <w:iCs/>
                        <w:sz w:val="22"/>
                        <w:szCs w:val="22"/>
                      </w:rPr>
                      <w:t>ėtros ir inovacijų (sumaniosios specializacijos) koncepcija, patvirtinta Lietuvos Respublikos Vyriausybės 2022 m. rugpjūčio 17 d. nutarimu Nr. 835 „Dėl Mokslinių tyrimų ir eksperimentinės plėtros ir inovacijų (sumaniosios specializacijos) koncepcijos patvi</w:t>
                    </w:r>
                    <w:r>
                      <w:rPr>
                        <w:iCs/>
                        <w:sz w:val="22"/>
                        <w:szCs w:val="22"/>
                      </w:rPr>
                      <w:t>rtinimo“ (toliau – Sumaniosios specializacijos koncepcija).</w:t>
                    </w:r>
                  </w:p>
                  <w:p w:rsidR="00E277C3" w:rsidRDefault="00DD7E53">
                    <w:pPr>
                      <w:jc w:val="both"/>
                      <w:rPr>
                        <w:iCs/>
                        <w:sz w:val="22"/>
                        <w:szCs w:val="22"/>
                      </w:rPr>
                    </w:pPr>
                    <w:r>
                      <w:rPr>
                        <w:iCs/>
                        <w:sz w:val="22"/>
                        <w:szCs w:val="22"/>
                      </w:rPr>
                      <w:t>4.1.2. Specialieji teisės aktai:</w:t>
                    </w:r>
                  </w:p>
                  <w:p w:rsidR="00E277C3" w:rsidRDefault="00DD7E53">
                    <w:pPr>
                      <w:jc w:val="both"/>
                      <w:rPr>
                        <w:iCs/>
                        <w:sz w:val="22"/>
                        <w:szCs w:val="22"/>
                      </w:rPr>
                    </w:pPr>
                    <w:r>
                      <w:rPr>
                        <w:iCs/>
                        <w:sz w:val="22"/>
                        <w:szCs w:val="22"/>
                      </w:rPr>
                      <w:t>4.1.2.1. Lietuvos Respublikos mokslo ir studijų įstatymas;</w:t>
                    </w:r>
                  </w:p>
                  <w:p w:rsidR="00E277C3" w:rsidRDefault="00DD7E53">
                    <w:pPr>
                      <w:jc w:val="both"/>
                      <w:rPr>
                        <w:iCs/>
                        <w:sz w:val="22"/>
                        <w:szCs w:val="22"/>
                      </w:rPr>
                    </w:pPr>
                    <w:r>
                      <w:rPr>
                        <w:iCs/>
                        <w:sz w:val="22"/>
                        <w:szCs w:val="22"/>
                      </w:rPr>
                      <w:t>4.1.2.2. Lietuvos mokslo tarybos nuostatai, patvirtinti Lietuvos Respublikos Vyriausybės 2022 m. balandž</w:t>
                    </w:r>
                    <w:r>
                      <w:rPr>
                        <w:iCs/>
                        <w:sz w:val="22"/>
                        <w:szCs w:val="22"/>
                      </w:rPr>
                      <w:t>io 20 d. nutarimu Nr. 375 „Dėl Lietuvos mokslo tarybos nuostatų patvirtinimo“.</w:t>
                    </w:r>
                  </w:p>
                  <w:p w:rsidR="00E277C3" w:rsidRDefault="00DD7E53">
                    <w:pPr>
                      <w:jc w:val="both"/>
                      <w:rPr>
                        <w:iCs/>
                        <w:sz w:val="22"/>
                        <w:szCs w:val="22"/>
                      </w:rPr>
                    </w:pPr>
                    <w:r>
                      <w:rPr>
                        <w:iCs/>
                        <w:sz w:val="22"/>
                        <w:szCs w:val="22"/>
                      </w:rPr>
                      <w:t xml:space="preserve">4.2. Apraše vartojamos sąvokos suprantamos taip, kaip jos apibrėžtos PAFT, Lietuvos Respublikos mokslo ir studijų įstatyme ir anksčiau paminėtuose teisės aktuose. </w:t>
                    </w:r>
                  </w:p>
                </w:tc>
              </w:tr>
              <w:tr w:rsidR="00E277C3">
                <w:tc>
                  <w:tcPr>
                    <w:tcW w:w="15134" w:type="dxa"/>
                  </w:tcPr>
                  <w:p w:rsidR="00E277C3" w:rsidRDefault="00DD7E53">
                    <w:pPr>
                      <w:rPr>
                        <w:bCs/>
                        <w:sz w:val="22"/>
                        <w:szCs w:val="22"/>
                      </w:rPr>
                    </w:pPr>
                    <w:r>
                      <w:rPr>
                        <w:b/>
                        <w:sz w:val="22"/>
                        <w:szCs w:val="22"/>
                      </w:rPr>
                      <w:t>5. Reikalavi</w:t>
                    </w:r>
                    <w:r>
                      <w:rPr>
                        <w:b/>
                        <w:sz w:val="22"/>
                        <w:szCs w:val="22"/>
                      </w:rPr>
                      <w:t>mai projektams, pareiškėjams ir partneriams</w:t>
                    </w:r>
                  </w:p>
                </w:tc>
              </w:tr>
              <w:tr w:rsidR="00E277C3">
                <w:trPr>
                  <w:trHeight w:val="1833"/>
                </w:trPr>
                <w:tc>
                  <w:tcPr>
                    <w:tcW w:w="15134" w:type="dxa"/>
                  </w:tcPr>
                  <w:p w:rsidR="00E277C3" w:rsidRDefault="00DD7E53">
                    <w:pPr>
                      <w:jc w:val="both"/>
                      <w:rPr>
                        <w:sz w:val="22"/>
                        <w:szCs w:val="22"/>
                      </w:rPr>
                    </w:pPr>
                    <w:r>
                      <w:rPr>
                        <w:sz w:val="22"/>
                        <w:szCs w:val="22"/>
                      </w:rPr>
                      <w:t>5.1. Projektų atrankos būdas – planavimo.</w:t>
                    </w:r>
                  </w:p>
                  <w:p w:rsidR="00E277C3" w:rsidRDefault="00DD7E53">
                    <w:pPr>
                      <w:jc w:val="both"/>
                      <w:rPr>
                        <w:sz w:val="22"/>
                        <w:szCs w:val="22"/>
                      </w:rPr>
                    </w:pPr>
                    <w:r>
                      <w:rPr>
                        <w:sz w:val="22"/>
                        <w:szCs w:val="22"/>
                      </w:rPr>
                      <w:t>5.2. Galimas pareiškėjas – Lietuvos mokslo taryba (toliau – Pareiškėjas, projekto vykdytojas).</w:t>
                    </w:r>
                  </w:p>
                  <w:p w:rsidR="00E277C3" w:rsidRDefault="00DD7E53">
                    <w:pPr>
                      <w:jc w:val="both"/>
                      <w:rPr>
                        <w:sz w:val="22"/>
                        <w:szCs w:val="22"/>
                      </w:rPr>
                    </w:pPr>
                    <w:r>
                      <w:rPr>
                        <w:sz w:val="22"/>
                        <w:szCs w:val="22"/>
                      </w:rPr>
                      <w:t>5.3. Galimybė Pareiškėjui teikti paraišką su partneriu nenumatoma.</w:t>
                    </w:r>
                  </w:p>
                  <w:p w:rsidR="00E277C3" w:rsidRDefault="00DD7E53">
                    <w:pPr>
                      <w:jc w:val="both"/>
                      <w:rPr>
                        <w:sz w:val="22"/>
                        <w:szCs w:val="22"/>
                      </w:rPr>
                    </w:pPr>
                    <w:r>
                      <w:rPr>
                        <w:sz w:val="22"/>
                        <w:szCs w:val="22"/>
                      </w:rPr>
                      <w:t>5.4. Pa</w:t>
                    </w:r>
                    <w:r>
                      <w:rPr>
                        <w:sz w:val="22"/>
                        <w:szCs w:val="22"/>
                      </w:rPr>
                      <w:t>gal Aprašą remiama veikla – LINO veiklos stiprinimas: Lietuvos mokslo ir inovacijų potencialo bei interesų pristatymas Briuselyje (susitikimai / renginiai); tinklaveika (dalyvavimas ES mokslo, technologijų ir inovacijų tinklų veikloje (toliau – IGLO tinkla</w:t>
                    </w:r>
                    <w:r>
                      <w:rPr>
                        <w:sz w:val="22"/>
                        <w:szCs w:val="22"/>
                      </w:rPr>
                      <w:t>s) ir pan.); ES mokslo, technologijų ir inovacijų politikos aktualijų sklaida (komunikacija, viešinimas ir kt.); konsultavimas Europos Sąjungos mokslo, technologijų ir inovacijų politikos, Lietuvos potencialo pristatymo ir tinklaveikos klausimais.</w:t>
                    </w:r>
                  </w:p>
                  <w:p w:rsidR="00E277C3" w:rsidRDefault="00DD7E53">
                    <w:pPr>
                      <w:jc w:val="both"/>
                      <w:rPr>
                        <w:sz w:val="22"/>
                        <w:szCs w:val="22"/>
                      </w:rPr>
                    </w:pPr>
                    <w:r>
                      <w:rPr>
                        <w:sz w:val="22"/>
                        <w:szCs w:val="22"/>
                      </w:rPr>
                      <w:t>5.5. Pag</w:t>
                    </w:r>
                    <w:r>
                      <w:rPr>
                        <w:sz w:val="22"/>
                        <w:szCs w:val="22"/>
                      </w:rPr>
                      <w:t>al Aprašą projektui įgyvendinti skiriama iki 4 200 000,00 Eur (keturių milijonų dviejų šimtų tūkstančių 00 ct), iš kurių iki 2 100 000,00 Eur (dviejų milijonų vieno šimto tūkstančių eurų 00 ct) sudaro ES fondų lėšos ir iki 2 100 000,00 Eur (dviejų milijonų</w:t>
                    </w:r>
                    <w:r>
                      <w:rPr>
                        <w:sz w:val="22"/>
                        <w:szCs w:val="22"/>
                      </w:rPr>
                      <w:t xml:space="preserve"> vieno šimto tūkstančių eurų 00 ct) – ES fondų bendrojo finansavimo lėšų.</w:t>
                    </w:r>
                  </w:p>
                  <w:p w:rsidR="00E277C3" w:rsidRDefault="00DD7E53">
                    <w:pPr>
                      <w:jc w:val="both"/>
                      <w:rPr>
                        <w:sz w:val="22"/>
                        <w:szCs w:val="22"/>
                      </w:rPr>
                    </w:pPr>
                    <w:r>
                      <w:rPr>
                        <w:sz w:val="22"/>
                        <w:szCs w:val="22"/>
                      </w:rPr>
                      <w:t xml:space="preserve">5.6. Projektas turi atitikti projekto bendruosius atrankos kriterijus, nustatytus Strateginio valdymo metodikos 136 punkte ir PAFT 2 priede. </w:t>
                    </w:r>
                  </w:p>
                  <w:p w:rsidR="00E277C3" w:rsidRDefault="00DD7E53">
                    <w:pPr>
                      <w:jc w:val="both"/>
                      <w:rPr>
                        <w:sz w:val="22"/>
                        <w:szCs w:val="22"/>
                      </w:rPr>
                    </w:pPr>
                    <w:r>
                      <w:rPr>
                        <w:sz w:val="22"/>
                        <w:szCs w:val="22"/>
                      </w:rPr>
                      <w:t>5.7. Projekto veiklos turi būti įgyvendi</w:t>
                    </w:r>
                    <w:r>
                      <w:rPr>
                        <w:sz w:val="22"/>
                        <w:szCs w:val="22"/>
                      </w:rPr>
                      <w:t>ntos per 60 mėnesių nuo projekto sutarties įsigaliojimo. Prireikus veiklos gali būti pratęstos pagrįstam laikotarpiui, bet ne vėliau kaip iki 2029 m. rugpjūčio 31 d.</w:t>
                    </w:r>
                  </w:p>
                  <w:p w:rsidR="00E277C3" w:rsidRDefault="00DD7E53">
                    <w:pPr>
                      <w:jc w:val="both"/>
                      <w:rPr>
                        <w:sz w:val="22"/>
                        <w:szCs w:val="22"/>
                      </w:rPr>
                    </w:pPr>
                    <w:r>
                      <w:rPr>
                        <w:sz w:val="22"/>
                        <w:szCs w:val="22"/>
                      </w:rPr>
                      <w:t>5.8. Projektas gali būti įgyvendinamas Sostinės regione. Projekto veiklos gali būti įgyven</w:t>
                    </w:r>
                    <w:r>
                      <w:rPr>
                        <w:sz w:val="22"/>
                        <w:szCs w:val="22"/>
                      </w:rPr>
                      <w:t xml:space="preserve">dinamos Lietuvos Respublikoje ir ES, Europos ekonominės erdvės šalių ir Jungtinės Didžiosios Britanijos ir Šiaurės Airijos karalystės teritorijoje. </w:t>
                    </w:r>
                  </w:p>
                  <w:p w:rsidR="00E277C3" w:rsidRDefault="00DD7E53">
                    <w:pPr>
                      <w:jc w:val="both"/>
                      <w:rPr>
                        <w:iCs/>
                        <w:sz w:val="22"/>
                        <w:szCs w:val="22"/>
                      </w:rPr>
                    </w:pPr>
                    <w:r>
                      <w:rPr>
                        <w:iCs/>
                        <w:sz w:val="22"/>
                        <w:szCs w:val="22"/>
                      </w:rPr>
                      <w:t>5.9. Projekte suplanuotos veiklos turi atitikti Sumaniosios specializacijos koncepcijos nuostatas. Siekiant</w:t>
                    </w:r>
                    <w:r>
                      <w:rPr>
                        <w:iCs/>
                        <w:sz w:val="22"/>
                        <w:szCs w:val="22"/>
                      </w:rPr>
                      <w:t xml:space="preserve"> įvertinti atitiktį Sumaniosios specializacijos koncepcijai, Pareiškėjas turi užpildyti Informacijos, reikalingos projekto atitikčiai sumaniosios specializacijos koncepcijai įvertinti, formą (Aprašo 2 priedas).</w:t>
                    </w:r>
                  </w:p>
                  <w:p w:rsidR="00E277C3" w:rsidRDefault="00DD7E53">
                    <w:pPr>
                      <w:jc w:val="both"/>
                      <w:rPr>
                        <w:sz w:val="22"/>
                        <w:szCs w:val="22"/>
                      </w:rPr>
                    </w:pPr>
                    <w:r>
                      <w:rPr>
                        <w:sz w:val="22"/>
                        <w:szCs w:val="22"/>
                      </w:rPr>
                      <w:t>5.10. Pareiškėjas, prieš teikdamas projekto į</w:t>
                    </w:r>
                    <w:r>
                      <w:rPr>
                        <w:sz w:val="22"/>
                        <w:szCs w:val="22"/>
                      </w:rPr>
                      <w:t xml:space="preserve">gyvendinimo planą (toliau – PĮP) Administruojančiajai institucijai, turi jį suderinti su Ministerija. </w:t>
                    </w:r>
                  </w:p>
                  <w:p w:rsidR="00E277C3" w:rsidRDefault="00DD7E53">
                    <w:pPr>
                      <w:jc w:val="both"/>
                      <w:rPr>
                        <w:sz w:val="22"/>
                        <w:szCs w:val="22"/>
                      </w:rPr>
                    </w:pPr>
                    <w:r>
                      <w:rPr>
                        <w:sz w:val="22"/>
                        <w:szCs w:val="22"/>
                      </w:rPr>
                      <w:t>5.11. Projekto vykdytojas privalo įgyvendinti privalomas matomumo ir informavimo apie projektą veiksmų priemones, nustatytas PAFT VIII skyriaus pirmajame</w:t>
                    </w:r>
                    <w:r>
                      <w:rPr>
                        <w:sz w:val="22"/>
                        <w:szCs w:val="22"/>
                      </w:rPr>
                      <w:t xml:space="preserve"> skirsnyje.</w:t>
                    </w:r>
                  </w:p>
                  <w:p w:rsidR="00E277C3" w:rsidRDefault="00DD7E53">
                    <w:pPr>
                      <w:jc w:val="both"/>
                      <w:rPr>
                        <w:sz w:val="22"/>
                        <w:szCs w:val="22"/>
                      </w:rPr>
                    </w:pPr>
                    <w:r>
                      <w:rPr>
                        <w:sz w:val="22"/>
                        <w:szCs w:val="22"/>
                      </w:rPr>
                      <w:t xml:space="preserve">5.12. Kartu su PĮP turi būti pateikta: </w:t>
                    </w:r>
                  </w:p>
                  <w:p w:rsidR="00E277C3" w:rsidRDefault="00DD7E53">
                    <w:pPr>
                      <w:jc w:val="both"/>
                      <w:rPr>
                        <w:sz w:val="22"/>
                        <w:szCs w:val="22"/>
                      </w:rPr>
                    </w:pPr>
                    <w:r>
                      <w:rPr>
                        <w:sz w:val="22"/>
                        <w:szCs w:val="22"/>
                      </w:rPr>
                      <w:t>5.12.1. projekto atitiktį bendriesiems projektų atrankos kriterijams, nurodytiems Strateginio valdymo metodikos 136 punkte ir PAFT 2 priede, patvirtinantys dokumentai;</w:t>
                    </w:r>
                  </w:p>
                  <w:p w:rsidR="00E277C3" w:rsidRDefault="00DD7E53">
                    <w:pPr>
                      <w:jc w:val="both"/>
                      <w:rPr>
                        <w:sz w:val="22"/>
                        <w:szCs w:val="22"/>
                      </w:rPr>
                    </w:pPr>
                    <w:r>
                      <w:rPr>
                        <w:sz w:val="22"/>
                        <w:szCs w:val="22"/>
                      </w:rPr>
                      <w:t>5.12.2. išlaidas pagrindžiantys doku</w:t>
                    </w:r>
                    <w:r>
                      <w:rPr>
                        <w:sz w:val="22"/>
                        <w:szCs w:val="22"/>
                      </w:rPr>
                      <w:t>mentai.</w:t>
                    </w:r>
                  </w:p>
                </w:tc>
              </w:tr>
              <w:tr w:rsidR="00E277C3">
                <w:tc>
                  <w:tcPr>
                    <w:tcW w:w="15134" w:type="dxa"/>
                  </w:tcPr>
                  <w:p w:rsidR="00E277C3" w:rsidRDefault="00DD7E53">
                    <w:pPr>
                      <w:jc w:val="both"/>
                      <w:rPr>
                        <w:b/>
                        <w:sz w:val="22"/>
                        <w:szCs w:val="22"/>
                      </w:rPr>
                    </w:pPr>
                    <w:r>
                      <w:rPr>
                        <w:b/>
                        <w:sz w:val="22"/>
                        <w:szCs w:val="22"/>
                      </w:rPr>
                      <w:t>6. Reikalavimai jungtinio projekto projektams ir jungtinio projekto projektų pareiškėjams</w:t>
                    </w:r>
                  </w:p>
                  <w:p w:rsidR="00E277C3" w:rsidRDefault="00DD7E53">
                    <w:pPr>
                      <w:jc w:val="both"/>
                      <w:rPr>
                        <w:bCs/>
                        <w:iCs/>
                        <w:sz w:val="22"/>
                        <w:szCs w:val="22"/>
                      </w:rPr>
                    </w:pPr>
                    <w:r>
                      <w:rPr>
                        <w:bCs/>
                        <w:sz w:val="22"/>
                        <w:szCs w:val="22"/>
                      </w:rPr>
                      <w:t>6.1. Netaikoma.</w:t>
                    </w:r>
                  </w:p>
                </w:tc>
              </w:tr>
              <w:tr w:rsidR="00E277C3">
                <w:trPr>
                  <w:trHeight w:val="285"/>
                </w:trPr>
                <w:tc>
                  <w:tcPr>
                    <w:tcW w:w="15134" w:type="dxa"/>
                  </w:tcPr>
                  <w:p w:rsidR="00E277C3" w:rsidRDefault="00DD7E53">
                    <w:pPr>
                      <w:rPr>
                        <w:bCs/>
                        <w:sz w:val="22"/>
                        <w:szCs w:val="22"/>
                      </w:rPr>
                    </w:pPr>
                    <w:r>
                      <w:rPr>
                        <w:b/>
                        <w:sz w:val="22"/>
                        <w:szCs w:val="22"/>
                      </w:rPr>
                      <w:t>7. Projekto tikslinės grupės</w:t>
                    </w:r>
                  </w:p>
                </w:tc>
              </w:tr>
              <w:tr w:rsidR="00E277C3">
                <w:trPr>
                  <w:trHeight w:val="285"/>
                </w:trPr>
                <w:tc>
                  <w:tcPr>
                    <w:tcW w:w="15134" w:type="dxa"/>
                  </w:tcPr>
                  <w:p w:rsidR="00E277C3" w:rsidRDefault="00DD7E53">
                    <w:pPr>
                      <w:jc w:val="both"/>
                      <w:rPr>
                        <w:sz w:val="22"/>
                        <w:szCs w:val="22"/>
                      </w:rPr>
                    </w:pPr>
                    <w:r>
                      <w:rPr>
                        <w:sz w:val="22"/>
                        <w:szCs w:val="22"/>
                      </w:rPr>
                      <w:t xml:space="preserve">7.1. Projekto tikslinė grupė – Lietuvos mokslo tarybos personalas, mokslo ir studijų institucijos (toliau – </w:t>
                    </w:r>
                    <w:r>
                      <w:rPr>
                        <w:sz w:val="22"/>
                        <w:szCs w:val="22"/>
                      </w:rPr>
                      <w:t>MSI), mokslininkai ir kiti tyrėjai, viešieji ir privatūs juridiniai asmenys, kiti mokslo, technologijų ir inovacijų srities dalyviai.</w:t>
                    </w:r>
                  </w:p>
                </w:tc>
              </w:tr>
              <w:tr w:rsidR="00E277C3">
                <w:trPr>
                  <w:trHeight w:val="285"/>
                </w:trPr>
                <w:tc>
                  <w:tcPr>
                    <w:tcW w:w="15134" w:type="dxa"/>
                  </w:tcPr>
                  <w:p w:rsidR="00E277C3" w:rsidRDefault="00DD7E53">
                    <w:pPr>
                      <w:rPr>
                        <w:bCs/>
                        <w:sz w:val="22"/>
                        <w:szCs w:val="22"/>
                      </w:rPr>
                    </w:pPr>
                    <w:r>
                      <w:rPr>
                        <w:b/>
                        <w:sz w:val="22"/>
                        <w:szCs w:val="22"/>
                      </w:rPr>
                      <w:t>8.</w:t>
                    </w:r>
                    <w:r>
                      <w:rPr>
                        <w:bCs/>
                        <w:sz w:val="22"/>
                        <w:szCs w:val="22"/>
                      </w:rPr>
                      <w:t xml:space="preserve"> </w:t>
                    </w:r>
                    <w:r>
                      <w:rPr>
                        <w:b/>
                        <w:sz w:val="22"/>
                        <w:szCs w:val="22"/>
                      </w:rPr>
                      <w:t>Horizontaliųjų principų (toliau – HP) reikalavimai</w:t>
                    </w:r>
                  </w:p>
                </w:tc>
              </w:tr>
              <w:tr w:rsidR="00E277C3">
                <w:tc>
                  <w:tcPr>
                    <w:tcW w:w="15134" w:type="dxa"/>
                  </w:tcPr>
                  <w:p w:rsidR="00E277C3" w:rsidRDefault="00DD7E53">
                    <w:pPr>
                      <w:jc w:val="both"/>
                      <w:rPr>
                        <w:iCs/>
                        <w:sz w:val="22"/>
                        <w:szCs w:val="22"/>
                      </w:rPr>
                    </w:pPr>
                    <w:r>
                      <w:rPr>
                        <w:iCs/>
                        <w:sz w:val="22"/>
                        <w:szCs w:val="22"/>
                      </w:rPr>
                      <w:t>8.1. Projektas turi atitikti 3 (tris) HP (Aprašo 1 priedas): </w:t>
                    </w:r>
                  </w:p>
                  <w:p w:rsidR="00E277C3" w:rsidRDefault="00DD7E53">
                    <w:pPr>
                      <w:jc w:val="both"/>
                      <w:rPr>
                        <w:iCs/>
                        <w:sz w:val="22"/>
                        <w:szCs w:val="22"/>
                      </w:rPr>
                    </w:pPr>
                    <w:r>
                      <w:rPr>
                        <w:iCs/>
                        <w:sz w:val="22"/>
                        <w:szCs w:val="22"/>
                      </w:rPr>
                      <w:t>8.1.</w:t>
                    </w:r>
                    <w:r>
                      <w:rPr>
                        <w:iCs/>
                        <w:sz w:val="22"/>
                        <w:szCs w:val="22"/>
                      </w:rPr>
                      <w:t>1. darnaus vystymosi HP suprantamas kaip ekonominio, socialinio ir aplinkos sričių vystymosi balansas. Projektas turi prisidėti prie darnaus vystymosi tikslų – nelygybės mažinimo, klimato kaitos švelninimo, partnerystės stiprinimo. Siekiant didinti viešojo</w:t>
                    </w:r>
                    <w:r>
                      <w:rPr>
                        <w:iCs/>
                        <w:sz w:val="22"/>
                        <w:szCs w:val="22"/>
                      </w:rPr>
                      <w:t xml:space="preserve"> sektoriaus indėlį skatinant darnų vystymąsi, įgyvendinant projektines veiklas bus siekiama, kad dalis pirkimų būtų atliekami kaip žalieji viešieji pirkimai; </w:t>
                    </w:r>
                  </w:p>
                  <w:p w:rsidR="00E277C3" w:rsidRDefault="00DD7E53">
                    <w:pPr>
                      <w:jc w:val="both"/>
                      <w:rPr>
                        <w:iCs/>
                        <w:sz w:val="22"/>
                        <w:szCs w:val="22"/>
                      </w:rPr>
                    </w:pPr>
                    <w:r>
                      <w:rPr>
                        <w:iCs/>
                        <w:sz w:val="22"/>
                        <w:szCs w:val="22"/>
                      </w:rPr>
                      <w:t>8.1.2. inovatyvumo HP suvokiamas kaip inovatyvių ir veiksmingiausių veikimo būdų paieška ir taiky</w:t>
                    </w:r>
                    <w:r>
                      <w:rPr>
                        <w:iCs/>
                        <w:sz w:val="22"/>
                        <w:szCs w:val="22"/>
                      </w:rPr>
                      <w:t>mas, mokslinių tyrimų ir mokslo pažangos rezultatų taikymas, sprendžiant šaliai aktualius iššūkius, kuriant didesnės vertės, geresnės kokybės paslaugas ir produktus visose valstybės veiklos srityse. Projektas turi tiesiogiai prisidėti prie sisteminės inova</w:t>
                    </w:r>
                    <w:r>
                      <w:rPr>
                        <w:iCs/>
                        <w:sz w:val="22"/>
                        <w:szCs w:val="22"/>
                      </w:rPr>
                      <w:t xml:space="preserve">cijų ekosistemos problemų, ribojančių inovacijomis grįstos ekonomikos kūrimą ir visuomenės pažangą sprendimo. Taip pat projektas turi prisidėti prie mokslinių tyrimų ir eksperimentinės plėtros (toliau – MTEP) ir inovacijų veikloms vykdyti skiriamų viešojo </w:t>
                    </w:r>
                    <w:r>
                      <w:rPr>
                        <w:iCs/>
                        <w:sz w:val="22"/>
                        <w:szCs w:val="22"/>
                      </w:rPr>
                      <w:t>sektoriaus investicijų dalies nuoseklaus didėjimo; </w:t>
                    </w:r>
                  </w:p>
                  <w:p w:rsidR="00E277C3" w:rsidRDefault="00DD7E53">
                    <w:pPr>
                      <w:jc w:val="both"/>
                      <w:rPr>
                        <w:iCs/>
                        <w:sz w:val="22"/>
                        <w:szCs w:val="22"/>
                      </w:rPr>
                    </w:pPr>
                    <w:r>
                      <w:rPr>
                        <w:iCs/>
                        <w:sz w:val="22"/>
                        <w:szCs w:val="22"/>
                      </w:rPr>
                      <w:t>8.1.3. lygių galimybių visiems HP taikymas užtikrina, kad nevaržomos žmogaus teisės ar neteikiamos asmeniui privilegijos dėl jo lyties, tautybės, rasinės ar etninės kilmės, kalbos, religijos, tikėjimo, įs</w:t>
                    </w:r>
                    <w:r>
                      <w:rPr>
                        <w:iCs/>
                        <w:sz w:val="22"/>
                        <w:szCs w:val="22"/>
                      </w:rPr>
                      <w:t>itikinimų ar pažiūrų, negalios, socialinės padėties, amžiaus arba seksualinės orientacijos bei nevaržomos galimybės tokiomis pačiomis kaip ir kitų asmenų sąlygomis naudotis paslaugomis, infrastruktūra, transportu ir kitomis priemonėmis. Įgyvendinant projek</w:t>
                    </w:r>
                    <w:r>
                      <w:rPr>
                        <w:iCs/>
                        <w:sz w:val="22"/>
                        <w:szCs w:val="22"/>
                      </w:rPr>
                      <w:t xml:space="preserve">tą privaloma atsižvelgti į neįgaliųjų, moterų ir vyrų, skirtingų amžiaus grupių, tautinių mažumų ir kitų diskriminaciją patiriančių grupių poreikius ir numatyti lygių galimybių principą įgyvendinančias priemones bei rodiklius. </w:t>
                    </w:r>
                  </w:p>
                </w:tc>
              </w:tr>
              <w:tr w:rsidR="00E277C3">
                <w:tc>
                  <w:tcPr>
                    <w:tcW w:w="15134" w:type="dxa"/>
                  </w:tcPr>
                  <w:p w:rsidR="00E277C3" w:rsidRDefault="00DD7E53">
                    <w:pPr>
                      <w:spacing w:line="259" w:lineRule="auto"/>
                      <w:jc w:val="both"/>
                      <w:rPr>
                        <w:b/>
                        <w:iCs/>
                        <w:sz w:val="22"/>
                        <w:szCs w:val="22"/>
                      </w:rPr>
                    </w:pPr>
                    <w:r>
                      <w:rPr>
                        <w:b/>
                        <w:iCs/>
                        <w:sz w:val="22"/>
                        <w:szCs w:val="22"/>
                      </w:rPr>
                      <w:t xml:space="preserve">9. Europos Sąjungos </w:t>
                    </w:r>
                    <w:r>
                      <w:rPr>
                        <w:b/>
                        <w:iCs/>
                        <w:sz w:val="22"/>
                        <w:szCs w:val="22"/>
                      </w:rPr>
                      <w:t>pagrindinių teisių chartijos (toliau – Chartija) reikalavimai</w:t>
                    </w:r>
                  </w:p>
                </w:tc>
              </w:tr>
              <w:tr w:rsidR="00E277C3">
                <w:tc>
                  <w:tcPr>
                    <w:tcW w:w="15134" w:type="dxa"/>
                  </w:tcPr>
                  <w:p w:rsidR="00E277C3" w:rsidRDefault="00DD7E53">
                    <w:pPr>
                      <w:jc w:val="both"/>
                      <w:rPr>
                        <w:sz w:val="22"/>
                        <w:szCs w:val="22"/>
                      </w:rPr>
                    </w:pPr>
                    <w:r>
                      <w:rPr>
                        <w:sz w:val="22"/>
                        <w:szCs w:val="22"/>
                      </w:rPr>
                      <w:t xml:space="preserve">9.1. Projekto veiklos turi nepažeisti Chartijoje numatytų žmogaus orumo, asmenų, privataus ir šeimos gyvenimo, sąžinės ir saviraiškos laisvės; asmens duomenų; prieglobsčio ir apsaugos </w:t>
                    </w:r>
                    <w:r>
                      <w:rPr>
                        <w:sz w:val="22"/>
                        <w:szCs w:val="22"/>
                      </w:rPr>
                      <w:t>perkėlimo, išsiuntimo ar išdavimo atvejų; teisių į nuosavybę ir teisių užsiimti verslu; lyčių lygybės, vienodo požiūrio ir lygių galimybių, nediskriminavimo ir neįgaliųjų teisių; vaiko teisių; gero administravimo, veiksmingo teisinės gynybos, teisingumo; s</w:t>
                    </w:r>
                    <w:r>
                      <w:rPr>
                        <w:sz w:val="22"/>
                        <w:szCs w:val="22"/>
                      </w:rPr>
                      <w:t>olidarumo ir darbuotojų teisių; aplinkos apsaugos reikalavimų.</w:t>
                    </w:r>
                  </w:p>
                </w:tc>
              </w:tr>
              <w:tr w:rsidR="00E277C3">
                <w:tc>
                  <w:tcPr>
                    <w:tcW w:w="15134" w:type="dxa"/>
                  </w:tcPr>
                  <w:p w:rsidR="00E277C3" w:rsidRDefault="00DD7E53">
                    <w:pPr>
                      <w:rPr>
                        <w:b/>
                        <w:sz w:val="22"/>
                        <w:szCs w:val="22"/>
                      </w:rPr>
                    </w:pPr>
                    <w:r>
                      <w:rPr>
                        <w:b/>
                        <w:sz w:val="22"/>
                        <w:szCs w:val="22"/>
                      </w:rPr>
                      <w:t>10. Apskritis, kurioje gali būti įgyvendinami projektai</w:t>
                    </w:r>
                  </w:p>
                </w:tc>
              </w:tr>
              <w:tr w:rsidR="00E277C3">
                <w:tc>
                  <w:tcPr>
                    <w:tcW w:w="15134" w:type="dxa"/>
                  </w:tcPr>
                  <w:p w:rsidR="00E277C3" w:rsidRDefault="00DD7E53">
                    <w:pPr>
                      <w:jc w:val="both"/>
                      <w:rPr>
                        <w:sz w:val="22"/>
                        <w:szCs w:val="22"/>
                      </w:rPr>
                    </w:pPr>
                    <w:r>
                      <w:rPr>
                        <w:sz w:val="22"/>
                        <w:szCs w:val="22"/>
                      </w:rPr>
                      <w:t>10.1. Netaikoma.</w:t>
                    </w:r>
                  </w:p>
                </w:tc>
              </w:tr>
              <w:tr w:rsidR="00E277C3">
                <w:tc>
                  <w:tcPr>
                    <w:tcW w:w="15134" w:type="dxa"/>
                  </w:tcPr>
                  <w:p w:rsidR="00E277C3" w:rsidRDefault="00DD7E53">
                    <w:pPr>
                      <w:jc w:val="both"/>
                      <w:rPr>
                        <w:b/>
                        <w:sz w:val="22"/>
                        <w:szCs w:val="22"/>
                      </w:rPr>
                    </w:pPr>
                    <w:r>
                      <w:rPr>
                        <w:b/>
                        <w:sz w:val="22"/>
                        <w:szCs w:val="22"/>
                      </w:rPr>
                      <w:t>11. Reikalavimai valstybės pagalbai (kurie nėra nurodyti kituose Aprašo punktuose)</w:t>
                    </w:r>
                  </w:p>
                </w:tc>
              </w:tr>
              <w:tr w:rsidR="00E277C3">
                <w:tc>
                  <w:tcPr>
                    <w:tcW w:w="15134" w:type="dxa"/>
                    <w:shd w:val="clear" w:color="auto" w:fill="auto"/>
                  </w:tcPr>
                  <w:p w:rsidR="00E277C3" w:rsidRDefault="00DD7E53">
                    <w:pPr>
                      <w:jc w:val="both"/>
                      <w:rPr>
                        <w:iCs/>
                        <w:sz w:val="22"/>
                        <w:szCs w:val="22"/>
                      </w:rPr>
                    </w:pPr>
                    <w:r>
                      <w:rPr>
                        <w:iCs/>
                        <w:sz w:val="22"/>
                        <w:szCs w:val="22"/>
                      </w:rPr>
                      <w:t>11.1.</w:t>
                    </w:r>
                    <w:r>
                      <w:rPr>
                        <w:i/>
                        <w:iCs/>
                        <w:sz w:val="22"/>
                        <w:szCs w:val="22"/>
                      </w:rPr>
                      <w:t xml:space="preserve"> </w:t>
                    </w:r>
                    <w:r>
                      <w:rPr>
                        <w:iCs/>
                        <w:sz w:val="22"/>
                        <w:szCs w:val="22"/>
                      </w:rPr>
                      <w:t>Pagal Aprašą valstybės paga</w:t>
                    </w:r>
                    <w:r>
                      <w:rPr>
                        <w:iCs/>
                        <w:sz w:val="22"/>
                        <w:szCs w:val="22"/>
                      </w:rPr>
                      <w:t xml:space="preserve">lba, kaip ji apibrėžta Sutarties dėl Europos Sąjungos veikimo 107 straipsnyje, ir </w:t>
                    </w:r>
                    <w:r>
                      <w:rPr>
                        <w:i/>
                        <w:iCs/>
                        <w:sz w:val="22"/>
                        <w:szCs w:val="22"/>
                      </w:rPr>
                      <w:t>de minimis</w:t>
                    </w:r>
                    <w:r>
                      <w:rPr>
                        <w:iCs/>
                        <w:sz w:val="22"/>
                        <w:szCs w:val="22"/>
                      </w:rPr>
                      <w:t xml:space="preserve"> pagalba, kuri atitinka 2023 m. gruodžio 13 d. Komisijos reglamento (ES) 2023/2831 dėl Sutarties dėl Europos Sąjungos veikimo 107 ir 108 straipsnių taikymo </w:t>
                    </w:r>
                    <w:r>
                      <w:rPr>
                        <w:i/>
                        <w:iCs/>
                        <w:sz w:val="22"/>
                        <w:szCs w:val="22"/>
                      </w:rPr>
                      <w:t>de minim</w:t>
                    </w:r>
                    <w:r>
                      <w:rPr>
                        <w:i/>
                        <w:iCs/>
                        <w:sz w:val="22"/>
                        <w:szCs w:val="22"/>
                      </w:rPr>
                      <w:t>is</w:t>
                    </w:r>
                    <w:r>
                      <w:rPr>
                        <w:iCs/>
                        <w:sz w:val="22"/>
                        <w:szCs w:val="22"/>
                      </w:rPr>
                      <w:t xml:space="preserve"> pagalbai nuostatas, neteikiama.</w:t>
                    </w:r>
                  </w:p>
                  <w:p w:rsidR="00E277C3" w:rsidRDefault="00DD7E53">
                    <w:pPr>
                      <w:jc w:val="both"/>
                      <w:rPr>
                        <w:iCs/>
                        <w:sz w:val="22"/>
                        <w:szCs w:val="22"/>
                      </w:rPr>
                    </w:pPr>
                    <w:r>
                      <w:rPr>
                        <w:iCs/>
                        <w:sz w:val="22"/>
                        <w:szCs w:val="22"/>
                      </w:rPr>
                      <w:t>11.2. Pagal Aprašą valstybės pagalba, kuri atitinka 2014 m. birželio 17 d. Komisijos reglamento (ES) Nr. 651/2014, kuriuo tam tikrų kategorijų pagalba skelbiama suderinama su vidaus rinka taikant Sutarties 107 ir 108 stra</w:t>
                    </w:r>
                    <w:r>
                      <w:rPr>
                        <w:iCs/>
                        <w:sz w:val="22"/>
                        <w:szCs w:val="22"/>
                      </w:rPr>
                      <w:t>ipsnius, neteikiama.</w:t>
                    </w:r>
                  </w:p>
                  <w:p w:rsidR="00E277C3" w:rsidRDefault="00DD7E53">
                    <w:pPr>
                      <w:jc w:val="both"/>
                      <w:rPr>
                        <w:sz w:val="22"/>
                        <w:szCs w:val="22"/>
                      </w:rPr>
                    </w:pPr>
                    <w:r>
                      <w:rPr>
                        <w:sz w:val="22"/>
                        <w:szCs w:val="22"/>
                      </w:rPr>
                      <w:t xml:space="preserve">11.3. Siekiant nustatyti, ar teikiamas finansavimas yra (nėra) valstybės pagalba, administruojančioji institucija pildo Patikros lapą dėl valstybės pagalbos ir </w:t>
                    </w:r>
                    <w:r>
                      <w:rPr>
                        <w:i/>
                        <w:sz w:val="22"/>
                        <w:szCs w:val="22"/>
                      </w:rPr>
                      <w:t>de minimis</w:t>
                    </w:r>
                    <w:r>
                      <w:rPr>
                        <w:sz w:val="22"/>
                        <w:szCs w:val="22"/>
                      </w:rPr>
                      <w:t xml:space="preserve"> pagalbos buvimo ar nebuvimo (Aprašo 3 priedas).</w:t>
                    </w:r>
                  </w:p>
                </w:tc>
              </w:tr>
              <w:tr w:rsidR="00E277C3">
                <w:tc>
                  <w:tcPr>
                    <w:tcW w:w="15134" w:type="dxa"/>
                  </w:tcPr>
                  <w:p w:rsidR="00E277C3" w:rsidRDefault="00DD7E53">
                    <w:pPr>
                      <w:ind w:left="426" w:hanging="426"/>
                      <w:jc w:val="both"/>
                      <w:rPr>
                        <w:bCs/>
                        <w:sz w:val="22"/>
                        <w:szCs w:val="22"/>
                      </w:rPr>
                    </w:pPr>
                    <w:r>
                      <w:rPr>
                        <w:bCs/>
                        <w:sz w:val="22"/>
                        <w:szCs w:val="22"/>
                      </w:rPr>
                      <w:t xml:space="preserve">12. </w:t>
                    </w:r>
                    <w:r>
                      <w:rPr>
                        <w:b/>
                        <w:sz w:val="22"/>
                        <w:szCs w:val="22"/>
                      </w:rPr>
                      <w:t xml:space="preserve">Projektų </w:t>
                    </w:r>
                    <w:r>
                      <w:rPr>
                        <w:b/>
                        <w:sz w:val="22"/>
                        <w:szCs w:val="22"/>
                      </w:rPr>
                      <w:t>atrankos kriterijai</w:t>
                    </w:r>
                  </w:p>
                </w:tc>
              </w:tr>
              <w:tr w:rsidR="00E277C3">
                <w:trPr>
                  <w:trHeight w:val="382"/>
                </w:trPr>
                <w:tc>
                  <w:tcPr>
                    <w:tcW w:w="15134" w:type="dxa"/>
                  </w:tcPr>
                  <w:p w:rsidR="00E277C3" w:rsidRDefault="00DD7E53">
                    <w:pPr>
                      <w:jc w:val="both"/>
                      <w:rPr>
                        <w:sz w:val="22"/>
                        <w:szCs w:val="22"/>
                        <w:lang w:eastAsia="en-GB"/>
                      </w:rPr>
                    </w:pPr>
                    <w:r>
                      <w:rPr>
                        <w:color w:val="000000"/>
                        <w:sz w:val="22"/>
                        <w:szCs w:val="22"/>
                        <w:shd w:val="clear" w:color="auto" w:fill="FFFFFF"/>
                        <w:lang w:eastAsia="en-GB"/>
                      </w:rPr>
                      <w:t xml:space="preserve">12.1. Projekto atranka vykdoma planavimo būdu, todėl </w:t>
                    </w:r>
                    <w:r>
                      <w:rPr>
                        <w:sz w:val="22"/>
                        <w:szCs w:val="22"/>
                        <w:lang w:eastAsia="en-GB"/>
                      </w:rPr>
                      <w:t>specialieji ir prioritetiniai projektų atrankos kriterijai nėra nustatomi.</w:t>
                    </w:r>
                  </w:p>
                </w:tc>
              </w:tr>
              <w:tr w:rsidR="00E277C3">
                <w:trPr>
                  <w:trHeight w:val="309"/>
                </w:trPr>
                <w:tc>
                  <w:tcPr>
                    <w:tcW w:w="15134" w:type="dxa"/>
                  </w:tcPr>
                  <w:p w:rsidR="00E277C3" w:rsidRDefault="00DD7E53">
                    <w:pPr>
                      <w:jc w:val="both"/>
                      <w:rPr>
                        <w:bCs/>
                        <w:i/>
                        <w:sz w:val="22"/>
                        <w:szCs w:val="22"/>
                      </w:rPr>
                    </w:pPr>
                    <w:r>
                      <w:rPr>
                        <w:b/>
                        <w:sz w:val="22"/>
                        <w:szCs w:val="22"/>
                      </w:rPr>
                      <w:t>13</w:t>
                    </w:r>
                    <w:r>
                      <w:rPr>
                        <w:bCs/>
                        <w:sz w:val="22"/>
                        <w:szCs w:val="22"/>
                      </w:rPr>
                      <w:t xml:space="preserve">. </w:t>
                    </w:r>
                    <w:r>
                      <w:rPr>
                        <w:b/>
                        <w:sz w:val="22"/>
                        <w:szCs w:val="22"/>
                      </w:rPr>
                      <w:t>Jungtinio projekto projektų atrankos kriterijai (</w:t>
                    </w:r>
                    <w:r>
                      <w:rPr>
                        <w:b/>
                        <w:i/>
                        <w:sz w:val="22"/>
                        <w:szCs w:val="22"/>
                      </w:rPr>
                      <w:t>pildoma tik jungtiniam projektui)</w:t>
                    </w:r>
                  </w:p>
                </w:tc>
              </w:tr>
              <w:tr w:rsidR="00E277C3">
                <w:trPr>
                  <w:trHeight w:val="287"/>
                </w:trPr>
                <w:tc>
                  <w:tcPr>
                    <w:tcW w:w="15134" w:type="dxa"/>
                  </w:tcPr>
                  <w:p w:rsidR="00E277C3" w:rsidRDefault="00DD7E53">
                    <w:pPr>
                      <w:jc w:val="both"/>
                      <w:rPr>
                        <w:iCs/>
                        <w:sz w:val="22"/>
                        <w:szCs w:val="22"/>
                      </w:rPr>
                    </w:pPr>
                    <w:r>
                      <w:rPr>
                        <w:iCs/>
                        <w:sz w:val="22"/>
                        <w:szCs w:val="22"/>
                      </w:rPr>
                      <w:t>13.1. Netaikoma.</w:t>
                    </w:r>
                  </w:p>
                </w:tc>
              </w:tr>
              <w:tr w:rsidR="00E277C3">
                <w:tc>
                  <w:tcPr>
                    <w:tcW w:w="15134" w:type="dxa"/>
                  </w:tcPr>
                  <w:p w:rsidR="00E277C3" w:rsidRDefault="00DD7E53">
                    <w:pPr>
                      <w:rPr>
                        <w:bCs/>
                        <w:sz w:val="22"/>
                        <w:szCs w:val="22"/>
                      </w:rPr>
                    </w:pPr>
                    <w:r>
                      <w:rPr>
                        <w:b/>
                        <w:sz w:val="22"/>
                        <w:szCs w:val="22"/>
                      </w:rPr>
                      <w:t>14</w:t>
                    </w:r>
                    <w:r>
                      <w:rPr>
                        <w:bCs/>
                        <w:sz w:val="22"/>
                        <w:szCs w:val="22"/>
                      </w:rPr>
                      <w:t xml:space="preserve">. </w:t>
                    </w:r>
                    <w:r>
                      <w:rPr>
                        <w:b/>
                        <w:sz w:val="22"/>
                        <w:szCs w:val="22"/>
                      </w:rPr>
                      <w:t>Reikalavimai įgyvendinus projektų veiklas</w:t>
                    </w:r>
                  </w:p>
                </w:tc>
              </w:tr>
              <w:tr w:rsidR="00E277C3">
                <w:trPr>
                  <w:trHeight w:val="323"/>
                </w:trPr>
                <w:tc>
                  <w:tcPr>
                    <w:tcW w:w="15134" w:type="dxa"/>
                  </w:tcPr>
                  <w:p w:rsidR="00E277C3" w:rsidRDefault="00DD7E53">
                    <w:pPr>
                      <w:jc w:val="both"/>
                      <w:rPr>
                        <w:iCs/>
                        <w:sz w:val="22"/>
                        <w:szCs w:val="22"/>
                      </w:rPr>
                    </w:pPr>
                    <w:r>
                      <w:rPr>
                        <w:sz w:val="22"/>
                        <w:szCs w:val="22"/>
                      </w:rPr>
                      <w:t>14.1. Papildomi reikalavimai įgyvendinus projekto veiklas, kurie nenumatyti PAFT, nėra taikomi.</w:t>
                    </w:r>
                  </w:p>
                </w:tc>
              </w:tr>
              <w:tr w:rsidR="00E277C3">
                <w:tc>
                  <w:tcPr>
                    <w:tcW w:w="15134" w:type="dxa"/>
                  </w:tcPr>
                  <w:p w:rsidR="00E277C3" w:rsidRDefault="00DD7E53">
                    <w:pPr>
                      <w:rPr>
                        <w:b/>
                        <w:sz w:val="22"/>
                        <w:szCs w:val="22"/>
                      </w:rPr>
                    </w:pPr>
                    <w:r>
                      <w:rPr>
                        <w:b/>
                        <w:sz w:val="22"/>
                        <w:szCs w:val="22"/>
                      </w:rPr>
                      <w:t>15. Kiti reikalavimai</w:t>
                    </w:r>
                  </w:p>
                </w:tc>
              </w:tr>
              <w:tr w:rsidR="00E277C3">
                <w:tc>
                  <w:tcPr>
                    <w:tcW w:w="15134" w:type="dxa"/>
                  </w:tcPr>
                  <w:p w:rsidR="00E277C3" w:rsidRDefault="00DD7E53">
                    <w:pPr>
                      <w:tabs>
                        <w:tab w:val="left" w:pos="1134"/>
                      </w:tabs>
                      <w:jc w:val="both"/>
                      <w:rPr>
                        <w:iCs/>
                        <w:sz w:val="22"/>
                        <w:szCs w:val="22"/>
                      </w:rPr>
                    </w:pPr>
                    <w:r>
                      <w:rPr>
                        <w:iCs/>
                        <w:sz w:val="22"/>
                        <w:szCs w:val="22"/>
                      </w:rPr>
                      <w:t>15.1 Netaikoma.</w:t>
                    </w:r>
                  </w:p>
                </w:tc>
              </w:tr>
            </w:tbl>
            <w:p w:rsidR="00E277C3" w:rsidRDefault="00DD7E53">
              <w:pPr>
                <w:jc w:val="center"/>
                <w:rPr>
                  <w:bCs/>
                  <w:szCs w:val="24"/>
                </w:rPr>
              </w:pPr>
            </w:p>
          </w:sdtContent>
        </w:sdt>
        <w:sdt>
          <w:sdtPr>
            <w:alias w:val="skyrius"/>
            <w:tag w:val="part_1f35692901fc452e9ee6e3c0ed192c0a"/>
            <w:id w:val="-781493805"/>
            <w:lock w:val="sdtLocked"/>
          </w:sdtPr>
          <w:sdtEndPr/>
          <w:sdtContent>
            <w:p w:rsidR="00E277C3" w:rsidRDefault="00DD7E53">
              <w:pPr>
                <w:jc w:val="center"/>
                <w:rPr>
                  <w:b/>
                  <w:szCs w:val="24"/>
                </w:rPr>
              </w:pPr>
              <w:sdt>
                <w:sdtPr>
                  <w:alias w:val="Numeris"/>
                  <w:tag w:val="nr_1f35692901fc452e9ee6e3c0ed192c0a"/>
                  <w:id w:val="-1485999348"/>
                  <w:lock w:val="sdtLocked"/>
                </w:sdtPr>
                <w:sdtEndPr/>
                <w:sdtContent>
                  <w:r>
                    <w:rPr>
                      <w:b/>
                      <w:szCs w:val="24"/>
                    </w:rPr>
                    <w:t>III</w:t>
                  </w:r>
                </w:sdtContent>
              </w:sdt>
              <w:r>
                <w:rPr>
                  <w:b/>
                  <w:szCs w:val="24"/>
                </w:rPr>
                <w:t xml:space="preserve"> SKYRIUS</w:t>
              </w:r>
            </w:p>
            <w:p w:rsidR="00E277C3" w:rsidRDefault="00DD7E53">
              <w:pPr>
                <w:jc w:val="center"/>
                <w:rPr>
                  <w:b/>
                  <w:szCs w:val="24"/>
                </w:rPr>
              </w:pPr>
              <w:sdt>
                <w:sdtPr>
                  <w:alias w:val="Pavadinimas"/>
                  <w:tag w:val="title_1f35692901fc452e9ee6e3c0ed192c0a"/>
                  <w:id w:val="-601109355"/>
                  <w:lock w:val="sdtLocked"/>
                </w:sdtPr>
                <w:sdtEndPr/>
                <w:sdtContent>
                  <w:r>
                    <w:rPr>
                      <w:b/>
                      <w:szCs w:val="24"/>
                    </w:rPr>
                    <w:t>IŠLAIDŲ TINKAMUMO FINANSUOTI REIKALAVIMAI</w:t>
                  </w:r>
                </w:sdtContent>
              </w:sdt>
            </w:p>
            <w:p w:rsidR="00E277C3" w:rsidRDefault="00E277C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277C3">
                <w:tc>
                  <w:tcPr>
                    <w:tcW w:w="15134" w:type="dxa"/>
                  </w:tcPr>
                  <w:p w:rsidR="00E277C3" w:rsidRDefault="00DD7E53">
                    <w:pPr>
                      <w:jc w:val="both"/>
                      <w:rPr>
                        <w:bCs/>
                        <w:szCs w:val="24"/>
                      </w:rPr>
                    </w:pPr>
                    <w:r>
                      <w:rPr>
                        <w:b/>
                        <w:szCs w:val="24"/>
                      </w:rPr>
                      <w:t>16</w:t>
                    </w:r>
                    <w:r>
                      <w:rPr>
                        <w:bCs/>
                        <w:szCs w:val="24"/>
                      </w:rPr>
                      <w:t xml:space="preserve">. </w:t>
                    </w:r>
                    <w:r>
                      <w:rPr>
                        <w:b/>
                        <w:szCs w:val="24"/>
                      </w:rPr>
                      <w:t>Išlaidų tinkamumo finansuoti reikalavimai</w:t>
                    </w:r>
                  </w:p>
                </w:tc>
              </w:tr>
              <w:tr w:rsidR="00E277C3">
                <w:tc>
                  <w:tcPr>
                    <w:tcW w:w="15134" w:type="dxa"/>
                  </w:tcPr>
                  <w:p w:rsidR="00E277C3" w:rsidRDefault="00DD7E53">
                    <w:pPr>
                      <w:tabs>
                        <w:tab w:val="left" w:pos="459"/>
                      </w:tabs>
                      <w:jc w:val="both"/>
                      <w:rPr>
                        <w:color w:val="000000"/>
                        <w:sz w:val="22"/>
                        <w:szCs w:val="22"/>
                      </w:rPr>
                    </w:pPr>
                    <w:r>
                      <w:rPr>
                        <w:color w:val="000000"/>
                        <w:sz w:val="22"/>
                        <w:szCs w:val="22"/>
                      </w:rPr>
                      <w:t>16.1. Tinkamos finansuoti išlaidos, būtinos projekto veikloms įgyvendinti. Išlaidos turi atitikti PAFT VII skyriuje išdėstytus projektų išlaidoms taikomus reikalavimus.</w:t>
                    </w:r>
                  </w:p>
                  <w:p w:rsidR="00E277C3" w:rsidRDefault="00DD7E53">
                    <w:pPr>
                      <w:tabs>
                        <w:tab w:val="left" w:pos="459"/>
                      </w:tabs>
                      <w:jc w:val="both"/>
                      <w:rPr>
                        <w:color w:val="000000"/>
                        <w:sz w:val="22"/>
                        <w:szCs w:val="22"/>
                      </w:rPr>
                    </w:pPr>
                    <w:r>
                      <w:rPr>
                        <w:color w:val="000000"/>
                        <w:sz w:val="22"/>
                        <w:szCs w:val="22"/>
                      </w:rPr>
                      <w:t>16.2. PĮP parengimo išlaidos nėra finansuoja</w:t>
                    </w:r>
                    <w:r>
                      <w:rPr>
                        <w:color w:val="000000"/>
                        <w:sz w:val="22"/>
                        <w:szCs w:val="22"/>
                      </w:rPr>
                      <w:t>mos.</w:t>
                    </w:r>
                  </w:p>
                  <w:p w:rsidR="00E277C3" w:rsidRDefault="00DD7E53">
                    <w:pPr>
                      <w:tabs>
                        <w:tab w:val="left" w:pos="459"/>
                      </w:tabs>
                      <w:jc w:val="both"/>
                      <w:rPr>
                        <w:color w:val="000000"/>
                        <w:sz w:val="22"/>
                        <w:szCs w:val="22"/>
                      </w:rPr>
                    </w:pPr>
                    <w:r>
                      <w:rPr>
                        <w:color w:val="000000"/>
                        <w:sz w:val="22"/>
                        <w:szCs w:val="22"/>
                      </w:rPr>
                      <w:t>16.3. ES fondų lėšomis netinkamas finansuoti PVM gali būti apmokėtas valstybės biudžeto lėšomis.</w:t>
                    </w:r>
                  </w:p>
                  <w:p w:rsidR="00E277C3" w:rsidRDefault="00DD7E53">
                    <w:pPr>
                      <w:tabs>
                        <w:tab w:val="left" w:pos="459"/>
                      </w:tabs>
                      <w:jc w:val="both"/>
                      <w:rPr>
                        <w:color w:val="000000"/>
                        <w:sz w:val="22"/>
                        <w:szCs w:val="22"/>
                      </w:rPr>
                    </w:pPr>
                    <w:r>
                      <w:rPr>
                        <w:color w:val="000000"/>
                        <w:sz w:val="22"/>
                        <w:szCs w:val="22"/>
                      </w:rPr>
                      <w:t xml:space="preserve">16.4. Finansavimo intensyvumas gali sudaryti iki 100 proc. tinkamų finansuoti išlaidų. </w:t>
                    </w:r>
                  </w:p>
                  <w:p w:rsidR="00E277C3" w:rsidRDefault="00DD7E53">
                    <w:pPr>
                      <w:tabs>
                        <w:tab w:val="left" w:pos="459"/>
                      </w:tabs>
                      <w:jc w:val="both"/>
                      <w:rPr>
                        <w:color w:val="000000"/>
                        <w:sz w:val="22"/>
                        <w:szCs w:val="22"/>
                      </w:rPr>
                    </w:pPr>
                    <w:r>
                      <w:rPr>
                        <w:color w:val="000000"/>
                        <w:sz w:val="22"/>
                        <w:szCs w:val="22"/>
                      </w:rPr>
                      <w:t>16.5. Projekto vykdytojas savo iniciatyva ir savo ir (arba) kitų š</w:t>
                    </w:r>
                    <w:r>
                      <w:rPr>
                        <w:color w:val="000000"/>
                        <w:sz w:val="22"/>
                        <w:szCs w:val="22"/>
                      </w:rPr>
                      <w:t>altinių lėšomis gali prisidėti prie projekto įgyvendinimo.</w:t>
                    </w:r>
                  </w:p>
                  <w:p w:rsidR="00E277C3" w:rsidRDefault="00DD7E53">
                    <w:pPr>
                      <w:tabs>
                        <w:tab w:val="left" w:pos="459"/>
                      </w:tabs>
                      <w:jc w:val="both"/>
                      <w:rPr>
                        <w:color w:val="000000"/>
                        <w:sz w:val="22"/>
                        <w:szCs w:val="22"/>
                      </w:rPr>
                    </w:pPr>
                    <w:r>
                      <w:rPr>
                        <w:color w:val="000000"/>
                        <w:sz w:val="22"/>
                        <w:szCs w:val="22"/>
                      </w:rPr>
                      <w:t xml:space="preserve">16.6. Projekto tinkamų finansuoti išlaidų dalis, kurios nepadengia projektui skiriamo finansavimo lėšos, turi būti finansuojama iš projekto vykdytojo lėšų. </w:t>
                    </w:r>
                  </w:p>
                  <w:p w:rsidR="00E277C3" w:rsidRDefault="00DD7E53">
                    <w:pPr>
                      <w:tabs>
                        <w:tab w:val="left" w:pos="459"/>
                      </w:tabs>
                      <w:jc w:val="both"/>
                      <w:rPr>
                        <w:color w:val="000000"/>
                        <w:sz w:val="22"/>
                        <w:szCs w:val="22"/>
                      </w:rPr>
                    </w:pPr>
                    <w:r>
                      <w:rPr>
                        <w:color w:val="000000"/>
                        <w:sz w:val="22"/>
                        <w:szCs w:val="22"/>
                      </w:rPr>
                      <w:t>16.7. Projekto vykdytojui gali būti moka</w:t>
                    </w:r>
                    <w:r>
                      <w:rPr>
                        <w:color w:val="000000"/>
                        <w:sz w:val="22"/>
                        <w:szCs w:val="22"/>
                      </w:rPr>
                      <w:t>mas avansas, vadovaujantis PAFT numatytomis avanso mokėjimo sąlygomis.</w:t>
                    </w:r>
                  </w:p>
                  <w:p w:rsidR="00E277C3" w:rsidRDefault="00DD7E53">
                    <w:pPr>
                      <w:tabs>
                        <w:tab w:val="left" w:pos="459"/>
                      </w:tabs>
                      <w:jc w:val="both"/>
                      <w:rPr>
                        <w:color w:val="000000"/>
                        <w:sz w:val="22"/>
                        <w:szCs w:val="22"/>
                      </w:rPr>
                    </w:pPr>
                    <w:r>
                      <w:rPr>
                        <w:color w:val="000000"/>
                        <w:sz w:val="22"/>
                        <w:szCs w:val="22"/>
                      </w:rPr>
                      <w:t>16.8. Kryžminis finansavimas netaikomas.</w:t>
                    </w:r>
                  </w:p>
                  <w:p w:rsidR="00E277C3" w:rsidRDefault="00DD7E53">
                    <w:pPr>
                      <w:tabs>
                        <w:tab w:val="left" w:pos="459"/>
                      </w:tabs>
                      <w:jc w:val="both"/>
                      <w:rPr>
                        <w:color w:val="000000"/>
                        <w:sz w:val="22"/>
                        <w:szCs w:val="22"/>
                      </w:rPr>
                    </w:pPr>
                    <w:r>
                      <w:rPr>
                        <w:color w:val="000000"/>
                        <w:sz w:val="22"/>
                        <w:szCs w:val="22"/>
                      </w:rPr>
                      <w:t xml:space="preserve">16.9. Pagal Aprašą tinkamos finansuoti išlaidos yra privalomos projekto matomumo ir informavimo apie projektą priemonės, netiesioginės projekto </w:t>
                    </w:r>
                    <w:r>
                      <w:rPr>
                        <w:color w:val="000000"/>
                        <w:sz w:val="22"/>
                        <w:szCs w:val="22"/>
                      </w:rPr>
                      <w:t>išlaidos apmokamos taikant fiksuotąją normą (7 proc. nuo tinkamų finansuoti projekto tiesioginių išlaidų).</w:t>
                    </w:r>
                  </w:p>
                  <w:p w:rsidR="00E277C3" w:rsidRDefault="00DD7E53">
                    <w:pPr>
                      <w:tabs>
                        <w:tab w:val="left" w:pos="459"/>
                      </w:tabs>
                      <w:jc w:val="both"/>
                      <w:rPr>
                        <w:color w:val="000000"/>
                        <w:sz w:val="22"/>
                        <w:szCs w:val="22"/>
                      </w:rPr>
                    </w:pPr>
                    <w:r>
                      <w:rPr>
                        <w:color w:val="000000"/>
                        <w:sz w:val="22"/>
                        <w:szCs w:val="22"/>
                      </w:rPr>
                      <w:t xml:space="preserve">16.10. Projektas ir projekto veiklos negali būti finansuotos ar finansuojamos iš kitų Lietuvos Respublikos valstybės biudžeto ir (arba) savivaldybių </w:t>
                    </w:r>
                    <w:r>
                      <w:rPr>
                        <w:color w:val="000000"/>
                        <w:sz w:val="22"/>
                        <w:szCs w:val="22"/>
                      </w:rPr>
                      <w:t>biudžetų, kitų piniginių išteklių, kuriais disponuoja valstybė ir (ar) savivaldybės, ES struktūrinių fondų, kitų ES finansinės paramos priemonių ar kitos tarptautinės paramos lėšų, kurioms apmokėti skyrus ES struktūrinių fondų lėšų jos būtų pripažintos tin</w:t>
                    </w:r>
                    <w:r>
                      <w:rPr>
                        <w:color w:val="000000"/>
                        <w:sz w:val="22"/>
                        <w:szCs w:val="22"/>
                      </w:rPr>
                      <w:t>kamomis finansuoti ir (arba) apmokėtos daugiau nei vieną kartą.</w:t>
                    </w:r>
                  </w:p>
                  <w:p w:rsidR="00E277C3" w:rsidRDefault="00DD7E53">
                    <w:pPr>
                      <w:tabs>
                        <w:tab w:val="left" w:pos="459"/>
                      </w:tabs>
                      <w:jc w:val="both"/>
                      <w:rPr>
                        <w:color w:val="000000"/>
                        <w:sz w:val="22"/>
                        <w:szCs w:val="22"/>
                      </w:rPr>
                    </w:pPr>
                    <w:r>
                      <w:rPr>
                        <w:color w:val="000000"/>
                        <w:sz w:val="22"/>
                        <w:szCs w:val="22"/>
                      </w:rPr>
                      <w:t>16.11. Tinkamos finansuoti projektą vykdančio personalo komandiruočių išlaidos, apskaičiuotos komandiruočių išlaidas reglamentuojančių teisės aktų nustatyta tvarka:</w:t>
                    </w:r>
                  </w:p>
                  <w:p w:rsidR="00E277C3" w:rsidRDefault="00DD7E53">
                    <w:pPr>
                      <w:tabs>
                        <w:tab w:val="left" w:pos="459"/>
                      </w:tabs>
                      <w:jc w:val="both"/>
                      <w:rPr>
                        <w:color w:val="000000"/>
                        <w:sz w:val="22"/>
                        <w:szCs w:val="22"/>
                      </w:rPr>
                    </w:pPr>
                    <w:r>
                      <w:rPr>
                        <w:color w:val="000000"/>
                        <w:sz w:val="22"/>
                        <w:szCs w:val="22"/>
                      </w:rPr>
                      <w:t xml:space="preserve">16.11.1. tarpmiestinėms </w:t>
                    </w:r>
                    <w:r>
                      <w:rPr>
                        <w:color w:val="000000"/>
                        <w:sz w:val="22"/>
                        <w:szCs w:val="22"/>
                      </w:rPr>
                      <w:t>kelionėms Lietuvoje taikomi supaprastintai apmokamų išlaidų dydžiai;</w:t>
                    </w:r>
                  </w:p>
                  <w:p w:rsidR="00E277C3" w:rsidRDefault="00DD7E53">
                    <w:pPr>
                      <w:tabs>
                        <w:tab w:val="left" w:pos="459"/>
                      </w:tabs>
                      <w:jc w:val="both"/>
                      <w:rPr>
                        <w:color w:val="000000"/>
                        <w:sz w:val="22"/>
                        <w:szCs w:val="22"/>
                      </w:rPr>
                    </w:pPr>
                    <w:r>
                      <w:rPr>
                        <w:color w:val="000000"/>
                        <w:sz w:val="22"/>
                        <w:szCs w:val="22"/>
                      </w:rPr>
                      <w:t>16.11.2. komandiruotėms į užsienio šalis taikomas Lietuvos Respublikos Vyriausybės 2004 m. balandžio 29 d. nutarimas Nr. 526 „Dėl dienpinigių ir kitų komandiruočių išlaidų apmokėjimo“ (to</w:t>
                    </w:r>
                    <w:r>
                      <w:rPr>
                        <w:color w:val="000000"/>
                        <w:sz w:val="22"/>
                        <w:szCs w:val="22"/>
                      </w:rPr>
                      <w:t>liau – LRV nutarimas). Dienpinigių ir gyvenamojo ploto nuomos normos vykstantiems į užsienio komandiruotes asmenims visais atvejais negali viršyti maksimalių dienpinigių dydžių ir gyvenamojo ploto nuomos išlaidų normų, apskaičiuotų vadovaujantis LRV nutari</w:t>
                    </w:r>
                    <w:r>
                      <w:rPr>
                        <w:color w:val="000000"/>
                        <w:sz w:val="22"/>
                        <w:szCs w:val="22"/>
                      </w:rPr>
                      <w:t xml:space="preserve">mu. </w:t>
                    </w:r>
                  </w:p>
                </w:tc>
              </w:tr>
            </w:tbl>
            <w:p w:rsidR="00E277C3" w:rsidRDefault="00DD7E53">
              <w:pPr>
                <w:jc w:val="center"/>
                <w:rPr>
                  <w:b/>
                  <w:szCs w:val="24"/>
                </w:rPr>
              </w:pPr>
            </w:p>
          </w:sdtContent>
        </w:sdt>
        <w:sdt>
          <w:sdtPr>
            <w:alias w:val="skyrius"/>
            <w:tag w:val="part_64455483b5164230a306e9b322db0bfb"/>
            <w:id w:val="1808354492"/>
            <w:lock w:val="sdtLocked"/>
          </w:sdtPr>
          <w:sdtEndPr/>
          <w:sdtContent>
            <w:p w:rsidR="00E277C3" w:rsidRDefault="00DD7E53">
              <w:pPr>
                <w:jc w:val="center"/>
                <w:rPr>
                  <w:b/>
                  <w:szCs w:val="24"/>
                </w:rPr>
              </w:pPr>
              <w:sdt>
                <w:sdtPr>
                  <w:alias w:val="Numeris"/>
                  <w:tag w:val="nr_64455483b5164230a306e9b322db0bfb"/>
                  <w:id w:val="1381816696"/>
                  <w:lock w:val="sdtLocked"/>
                </w:sdtPr>
                <w:sdtEndPr/>
                <w:sdtContent>
                  <w:r>
                    <w:rPr>
                      <w:b/>
                      <w:szCs w:val="24"/>
                    </w:rPr>
                    <w:t>IV</w:t>
                  </w:r>
                </w:sdtContent>
              </w:sdt>
              <w:r>
                <w:rPr>
                  <w:b/>
                  <w:szCs w:val="24"/>
                </w:rPr>
                <w:t xml:space="preserve"> SKYRIUS</w:t>
              </w:r>
            </w:p>
            <w:p w:rsidR="00E277C3" w:rsidRDefault="00DD7E53">
              <w:pPr>
                <w:jc w:val="center"/>
                <w:rPr>
                  <w:b/>
                  <w:szCs w:val="24"/>
                </w:rPr>
              </w:pPr>
              <w:sdt>
                <w:sdtPr>
                  <w:alias w:val="Pavadinimas"/>
                  <w:tag w:val="title_64455483b5164230a306e9b322db0bfb"/>
                  <w:id w:val="1262336762"/>
                  <w:lock w:val="sdtLocked"/>
                </w:sdtPr>
                <w:sdtEndPr/>
                <w:sdtContent>
                  <w:r>
                    <w:rPr>
                      <w:b/>
                      <w:szCs w:val="24"/>
                    </w:rPr>
                    <w:t>SUPAPRASTINTAI APMOKAMŲ IŠLAIDŲ DYDŽIAI</w:t>
                  </w:r>
                </w:sdtContent>
              </w:sdt>
            </w:p>
            <w:p w:rsidR="00E277C3" w:rsidRDefault="00E277C3"/>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E277C3">
                <w:trPr>
                  <w:trHeight w:val="349"/>
                </w:trPr>
                <w:tc>
                  <w:tcPr>
                    <w:tcW w:w="15134" w:type="dxa"/>
                  </w:tcPr>
                  <w:p w:rsidR="00E277C3" w:rsidRDefault="00DD7E53">
                    <w:pPr>
                      <w:jc w:val="both"/>
                      <w:rPr>
                        <w:bCs/>
                        <w:szCs w:val="24"/>
                      </w:rPr>
                    </w:pPr>
                    <w:r>
                      <w:rPr>
                        <w:b/>
                        <w:szCs w:val="24"/>
                      </w:rPr>
                      <w:t>17. Projektų veiklų ir jungtinio projekto projektų įgyvendinimui taikomi supaprastintai apmokamų išlaidų dydžiai</w:t>
                    </w:r>
                  </w:p>
                </w:tc>
              </w:tr>
              <w:tr w:rsidR="00E277C3">
                <w:tc>
                  <w:tcPr>
                    <w:tcW w:w="15134" w:type="dxa"/>
                  </w:tcPr>
                  <w:p w:rsidR="00E277C3" w:rsidRDefault="00E277C3">
                    <w:pPr>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2890"/>
                      <w:gridCol w:w="2890"/>
                      <w:gridCol w:w="2890"/>
                      <w:gridCol w:w="2890"/>
                    </w:tblGrid>
                    <w:tr w:rsidR="00E277C3">
                      <w:tc>
                        <w:tcPr>
                          <w:tcW w:w="14449" w:type="dxa"/>
                          <w:gridSpan w:val="5"/>
                          <w:tcBorders>
                            <w:top w:val="single" w:sz="8" w:space="0" w:color="auto"/>
                            <w:left w:val="single" w:sz="8" w:space="0" w:color="auto"/>
                            <w:bottom w:val="single" w:sz="8" w:space="0" w:color="auto"/>
                            <w:right w:val="single" w:sz="8" w:space="0" w:color="auto"/>
                          </w:tcBorders>
                        </w:tcPr>
                        <w:p w:rsidR="00E277C3" w:rsidRDefault="00DD7E53">
                          <w:pPr>
                            <w:jc w:val="both"/>
                            <w:rPr>
                              <w:b/>
                              <w:bCs/>
                              <w:szCs w:val="24"/>
                            </w:rPr>
                          </w:pPr>
                          <w:r>
                            <w:rPr>
                              <w:rFonts w:ascii="MS Gothic" w:eastAsia="MS Gothic" w:hAnsi="MS Gothic" w:cs="MS Gothic"/>
                              <w:b/>
                              <w:bCs/>
                              <w:szCs w:val="24"/>
                            </w:rPr>
                            <w:t>☐</w:t>
                          </w:r>
                          <w:r>
                            <w:rPr>
                              <w:b/>
                              <w:bCs/>
                              <w:szCs w:val="24"/>
                            </w:rPr>
                            <w:t xml:space="preserve"> Indeksuojama</w:t>
                          </w:r>
                        </w:p>
                        <w:p w:rsidR="00E277C3" w:rsidRDefault="00DD7E53">
                          <w:pPr>
                            <w:jc w:val="both"/>
                            <w:rPr>
                              <w:b/>
                              <w:bCs/>
                              <w:szCs w:val="24"/>
                            </w:rPr>
                          </w:pPr>
                          <w:r>
                            <w:rPr>
                              <w:rFonts w:ascii="MS Gothic" w:eastAsia="MS Gothic" w:hAnsi="MS Gothic" w:cs="MS Gothic"/>
                              <w:b/>
                              <w:bCs/>
                              <w:szCs w:val="24"/>
                            </w:rPr>
                            <w:t xml:space="preserve">X </w:t>
                          </w:r>
                          <w:r>
                            <w:rPr>
                              <w:b/>
                              <w:bCs/>
                              <w:szCs w:val="24"/>
                            </w:rPr>
                            <w:t>Neindeksuojama</w:t>
                          </w:r>
                        </w:p>
                      </w:tc>
                    </w:tr>
                    <w:tr w:rsidR="00E277C3">
                      <w:tc>
                        <w:tcPr>
                          <w:tcW w:w="2889"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b/>
                              <w:bCs/>
                              <w:szCs w:val="24"/>
                            </w:rPr>
                          </w:pPr>
                          <w:r>
                            <w:rPr>
                              <w:b/>
                              <w:bCs/>
                              <w:szCs w:val="24"/>
                            </w:rPr>
                            <w:t xml:space="preserve">Veiklos ir (ar) išlaidos, kurioms taikomi </w:t>
                          </w:r>
                          <w:r>
                            <w:rPr>
                              <w:b/>
                              <w:bCs/>
                              <w:szCs w:val="24"/>
                            </w:rPr>
                            <w:t>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b/>
                              <w:bCs/>
                              <w:szCs w:val="24"/>
                            </w:rPr>
                          </w:pPr>
                          <w:r>
                            <w:rPr>
                              <w:b/>
                              <w:bCs/>
                              <w:szCs w:val="24"/>
                            </w:rPr>
                            <w:t>Papildoma informacija</w:t>
                          </w:r>
                        </w:p>
                      </w:tc>
                    </w:tr>
                    <w:tr w:rsidR="00E277C3">
                      <w:tc>
                        <w:tcPr>
                          <w:tcW w:w="2889" w:type="dxa"/>
                          <w:tcBorders>
                            <w:top w:val="single" w:sz="8" w:space="0" w:color="auto"/>
                            <w:left w:val="single" w:sz="8" w:space="0" w:color="auto"/>
                            <w:bottom w:val="single" w:sz="8" w:space="0" w:color="auto"/>
                            <w:right w:val="single" w:sz="8" w:space="0" w:color="auto"/>
                          </w:tcBorders>
                          <w:vAlign w:val="center"/>
                        </w:tcPr>
                        <w:p w:rsidR="00E277C3" w:rsidRDefault="00DD7E53">
                          <w:pPr>
                            <w:jc w:val="both"/>
                            <w:rPr>
                              <w:sz w:val="22"/>
                              <w:szCs w:val="22"/>
                            </w:rPr>
                          </w:pPr>
                          <w:r>
                            <w:rPr>
                              <w:sz w:val="22"/>
                              <w:szCs w:val="22"/>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i/>
                              <w:iCs/>
                              <w:sz w:val="22"/>
                              <w:szCs w:val="22"/>
                            </w:rPr>
                          </w:pPr>
                          <w:r>
                            <w:rPr>
                              <w:sz w:val="22"/>
                              <w:szCs w:val="22"/>
                            </w:rPr>
                            <w:t>Netiesioginės išlaidos sudaro iki 7 proc. tinkamų finansuoti tiesioginių projekto išlaidų.</w:t>
                          </w:r>
                        </w:p>
                      </w:tc>
                    </w:tr>
                    <w:tr w:rsidR="00E277C3">
                      <w:tc>
                        <w:tcPr>
                          <w:tcW w:w="2889" w:type="dxa"/>
                          <w:tcBorders>
                            <w:top w:val="single" w:sz="8" w:space="0" w:color="auto"/>
                            <w:left w:val="single" w:sz="8" w:space="0" w:color="auto"/>
                            <w:bottom w:val="single" w:sz="8" w:space="0" w:color="auto"/>
                            <w:right w:val="single" w:sz="8" w:space="0" w:color="auto"/>
                          </w:tcBorders>
                          <w:vAlign w:val="center"/>
                        </w:tcPr>
                        <w:p w:rsidR="00E277C3" w:rsidRDefault="00DD7E53">
                          <w:pPr>
                            <w:jc w:val="both"/>
                            <w:rPr>
                              <w:sz w:val="22"/>
                              <w:szCs w:val="22"/>
                            </w:rPr>
                          </w:pPr>
                          <w:r>
                            <w:rPr>
                              <w:sz w:val="22"/>
                              <w:szCs w:val="22"/>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FĮ-58-01</w:t>
                          </w:r>
                        </w:p>
                        <w:p w:rsidR="00E277C3" w:rsidRDefault="00E277C3">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Projekto dalyvio ir (arba) projektą vykdančio personalo tarpmiestinės kelionės išlaidų Lietuvoje fiksuotasis vieneto įkainis, apmokamas už nuvažiuotą 1 km, be PVM</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vAlign w:val="center"/>
                        </w:tcPr>
                        <w:p w:rsidR="00E277C3" w:rsidRDefault="00DD7E53">
                          <w:pPr>
                            <w:jc w:val="both"/>
                            <w:rPr>
                              <w:sz w:val="22"/>
                              <w:szCs w:val="22"/>
                            </w:rPr>
                          </w:pPr>
                          <w:r>
                            <w:rPr>
                              <w:sz w:val="22"/>
                              <w:szCs w:val="22"/>
                            </w:rPr>
                            <w:t xml:space="preserve">Projekto dalyvio ir (arba) projektą vykdančio personalo tarpmiestinės kelionės Lietuvoje </w:t>
                          </w:r>
                          <w:r>
                            <w:rPr>
                              <w:sz w:val="22"/>
                              <w:szCs w:val="22"/>
                            </w:rPr>
                            <w:t>atstumas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FĮ-58-02</w:t>
                          </w:r>
                        </w:p>
                        <w:p w:rsidR="00E277C3" w:rsidRDefault="00E277C3">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Projekto dalyvio ir (arba) projektą vykdančio personalo tarpmiestinės kelionės išlaidų Lietuvoje fiksuotasis vieneto įkainis, apmokamas už nuvažiuotą 1 km, su PVM</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vAlign w:val="center"/>
                        </w:tcPr>
                        <w:p w:rsidR="00E277C3" w:rsidRDefault="00DD7E53">
                          <w:pPr>
                            <w:jc w:val="both"/>
                            <w:rPr>
                              <w:sz w:val="22"/>
                              <w:szCs w:val="22"/>
                            </w:rPr>
                          </w:pPr>
                          <w:r>
                            <w:rPr>
                              <w:sz w:val="22"/>
                              <w:szCs w:val="22"/>
                            </w:rPr>
                            <w:t>Privalomos projektų matomumo ir informavimo apie projektus priemonės</w:t>
                          </w:r>
                        </w:p>
                        <w:p w:rsidR="00E277C3" w:rsidRDefault="00E277C3">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i/>
                              <w:iCs/>
                              <w:sz w:val="22"/>
                              <w:szCs w:val="22"/>
                            </w:rPr>
                          </w:pPr>
                          <w:r>
                            <w:rPr>
                              <w:i/>
                              <w:iCs/>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vAlign w:val="center"/>
                        </w:tcPr>
                        <w:p w:rsidR="00E277C3" w:rsidRDefault="00DD7E53">
                          <w:pPr>
                            <w:jc w:val="both"/>
                            <w:rPr>
                              <w:sz w:val="22"/>
                              <w:szCs w:val="22"/>
                            </w:rPr>
                          </w:pPr>
                          <w:r>
                            <w:rPr>
                              <w:sz w:val="22"/>
                              <w:szCs w:val="22"/>
                            </w:rPr>
                            <w:t>Privalomos projektų matomumo ir informavimo apie projektus priemonės</w:t>
                          </w:r>
                        </w:p>
                        <w:p w:rsidR="00E277C3" w:rsidRDefault="00E277C3">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 xml:space="preserve">Įgyvendintų privalomų </w:t>
                          </w:r>
                          <w:r>
                            <w:rPr>
                              <w:sz w:val="22"/>
                              <w:szCs w:val="22"/>
                            </w:rPr>
                            <w:t>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i/>
                              <w:iCs/>
                              <w:sz w:val="22"/>
                              <w:szCs w:val="22"/>
                            </w:rPr>
                          </w:pPr>
                          <w:r>
                            <w:rPr>
                              <w:i/>
                              <w:iCs/>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vAlign w:val="center"/>
                        </w:tcPr>
                        <w:p w:rsidR="00E277C3" w:rsidRDefault="00E277C3">
                          <w:pPr>
                            <w:rPr>
                              <w:sz w:val="22"/>
                              <w:szCs w:val="22"/>
                            </w:rPr>
                          </w:pPr>
                        </w:p>
                        <w:p w:rsidR="00E277C3" w:rsidRDefault="00DD7E53">
                          <w:pPr>
                            <w:jc w:val="both"/>
                            <w:rPr>
                              <w:sz w:val="22"/>
                              <w:szCs w:val="22"/>
                            </w:rPr>
                          </w:pPr>
                          <w:r>
                            <w:rPr>
                              <w:sz w:val="22"/>
                              <w:szCs w:val="22"/>
                            </w:rPr>
                            <w:t>Privalomos projektų matomumo ir informavimo apie projektus priemonės</w:t>
                          </w:r>
                        </w:p>
                        <w:p w:rsidR="00E277C3" w:rsidRDefault="00E277C3">
                          <w:pPr>
                            <w:rPr>
                              <w:sz w:val="22"/>
                              <w:szCs w:val="22"/>
                            </w:rPr>
                          </w:pPr>
                        </w:p>
                        <w:p w:rsidR="00E277C3" w:rsidRDefault="00E277C3">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Įgyvendintų privalomų matomumo ir informavimo priemonių a</w:t>
                          </w:r>
                          <w:r>
                            <w:rPr>
                              <w:sz w:val="22"/>
                              <w:szCs w:val="22"/>
                            </w:rPr>
                            <w:t>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i/>
                              <w:iCs/>
                              <w:sz w:val="22"/>
                              <w:szCs w:val="22"/>
                            </w:rPr>
                          </w:pPr>
                          <w:r>
                            <w:rPr>
                              <w:i/>
                              <w:iCs/>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vAlign w:val="center"/>
                        </w:tcPr>
                        <w:p w:rsidR="00E277C3" w:rsidRDefault="00E277C3">
                          <w:pPr>
                            <w:rPr>
                              <w:sz w:val="22"/>
                              <w:szCs w:val="22"/>
                            </w:rPr>
                          </w:pPr>
                        </w:p>
                        <w:p w:rsidR="00E277C3" w:rsidRDefault="00DD7E53">
                          <w:pPr>
                            <w:jc w:val="both"/>
                            <w:rPr>
                              <w:sz w:val="22"/>
                              <w:szCs w:val="22"/>
                            </w:rPr>
                          </w:pPr>
                          <w:r>
                            <w:rPr>
                              <w:sz w:val="22"/>
                              <w:szCs w:val="22"/>
                            </w:rPr>
                            <w:t>Privalomos projektų matomumo ir informavimo apie projektus priemonės</w:t>
                          </w:r>
                        </w:p>
                        <w:p w:rsidR="00E277C3" w:rsidRDefault="00E277C3">
                          <w:pPr>
                            <w:rPr>
                              <w:sz w:val="22"/>
                              <w:szCs w:val="22"/>
                            </w:rPr>
                          </w:pPr>
                        </w:p>
                        <w:p w:rsidR="00E277C3" w:rsidRDefault="00E277C3">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 xml:space="preserve">Įgyvendintų privalomų matomumo ir informavimo priemonių apie ES fondų investicijų veiklas </w:t>
                          </w:r>
                          <w:r>
                            <w:rPr>
                              <w:sz w:val="22"/>
                              <w:szCs w:val="22"/>
                            </w:rPr>
                            <w:t>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i/>
                              <w:iCs/>
                              <w:sz w:val="22"/>
                              <w:szCs w:val="22"/>
                            </w:rPr>
                          </w:pPr>
                          <w:r>
                            <w:rPr>
                              <w:i/>
                              <w:iCs/>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tcPr>
                        <w:p w:rsidR="00E277C3" w:rsidRDefault="00DD7E53">
                          <w:pPr>
                            <w:jc w:val="both"/>
                            <w:rPr>
                              <w:sz w:val="22"/>
                              <w:szCs w:val="22"/>
                            </w:rPr>
                          </w:pPr>
                          <w:r>
                            <w:rPr>
                              <w:sz w:val="22"/>
                              <w:szCs w:val="22"/>
                            </w:rPr>
                            <w:t xml:space="preserve">Projektą vykdančio personalo darbo užmokesčio išlaidų dalis per mėnesį, skirta kasmetinėms atostogoms, kuri apskaičiuojama nuo tinkamų finansuoti faktiškai patirtų darbo užmokesčio išlaidų už faktiškai dirbtą </w:t>
                          </w:r>
                          <w:r>
                            <w:rPr>
                              <w:sz w:val="22"/>
                              <w:szCs w:val="22"/>
                            </w:rPr>
                            <w:t>laiką</w:t>
                          </w:r>
                        </w:p>
                        <w:p w:rsidR="00E277C3" w:rsidRDefault="00E277C3">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E277C3">
                          <w:pPr>
                            <w:jc w:val="center"/>
                            <w:rPr>
                              <w:sz w:val="22"/>
                              <w:szCs w:val="22"/>
                            </w:rPr>
                          </w:pPr>
                        </w:p>
                        <w:p w:rsidR="00E277C3" w:rsidRDefault="00DD7E53">
                          <w:pPr>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E277C3">
                          <w:pPr>
                            <w:jc w:val="center"/>
                            <w:rPr>
                              <w:sz w:val="22"/>
                              <w:szCs w:val="22"/>
                            </w:rPr>
                          </w:pPr>
                        </w:p>
                        <w:p w:rsidR="00E277C3" w:rsidRDefault="00DD7E53">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Fiksuotoji norma, taikoma, kai priklauso 20 darbo dienų (toliau – d. d.) (jeigu dirbama 5 d. d. per savaitę) arba 24 d. d. (jeigu dirbama 6 d. d. per savaitę) kasmetinės atostogos</w:t>
                          </w:r>
                        </w:p>
                        <w:p w:rsidR="00E277C3" w:rsidRDefault="00E277C3">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tcPr>
                        <w:p w:rsidR="00E277C3" w:rsidRDefault="00DD7E53">
                          <w:pPr>
                            <w:jc w:val="both"/>
                            <w:rPr>
                              <w:sz w:val="22"/>
                              <w:szCs w:val="22"/>
                            </w:rPr>
                          </w:pPr>
                          <w:r>
                            <w:rPr>
                              <w:sz w:val="22"/>
                              <w:szCs w:val="22"/>
                            </w:rPr>
                            <w:t xml:space="preserve">Projektą vykdančio personalo darbo užmokesčio </w:t>
                          </w:r>
                          <w:r>
                            <w:rPr>
                              <w:sz w:val="22"/>
                              <w:szCs w:val="22"/>
                            </w:rPr>
                            <w:t>išlaidų dalis per mėnesį, skirta kasmetinėms atostogoms, kuri apskaičiuojama nuo tinkamų finansuoti faktiškai patirtų darbo užmokesčio išlaidų už faktiškai dirbtą laiką</w:t>
                          </w:r>
                        </w:p>
                        <w:p w:rsidR="00E277C3" w:rsidRDefault="00E277C3">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Fiksuotoji norma, taikoma, kai priklauso nuo 21 iki 25 d. d. (jeigu dirbam</w:t>
                          </w:r>
                          <w:r>
                            <w:rPr>
                              <w:sz w:val="22"/>
                              <w:szCs w:val="22"/>
                            </w:rPr>
                            <w:t>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tcPr>
                        <w:p w:rsidR="00E277C3" w:rsidRDefault="00DD7E53">
                          <w:pPr>
                            <w:jc w:val="both"/>
                            <w:rPr>
                              <w:sz w:val="22"/>
                              <w:szCs w:val="22"/>
                            </w:rPr>
                          </w:pPr>
                          <w:r>
                            <w:rPr>
                              <w:sz w:val="22"/>
                              <w:szCs w:val="22"/>
                            </w:rPr>
                            <w:t>Projektą vykdančio personalo darbo užmokesčio išlaidų dalis per mėnesį, skirta kasmetinėms atostogoms, kuri apskaičiuojama nuo tinkamų finansuoti fa</w:t>
                          </w:r>
                          <w:r>
                            <w:rPr>
                              <w:sz w:val="22"/>
                              <w:szCs w:val="22"/>
                            </w:rPr>
                            <w:t>ktiškai patirtų darbo užmokesčio išlaidų už faktiškai dirbtą laiką</w:t>
                          </w:r>
                        </w:p>
                        <w:p w:rsidR="00E277C3" w:rsidRDefault="00E277C3">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rPr>
                              <w:sz w:val="22"/>
                              <w:szCs w:val="22"/>
                            </w:rPr>
                          </w:pPr>
                        </w:p>
                        <w:p w:rsidR="00E277C3" w:rsidRDefault="00DD7E53">
                          <w:pPr>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rPr>
                              <w:sz w:val="22"/>
                              <w:szCs w:val="22"/>
                            </w:rPr>
                          </w:pPr>
                        </w:p>
                        <w:p w:rsidR="00E277C3" w:rsidRDefault="00DD7E53">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E277C3" w:rsidRDefault="00DD7E53">
                          <w:pPr>
                            <w:jc w:val="center"/>
                            <w:rPr>
                              <w:sz w:val="22"/>
                              <w:szCs w:val="22"/>
                            </w:rPr>
                          </w:pPr>
                          <w:r>
                            <w:rPr>
                              <w:sz w:val="22"/>
                              <w:szCs w:val="22"/>
                            </w:rPr>
                            <w:t>Fiksuotoji norma, taikoma, kai priklauso nuo 26 iki 30 d. d. (jeigu dirbama 5 d. d. per savaitę) arba nuo 31 iki 36 d. d. (jeigu dirbama 6 d. d. per savaitę) kasmetinės</w:t>
                          </w:r>
                          <w:r>
                            <w:rPr>
                              <w:sz w:val="22"/>
                              <w:szCs w:val="22"/>
                            </w:rPr>
                            <w:t xml:space="preserve"> atostogos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tcPr>
                        <w:p w:rsidR="00E277C3" w:rsidRDefault="00DD7E53">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rsidR="00E277C3" w:rsidRDefault="00E277C3">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rPr>
                              <w:sz w:val="22"/>
                              <w:szCs w:val="22"/>
                            </w:rPr>
                          </w:pPr>
                        </w:p>
                        <w:p w:rsidR="00E277C3" w:rsidRDefault="00DD7E53">
                          <w:pPr>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rPr>
                              <w:sz w:val="22"/>
                              <w:szCs w:val="22"/>
                            </w:rPr>
                          </w:pPr>
                        </w:p>
                        <w:p w:rsidR="00E277C3" w:rsidRDefault="00DD7E53">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E277C3" w:rsidRDefault="00DD7E53">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tcPr>
                        <w:p w:rsidR="00E277C3" w:rsidRDefault="00DD7E53">
                          <w:pPr>
                            <w:jc w:val="both"/>
                            <w:rPr>
                              <w:sz w:val="22"/>
                              <w:szCs w:val="22"/>
                            </w:rPr>
                          </w:pPr>
                          <w:r>
                            <w:rPr>
                              <w:sz w:val="22"/>
                              <w:szCs w:val="22"/>
                            </w:rPr>
                            <w:t>Projektą vykdančio personalo darbo užmokesčio išlaidų dalis per mėnesį, sk</w:t>
                          </w:r>
                          <w:r>
                            <w:rPr>
                              <w:sz w:val="22"/>
                              <w:szCs w:val="22"/>
                            </w:rPr>
                            <w:t>irta kasmetinėms atostogoms, kuri apskaičiuojama nuo tinkamų finansuoti faktiškai patirtų darbo užmokesčio išlaidų už faktiškai dirbtą laiką</w:t>
                          </w:r>
                        </w:p>
                        <w:p w:rsidR="00E277C3" w:rsidRDefault="00E277C3">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DD7E53">
                          <w:pPr>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DD7E53">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E277C3" w:rsidRDefault="00DD7E53">
                          <w:pPr>
                            <w:jc w:val="center"/>
                            <w:rPr>
                              <w:sz w:val="22"/>
                              <w:szCs w:val="22"/>
                            </w:rPr>
                          </w:pPr>
                          <w:r>
                            <w:rPr>
                              <w:sz w:val="22"/>
                              <w:szCs w:val="22"/>
                            </w:rPr>
                            <w:t xml:space="preserve">Fiksuotoji norma, taikoma, kai priklauso nuo 37 iki 39 d. d. (jeigu dirbama 5 d. d. per </w:t>
                          </w:r>
                          <w:r>
                            <w:rPr>
                              <w:sz w:val="22"/>
                              <w:szCs w:val="22"/>
                            </w:rPr>
                            <w:t>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DD7E53">
                          <w:pPr>
                            <w:jc w:val="center"/>
                            <w:rPr>
                              <w:sz w:val="22"/>
                              <w:szCs w:val="22"/>
                            </w:rPr>
                          </w:pPr>
                          <w:r>
                            <w:rPr>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tcPr>
                        <w:p w:rsidR="00E277C3" w:rsidRDefault="00DD7E53">
                          <w:pPr>
                            <w:jc w:val="both"/>
                            <w:rPr>
                              <w:sz w:val="22"/>
                              <w:szCs w:val="22"/>
                            </w:rPr>
                          </w:pPr>
                          <w:r>
                            <w:rPr>
                              <w:sz w:val="22"/>
                              <w:szCs w:val="22"/>
                            </w:rPr>
                            <w:t>Projektą vykdančio personalo darbo užmokesčio išlaidų dalis per mėnesį, skirta kasmetinėms atostogoms, kuri apskaičiuojama nuo tinkamų finansuoti faktiškai pa</w:t>
                          </w:r>
                          <w:r>
                            <w:rPr>
                              <w:sz w:val="22"/>
                              <w:szCs w:val="22"/>
                            </w:rPr>
                            <w:t>tirtų darbo užmokesčio išlaidų už faktiškai dirbtą laiką</w:t>
                          </w:r>
                        </w:p>
                        <w:p w:rsidR="00E277C3" w:rsidRDefault="00E277C3">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rPr>
                              <w:sz w:val="22"/>
                              <w:szCs w:val="22"/>
                            </w:rPr>
                          </w:pPr>
                        </w:p>
                        <w:p w:rsidR="00E277C3" w:rsidRDefault="00DD7E53">
                          <w:pPr>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rPr>
                              <w:sz w:val="22"/>
                              <w:szCs w:val="22"/>
                            </w:rPr>
                          </w:pPr>
                        </w:p>
                        <w:p w:rsidR="00E277C3" w:rsidRDefault="00DD7E53">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E277C3" w:rsidRDefault="00DD7E53">
                          <w:pPr>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w:t>
                          </w:r>
                        </w:p>
                      </w:tc>
                    </w:tr>
                    <w:tr w:rsidR="00E277C3">
                      <w:tc>
                        <w:tcPr>
                          <w:tcW w:w="2889" w:type="dxa"/>
                          <w:tcBorders>
                            <w:top w:val="single" w:sz="8" w:space="0" w:color="auto"/>
                            <w:left w:val="single" w:sz="8" w:space="0" w:color="auto"/>
                            <w:bottom w:val="single" w:sz="8" w:space="0" w:color="auto"/>
                            <w:right w:val="single" w:sz="8" w:space="0" w:color="auto"/>
                          </w:tcBorders>
                        </w:tcPr>
                        <w:p w:rsidR="00E277C3" w:rsidRDefault="00DD7E53">
                          <w:pPr>
                            <w:jc w:val="both"/>
                            <w:rPr>
                              <w:sz w:val="22"/>
                              <w:szCs w:val="22"/>
                            </w:rPr>
                          </w:pPr>
                          <w:r>
                            <w:rPr>
                              <w:sz w:val="22"/>
                              <w:szCs w:val="22"/>
                            </w:rPr>
                            <w:t>Projektą vykdančio</w:t>
                          </w:r>
                          <w:r>
                            <w:rPr>
                              <w:sz w:val="22"/>
                              <w:szCs w:val="22"/>
                            </w:rPr>
                            <w:t xml:space="preserve"> personalo darbo užmokesčio išlaidų dalis per mėnesį, skirta kasmetinėms atostogoms, kuri apskaičiuojama nuo tinkamų finansuoti faktiškai patirtų darbo užmokesčio išlaidų už faktiškai dirbtą laiką</w:t>
                          </w:r>
                        </w:p>
                        <w:p w:rsidR="00E277C3" w:rsidRDefault="00E277C3">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rPr>
                              <w:sz w:val="22"/>
                              <w:szCs w:val="22"/>
                            </w:rPr>
                          </w:pPr>
                        </w:p>
                        <w:p w:rsidR="00E277C3" w:rsidRDefault="00DD7E53">
                          <w:pPr>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rsidR="00E277C3" w:rsidRDefault="00E277C3">
                          <w:pPr>
                            <w:jc w:val="center"/>
                            <w:rPr>
                              <w:sz w:val="22"/>
                              <w:szCs w:val="22"/>
                            </w:rPr>
                          </w:pPr>
                        </w:p>
                        <w:p w:rsidR="00E277C3" w:rsidRDefault="00E277C3">
                          <w:pPr>
                            <w:jc w:val="center"/>
                            <w:rPr>
                              <w:sz w:val="22"/>
                              <w:szCs w:val="22"/>
                            </w:rPr>
                          </w:pPr>
                        </w:p>
                        <w:p w:rsidR="00E277C3" w:rsidRDefault="00E277C3">
                          <w:pPr>
                            <w:jc w:val="center"/>
                            <w:rPr>
                              <w:sz w:val="22"/>
                              <w:szCs w:val="22"/>
                            </w:rPr>
                          </w:pPr>
                        </w:p>
                        <w:p w:rsidR="00E277C3" w:rsidRDefault="00E277C3">
                          <w:pPr>
                            <w:rPr>
                              <w:sz w:val="22"/>
                              <w:szCs w:val="22"/>
                            </w:rPr>
                          </w:pPr>
                        </w:p>
                        <w:p w:rsidR="00E277C3" w:rsidRDefault="00DD7E53">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E277C3" w:rsidRDefault="00DD7E53">
                          <w:pPr>
                            <w:jc w:val="center"/>
                            <w:rPr>
                              <w:sz w:val="22"/>
                              <w:szCs w:val="22"/>
                            </w:rPr>
                          </w:pPr>
                          <w:r>
                            <w:rPr>
                              <w:sz w:val="22"/>
                              <w:szCs w:val="22"/>
                            </w:rPr>
                            <w:t xml:space="preserve">Fiksuotoji norma, taikoma, kai </w:t>
                          </w:r>
                          <w:r>
                            <w:rPr>
                              <w:sz w:val="22"/>
                              <w:szCs w:val="22"/>
                            </w:rPr>
                            <w:t>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rsidR="00E277C3" w:rsidRDefault="00DD7E53">
                          <w:pPr>
                            <w:jc w:val="center"/>
                            <w:rPr>
                              <w:sz w:val="22"/>
                              <w:szCs w:val="22"/>
                            </w:rPr>
                          </w:pPr>
                          <w:r>
                            <w:rPr>
                              <w:sz w:val="22"/>
                              <w:szCs w:val="22"/>
                            </w:rPr>
                            <w:t>-</w:t>
                          </w:r>
                        </w:p>
                      </w:tc>
                    </w:tr>
                  </w:tbl>
                  <w:p w:rsidR="00E277C3" w:rsidRDefault="00E277C3">
                    <w:pPr>
                      <w:jc w:val="both"/>
                      <w:rPr>
                        <w:sz w:val="22"/>
                        <w:szCs w:val="22"/>
                      </w:rPr>
                    </w:pPr>
                  </w:p>
                </w:tc>
              </w:tr>
            </w:tbl>
            <w:p w:rsidR="00E277C3" w:rsidRDefault="00DD7E53">
              <w:pPr>
                <w:tabs>
                  <w:tab w:val="center" w:pos="4986"/>
                  <w:tab w:val="right" w:pos="9972"/>
                </w:tabs>
                <w:jc w:val="center"/>
              </w:pPr>
              <w:r>
                <w:rPr>
                  <w:rFonts w:eastAsia="Calibri"/>
                  <w:szCs w:val="24"/>
                </w:rPr>
                <w:t>____________</w:t>
              </w:r>
            </w:p>
            <w:p w:rsidR="00E277C3" w:rsidRDefault="00E277C3">
              <w:pPr>
                <w:ind w:left="10206"/>
                <w:jc w:val="both"/>
                <w:rPr>
                  <w:szCs w:val="24"/>
                </w:rPr>
              </w:pPr>
            </w:p>
            <w:p w:rsidR="00E277C3" w:rsidRDefault="00E277C3">
              <w:pPr>
                <w:ind w:left="10206"/>
                <w:jc w:val="both"/>
                <w:rPr>
                  <w:szCs w:val="24"/>
                </w:rPr>
              </w:pPr>
            </w:p>
            <w:p w:rsidR="00E277C3" w:rsidRDefault="00DD7E53">
              <w:pPr>
                <w:rPr>
                  <w:szCs w:val="24"/>
                </w:rPr>
              </w:pPr>
              <w:r>
                <w:rPr>
                  <w:szCs w:val="24"/>
                </w:rPr>
                <w:br w:type="page"/>
              </w:r>
            </w:p>
            <w:p w:rsidR="00E277C3" w:rsidRDefault="00E277C3">
              <w:pPr>
                <w:ind w:left="10206"/>
                <w:jc w:val="both"/>
                <w:rPr>
                  <w:szCs w:val="24"/>
                </w:rPr>
                <w:sectPr w:rsidR="00E277C3">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E277C3" w:rsidRDefault="00DD7E53">
              <w:pPr>
                <w:tabs>
                  <w:tab w:val="center" w:pos="4819"/>
                  <w:tab w:val="right" w:pos="9638"/>
                </w:tabs>
              </w:pPr>
            </w:p>
          </w:sdtContent>
        </w:sdt>
      </w:sdtContent>
    </w:sdt>
    <w:sdt>
      <w:sdtPr>
        <w:alias w:val="1 pr."/>
        <w:tag w:val="part_01708aa1e73b4e369a36b44924878774"/>
        <w:id w:val="-2097150950"/>
        <w:lock w:val="sdtLocked"/>
      </w:sdtPr>
      <w:sdtEndPr/>
      <w:sdtContent>
        <w:p w:rsidR="00E277C3" w:rsidRDefault="00DD7E53">
          <w:pPr>
            <w:ind w:left="10206"/>
            <w:jc w:val="both"/>
            <w:rPr>
              <w:szCs w:val="24"/>
            </w:rPr>
          </w:pPr>
          <w:r>
            <w:rPr>
              <w:szCs w:val="24"/>
            </w:rPr>
            <w:t xml:space="preserve">10 priedo „2022–2030 m. plėtros programos </w:t>
          </w:r>
          <w:r>
            <w:rPr>
              <w:szCs w:val="24"/>
            </w:rPr>
            <w:t>valdytojos Lietuvos Respublikos švietimo, mokslo ir sporto ministerijos mokslo plėtros programos pažangos priemonės Nr. 12-001-01-02-01 „Stiprinti inovacijų ekosistemas mokslo centruose“ projektų finansavimo sąlygų aprašo Nr. 10“</w:t>
          </w:r>
        </w:p>
        <w:p w:rsidR="00E277C3" w:rsidRDefault="00DD7E53">
          <w:pPr>
            <w:ind w:left="10206"/>
            <w:jc w:val="both"/>
            <w:rPr>
              <w:szCs w:val="24"/>
            </w:rPr>
          </w:pPr>
          <w:sdt>
            <w:sdtPr>
              <w:alias w:val="Numeris"/>
              <w:tag w:val="nr_01708aa1e73b4e369a36b44924878774"/>
              <w:id w:val="1191798284"/>
              <w:lock w:val="sdtLocked"/>
            </w:sdtPr>
            <w:sdtEndPr/>
            <w:sdtContent>
              <w:r>
                <w:rPr>
                  <w:szCs w:val="24"/>
                </w:rPr>
                <w:t>1</w:t>
              </w:r>
            </w:sdtContent>
          </w:sdt>
          <w:r>
            <w:rPr>
              <w:szCs w:val="24"/>
            </w:rPr>
            <w:t xml:space="preserve"> priedas</w:t>
          </w:r>
        </w:p>
        <w:p w:rsidR="00E277C3" w:rsidRDefault="00E277C3">
          <w:pPr>
            <w:jc w:val="center"/>
            <w:rPr>
              <w:rFonts w:eastAsia="Calibri"/>
              <w:b/>
              <w:bCs/>
              <w:szCs w:val="24"/>
            </w:rPr>
          </w:pPr>
        </w:p>
        <w:p w:rsidR="00E277C3" w:rsidRDefault="00E277C3">
          <w:pPr>
            <w:jc w:val="center"/>
            <w:rPr>
              <w:rFonts w:eastAsia="Calibri"/>
              <w:b/>
              <w:bCs/>
              <w:szCs w:val="24"/>
            </w:rPr>
          </w:pPr>
        </w:p>
        <w:p w:rsidR="00E277C3" w:rsidRDefault="00DD7E53">
          <w:pPr>
            <w:jc w:val="center"/>
            <w:rPr>
              <w:rFonts w:eastAsia="Calibri"/>
              <w:b/>
              <w:bCs/>
            </w:rPr>
          </w:pPr>
          <w:sdt>
            <w:sdtPr>
              <w:alias w:val="Pavadinimas"/>
              <w:tag w:val="title_01708aa1e73b4e369a36b44924878774"/>
              <w:id w:val="885533043"/>
              <w:lock w:val="sdtLocked"/>
            </w:sdtPr>
            <w:sdtEndPr/>
            <w:sdtContent>
              <w:r>
                <w:rPr>
                  <w:rFonts w:eastAsia="Calibri"/>
                  <w:b/>
                  <w:bCs/>
                </w:rPr>
                <w:t>PROJEKTO (ĮS</w:t>
              </w:r>
              <w:r>
                <w:rPr>
                  <w:rFonts w:eastAsia="Calibri"/>
                  <w:b/>
                  <w:bCs/>
                </w:rPr>
                <w:t>KAITANT JUNGTINĮ PROJEKTĄ) ATITIKTIES REIKŠMINGOS ŽALOS NEDARYMO HORIZONTALIAJAM PRINCIPUI VERTINIMO REIKALAVIMŲ APRAŠAS</w:t>
              </w:r>
            </w:sdtContent>
          </w:sdt>
        </w:p>
        <w:p w:rsidR="00E277C3" w:rsidRDefault="00E277C3">
          <w:pPr>
            <w:jc w:val="center"/>
            <w:rPr>
              <w:rFonts w:eastAsia="Calibri"/>
              <w:b/>
              <w:bCs/>
              <w:szCs w:val="24"/>
            </w:rPr>
          </w:pPr>
        </w:p>
        <w:p w:rsidR="00E277C3" w:rsidRDefault="00DD7E5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E277C3" w:rsidRDefault="00DD7E53">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 xml:space="preserve">Ekonomikos gaivinimo ir atsparumo didinimo </w:t>
          </w:r>
          <w:r>
            <w:rPr>
              <w:rFonts w:eastAsia="Calibri"/>
              <w:bCs/>
              <w:szCs w:val="24"/>
            </w:rPr>
            <w:t>priemonė (toliau – EGADP)</w:t>
          </w:r>
        </w:p>
        <w:p w:rsidR="00E277C3" w:rsidRDefault="00DD7E53">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E277C3">
            <w:tc>
              <w:tcPr>
                <w:tcW w:w="4885" w:type="dxa"/>
              </w:tcPr>
              <w:p w:rsidR="00E277C3" w:rsidRDefault="00DD7E53">
                <w:pPr>
                  <w:jc w:val="center"/>
                  <w:rPr>
                    <w:rFonts w:eastAsia="Calibri"/>
                    <w:b/>
                    <w:szCs w:val="24"/>
                  </w:rPr>
                </w:pPr>
                <w:r>
                  <w:rPr>
                    <w:rFonts w:eastAsia="Calibri"/>
                    <w:b/>
                    <w:szCs w:val="24"/>
                  </w:rPr>
                  <w:t>Aplinkos tikslai</w:t>
                </w:r>
              </w:p>
              <w:p w:rsidR="00E277C3" w:rsidRDefault="00DD7E53">
                <w:pPr>
                  <w:jc w:val="both"/>
                  <w:rPr>
                    <w:rFonts w:eastAsia="Calibri"/>
                    <w:b/>
                    <w:szCs w:val="24"/>
                  </w:rPr>
                </w:pPr>
                <w:r>
                  <w:rPr>
                    <w:rFonts w:eastAsia="Calibri"/>
                    <w:szCs w:val="24"/>
                  </w:rPr>
                  <w:t>(pagal 2020 m. birželio 18 d. Europos Parlamento ir Tarybos reglamentą (ES) Nr. 2020/852 dėl sistemos tvariam investavimui palengvinti sukūrimo, kuriuo</w:t>
                </w:r>
                <w:r>
                  <w:rPr>
                    <w:rFonts w:eastAsia="Calibri"/>
                    <w:szCs w:val="24"/>
                  </w:rPr>
                  <w:t xml:space="preserve"> iš dalies keičiamas Reglamentas (ES) Nr. 2019/2088)</w:t>
                </w:r>
              </w:p>
            </w:tc>
            <w:tc>
              <w:tcPr>
                <w:tcW w:w="4633" w:type="dxa"/>
              </w:tcPr>
              <w:p w:rsidR="00E277C3" w:rsidRDefault="00DD7E53">
                <w:pPr>
                  <w:jc w:val="center"/>
                  <w:rPr>
                    <w:rFonts w:eastAsia="Calibri"/>
                    <w:b/>
                    <w:szCs w:val="24"/>
                  </w:rPr>
                </w:pPr>
                <w:r>
                  <w:rPr>
                    <w:rFonts w:eastAsia="Calibri"/>
                    <w:b/>
                    <w:szCs w:val="24"/>
                  </w:rPr>
                  <w:t>Pagrindimas</w:t>
                </w:r>
              </w:p>
              <w:p w:rsidR="00E277C3" w:rsidRDefault="00DD7E53">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rsidR="00E277C3" w:rsidRDefault="00DD7E53">
                <w:pPr>
                  <w:jc w:val="center"/>
                  <w:rPr>
                    <w:rFonts w:eastAsia="Calibri"/>
                    <w:i/>
                    <w:sz w:val="20"/>
                  </w:rPr>
                </w:pPr>
                <w:r>
                  <w:rPr>
                    <w:rFonts w:eastAsia="Calibri"/>
                    <w:b/>
                    <w:szCs w:val="24"/>
                  </w:rPr>
                  <w:t>Pagrindimo dokumentai</w:t>
                </w:r>
              </w:p>
              <w:p w:rsidR="00E277C3" w:rsidRDefault="00DD7E53">
                <w:pPr>
                  <w:jc w:val="both"/>
                  <w:rPr>
                    <w:rFonts w:eastAsia="Calibri"/>
                    <w:i/>
                    <w:szCs w:val="24"/>
                  </w:rPr>
                </w:pPr>
                <w:r>
                  <w:rPr>
                    <w:rFonts w:eastAsia="Calibri"/>
                    <w:i/>
                    <w:szCs w:val="24"/>
                  </w:rPr>
                  <w:t>(nurodomas dokumentas, kuris bus ver</w:t>
                </w:r>
                <w:r>
                  <w:rPr>
                    <w:rFonts w:eastAsia="Calibri"/>
                    <w:i/>
                    <w:szCs w:val="24"/>
                  </w:rPr>
                  <w:t>tinamas siekiant įvertinti projekto atitiktį aplinkos tikslams, arba pateikiama šią atitiktį pagrindžianti informacija)</w:t>
                </w:r>
              </w:p>
            </w:tc>
          </w:tr>
          <w:tr w:rsidR="00E277C3">
            <w:tc>
              <w:tcPr>
                <w:tcW w:w="4885" w:type="dxa"/>
              </w:tcPr>
              <w:p w:rsidR="00E277C3" w:rsidRDefault="00DD7E5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E277C3" w:rsidRDefault="00DD7E53">
                <w:pPr>
                  <w:spacing w:line="259" w:lineRule="auto"/>
                  <w:jc w:val="both"/>
                  <w:rPr>
                    <w:rFonts w:eastAsia="Calibri"/>
                    <w:bCs/>
                    <w:i/>
                    <w:szCs w:val="22"/>
                  </w:rPr>
                </w:pPr>
                <w:r>
                  <w:rPr>
                    <w:rFonts w:eastAsia="Calibri"/>
                    <w:bCs/>
                    <w:sz w:val="22"/>
                    <w:szCs w:val="22"/>
                  </w:rPr>
                  <w:t>Planuojama įgyvendinti veikla neturi jokio numatomo poveikio šiam aplinkos tikslui arba numatomas jos pov</w:t>
                </w:r>
                <w:r>
                  <w:rPr>
                    <w:rFonts w:eastAsia="Calibri"/>
                    <w:bCs/>
                    <w:sz w:val="22"/>
                    <w:szCs w:val="22"/>
                  </w:rPr>
                  <w:t xml:space="preserve">eikis yra nereikšmingas, t. y. nedaro tiesioginio ir pirminio netiesioginio poveikio per visą gyvavimo ciklą, todėl laikoma, kad ji atitinka klimato kaitos švelninimo tikslą. </w:t>
                </w:r>
              </w:p>
              <w:p w:rsidR="00E277C3" w:rsidRDefault="00E277C3">
                <w:pPr>
                  <w:jc w:val="both"/>
                  <w:rPr>
                    <w:sz w:val="14"/>
                    <w:szCs w:val="14"/>
                  </w:rPr>
                </w:pPr>
              </w:p>
              <w:p w:rsidR="00E277C3" w:rsidRDefault="00E277C3">
                <w:pPr>
                  <w:jc w:val="both"/>
                  <w:rPr>
                    <w:rFonts w:eastAsia="Calibri"/>
                    <w:bCs/>
                    <w:i/>
                    <w:sz w:val="20"/>
                  </w:rPr>
                </w:pPr>
              </w:p>
            </w:tc>
            <w:tc>
              <w:tcPr>
                <w:tcW w:w="5331" w:type="dxa"/>
              </w:tcPr>
              <w:p w:rsidR="00E277C3" w:rsidRDefault="00DD7E53">
                <w:pPr>
                  <w:tabs>
                    <w:tab w:val="left" w:pos="589"/>
                  </w:tabs>
                  <w:jc w:val="both"/>
                  <w:rPr>
                    <w:rFonts w:eastAsia="Calibri"/>
                    <w:szCs w:val="22"/>
                  </w:rPr>
                </w:pPr>
                <w:r>
                  <w:rPr>
                    <w:rFonts w:eastAsia="Calibri"/>
                    <w:sz w:val="22"/>
                    <w:szCs w:val="22"/>
                  </w:rPr>
                  <w:t>Projekto vykdytojo deklaracija.</w:t>
                </w:r>
              </w:p>
              <w:p w:rsidR="00E277C3" w:rsidRDefault="00E277C3">
                <w:pPr>
                  <w:tabs>
                    <w:tab w:val="left" w:pos="589"/>
                  </w:tabs>
                  <w:jc w:val="both"/>
                  <w:rPr>
                    <w:rFonts w:eastAsia="Calibri"/>
                    <w:i/>
                    <w:sz w:val="20"/>
                  </w:rPr>
                </w:pPr>
              </w:p>
            </w:tc>
          </w:tr>
          <w:tr w:rsidR="00E277C3">
            <w:tc>
              <w:tcPr>
                <w:tcW w:w="4885" w:type="dxa"/>
              </w:tcPr>
              <w:p w:rsidR="00E277C3" w:rsidRDefault="00DD7E53">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E277C3" w:rsidRDefault="00DD7E53">
                <w:pPr>
                  <w:jc w:val="both"/>
                  <w:rPr>
                    <w:rFonts w:eastAsia="Calibri"/>
                    <w:bCs/>
                    <w:szCs w:val="24"/>
                  </w:rPr>
                </w:pPr>
                <w:r>
                  <w:rPr>
                    <w:rFonts w:eastAsia="Calibri"/>
                    <w:bCs/>
                    <w:sz w:val="22"/>
                    <w:szCs w:val="22"/>
                  </w:rPr>
                  <w:t xml:space="preserve">Nenumatoma, kad planuojamos įgyvendinti veiklos turės neigiamos įtakos prisitaikymui prie klimato kaitos, kadangi nebus investicijų į infrastruktūros atnaujinimą. </w:t>
                </w:r>
              </w:p>
            </w:tc>
            <w:tc>
              <w:tcPr>
                <w:tcW w:w="5331" w:type="dxa"/>
              </w:tcPr>
              <w:p w:rsidR="00E277C3" w:rsidRDefault="00DD7E53">
                <w:pPr>
                  <w:jc w:val="both"/>
                  <w:rPr>
                    <w:rFonts w:eastAsia="Calibri"/>
                    <w:b/>
                    <w:szCs w:val="24"/>
                  </w:rPr>
                </w:pPr>
                <w:r>
                  <w:rPr>
                    <w:rFonts w:eastAsia="Calibri"/>
                    <w:sz w:val="22"/>
                    <w:szCs w:val="22"/>
                  </w:rPr>
                  <w:t>Projekto vykdytojo deklaracija.</w:t>
                </w:r>
              </w:p>
            </w:tc>
          </w:tr>
          <w:tr w:rsidR="00E277C3">
            <w:tc>
              <w:tcPr>
                <w:tcW w:w="4885" w:type="dxa"/>
              </w:tcPr>
              <w:p w:rsidR="00E277C3" w:rsidRDefault="00DD7E53">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rsidR="00E277C3" w:rsidRDefault="00DD7E53">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w:t>
                </w:r>
                <w:r>
                  <w:rPr>
                    <w:rFonts w:eastAsia="Calibri"/>
                    <w:sz w:val="22"/>
                    <w:szCs w:val="22"/>
                  </w:rPr>
                  <w:t>usaus vandens ir jūrų išteklių naudojimo ir apsaugos tikslą. Nenumatoma infrastruktūrą kurti šalia vandens telkinių, kas galėtų turėti įtakos tausiam vandens ir jūrų išteklių naudojimui.</w:t>
                </w:r>
              </w:p>
            </w:tc>
            <w:tc>
              <w:tcPr>
                <w:tcW w:w="5331" w:type="dxa"/>
              </w:tcPr>
              <w:p w:rsidR="00E277C3" w:rsidRDefault="00DD7E53">
                <w:pPr>
                  <w:jc w:val="both"/>
                  <w:rPr>
                    <w:rFonts w:eastAsia="Calibri"/>
                    <w:bCs/>
                    <w:szCs w:val="24"/>
                  </w:rPr>
                </w:pPr>
                <w:r>
                  <w:rPr>
                    <w:rFonts w:eastAsia="Calibri"/>
                    <w:bCs/>
                    <w:sz w:val="22"/>
                    <w:szCs w:val="22"/>
                  </w:rPr>
                  <w:t>Projekto vykdytojo deklaracija.</w:t>
                </w:r>
              </w:p>
            </w:tc>
          </w:tr>
          <w:tr w:rsidR="00E277C3">
            <w:tc>
              <w:tcPr>
                <w:tcW w:w="4885" w:type="dxa"/>
              </w:tcPr>
              <w:p w:rsidR="00E277C3" w:rsidRDefault="00DD7E53">
                <w:pPr>
                  <w:tabs>
                    <w:tab w:val="left" w:pos="289"/>
                  </w:tabs>
                  <w:ind w:firstLine="5"/>
                  <w:jc w:val="both"/>
                  <w:rPr>
                    <w:rFonts w:eastAsia="Calibri"/>
                    <w:szCs w:val="24"/>
                  </w:rPr>
                </w:pPr>
                <w:r>
                  <w:rPr>
                    <w:rFonts w:eastAsia="Calibri"/>
                    <w:szCs w:val="24"/>
                  </w:rPr>
                  <w:t>4.</w:t>
                </w:r>
                <w:r>
                  <w:rPr>
                    <w:rFonts w:eastAsia="Calibri"/>
                    <w:szCs w:val="24"/>
                  </w:rPr>
                  <w:tab/>
                  <w:t>Perėjimas prie žiedinės ekonomiko</w:t>
                </w:r>
                <w:r>
                  <w:rPr>
                    <w:rFonts w:eastAsia="Calibri"/>
                    <w:szCs w:val="24"/>
                  </w:rPr>
                  <w:t>s, įskaitant atliekų prevenciją ir perdirbimą</w:t>
                </w:r>
              </w:p>
            </w:tc>
            <w:tc>
              <w:tcPr>
                <w:tcW w:w="4633" w:type="dxa"/>
              </w:tcPr>
              <w:p w:rsidR="00E277C3" w:rsidRDefault="00DD7E53">
                <w:pPr>
                  <w:spacing w:line="259" w:lineRule="auto"/>
                  <w:jc w:val="both"/>
                  <w:rPr>
                    <w:rFonts w:eastAsia="Calibri"/>
                    <w:bCs/>
                    <w:szCs w:val="24"/>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laikoma, kad jos atitinka žiedinė</w:t>
                </w:r>
                <w:r>
                  <w:rPr>
                    <w:rFonts w:eastAsia="Calibri"/>
                    <w:bCs/>
                    <w:sz w:val="22"/>
                    <w:szCs w:val="22"/>
                  </w:rPr>
                  <w:t xml:space="preserve">s ekonomikos, įskaitant atliekų prevenciją ir perdirbimą, tikslą. </w:t>
                </w:r>
              </w:p>
            </w:tc>
            <w:tc>
              <w:tcPr>
                <w:tcW w:w="5331" w:type="dxa"/>
              </w:tcPr>
              <w:p w:rsidR="00E277C3" w:rsidRDefault="00DD7E53">
                <w:pPr>
                  <w:jc w:val="both"/>
                  <w:rPr>
                    <w:rFonts w:eastAsia="Calibri"/>
                    <w:szCs w:val="24"/>
                  </w:rPr>
                </w:pPr>
                <w:r>
                  <w:rPr>
                    <w:rFonts w:eastAsia="Calibri"/>
                    <w:sz w:val="22"/>
                    <w:szCs w:val="22"/>
                  </w:rPr>
                  <w:t>Projekto vykdytojo deklaracija.</w:t>
                </w:r>
              </w:p>
            </w:tc>
          </w:tr>
          <w:tr w:rsidR="00E277C3">
            <w:tc>
              <w:tcPr>
                <w:tcW w:w="4885" w:type="dxa"/>
              </w:tcPr>
              <w:p w:rsidR="00E277C3" w:rsidRDefault="00DD7E53">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E277C3" w:rsidRDefault="00DD7E53">
                <w:pPr>
                  <w:spacing w:line="259" w:lineRule="auto"/>
                  <w:jc w:val="both"/>
                  <w:rPr>
                    <w:rFonts w:eastAsia="Calibri"/>
                    <w:szCs w:val="22"/>
                  </w:rPr>
                </w:pPr>
                <w:r>
                  <w:rPr>
                    <w:rFonts w:eastAsia="Calibri"/>
                    <w:sz w:val="22"/>
                    <w:szCs w:val="22"/>
                  </w:rPr>
                  <w:t>Planuojamos įgyvendinti veiklos neturi jokio numatomo poveikio šiam aplinkos tikslui arba numatomas j</w:t>
                </w:r>
                <w:r>
                  <w:rPr>
                    <w:rFonts w:eastAsia="Calibri"/>
                    <w:sz w:val="22"/>
                    <w:szCs w:val="22"/>
                  </w:rPr>
                  <w:t>os poveikis yra nereikšmingas, t. y. nedaro tiesioginio ir pirminio netiesioginio poveikio per visą gyvavimo ciklą, todėl laikoma, kad veiklos atitinka oro, vandens ar žemės taršos prevencijos ir kontrolės tikslą.</w:t>
                </w:r>
              </w:p>
              <w:p w:rsidR="00E277C3" w:rsidRDefault="00E277C3">
                <w:pPr>
                  <w:jc w:val="both"/>
                  <w:rPr>
                    <w:sz w:val="14"/>
                    <w:szCs w:val="14"/>
                  </w:rPr>
                </w:pPr>
              </w:p>
              <w:p w:rsidR="00E277C3" w:rsidRDefault="00E277C3">
                <w:pPr>
                  <w:jc w:val="both"/>
                  <w:rPr>
                    <w:sz w:val="14"/>
                    <w:szCs w:val="14"/>
                  </w:rPr>
                </w:pPr>
              </w:p>
              <w:p w:rsidR="00E277C3" w:rsidRDefault="00DD7E53">
                <w:pPr>
                  <w:spacing w:line="259" w:lineRule="auto"/>
                  <w:jc w:val="both"/>
                  <w:rPr>
                    <w:rFonts w:eastAsia="Calibri"/>
                    <w:b/>
                    <w:szCs w:val="24"/>
                  </w:rPr>
                </w:pPr>
                <w:r>
                  <w:rPr>
                    <w:rFonts w:eastAsia="Calibri"/>
                    <w:sz w:val="22"/>
                    <w:szCs w:val="22"/>
                  </w:rPr>
                  <w:t>Vertinama, kad investicijos atitinka tau</w:t>
                </w:r>
                <w:r>
                  <w:rPr>
                    <w:rFonts w:eastAsia="Calibri"/>
                    <w:sz w:val="22"/>
                    <w:szCs w:val="22"/>
                  </w:rPr>
                  <w:t>saus vandens ir jūrų išteklių naudojimo ir apsaugos tikslą, nes įgyvendinant veiklas, nenumatoma, kad bus daroma žala vandens ir jūrų ištekliams.</w:t>
                </w:r>
              </w:p>
            </w:tc>
            <w:tc>
              <w:tcPr>
                <w:tcW w:w="5331" w:type="dxa"/>
              </w:tcPr>
              <w:p w:rsidR="00E277C3" w:rsidRDefault="00DD7E53">
                <w:pPr>
                  <w:jc w:val="both"/>
                  <w:rPr>
                    <w:rFonts w:eastAsia="Calibri"/>
                    <w:szCs w:val="24"/>
                  </w:rPr>
                </w:pPr>
                <w:r>
                  <w:rPr>
                    <w:rFonts w:eastAsia="Calibri"/>
                    <w:sz w:val="22"/>
                    <w:szCs w:val="22"/>
                  </w:rPr>
                  <w:t>Projekto vykdytojo deklaracija.</w:t>
                </w:r>
              </w:p>
            </w:tc>
          </w:tr>
          <w:tr w:rsidR="00E277C3">
            <w:tc>
              <w:tcPr>
                <w:tcW w:w="4885" w:type="dxa"/>
              </w:tcPr>
              <w:p w:rsidR="00E277C3" w:rsidRDefault="00DD7E53">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E277C3" w:rsidRDefault="00DD7E53">
                <w:pPr>
                  <w:spacing w:line="259" w:lineRule="auto"/>
                  <w:jc w:val="both"/>
                  <w:rPr>
                    <w:rFonts w:eastAsia="Calibri"/>
                    <w:szCs w:val="22"/>
                  </w:rPr>
                </w:pPr>
                <w:r>
                  <w:rPr>
                    <w:rFonts w:eastAsia="Calibri"/>
                    <w:sz w:val="22"/>
                    <w:szCs w:val="22"/>
                  </w:rPr>
                  <w:t xml:space="preserve">Planuojamos </w:t>
                </w:r>
                <w:r>
                  <w:rPr>
                    <w:rFonts w:eastAsia="Calibri"/>
                    <w:sz w:val="22"/>
                    <w:szCs w:val="22"/>
                  </w:rPr>
                  <w:t>įgyvendinti veiklos neturi jokio numatomo poveikio šiam aplinkos tikslui arba numatomas jos poveikis yra nereikšmingas, t. y. nedaro tiesioginio ir pirminio netiesioginio poveikio per visą gyvavimo ciklą, todėl laikoma, kad jos atitinka Biologinės įvairovė</w:t>
                </w:r>
                <w:r>
                  <w:rPr>
                    <w:rFonts w:eastAsia="Calibri"/>
                    <w:sz w:val="22"/>
                    <w:szCs w:val="22"/>
                  </w:rPr>
                  <w:t>s ir ekosistemų apsaugos ir atkūrimo tikslą.</w:t>
                </w:r>
              </w:p>
              <w:p w:rsidR="00E277C3" w:rsidRDefault="00E277C3">
                <w:pPr>
                  <w:jc w:val="both"/>
                  <w:rPr>
                    <w:sz w:val="14"/>
                    <w:szCs w:val="14"/>
                  </w:rPr>
                </w:pPr>
              </w:p>
              <w:p w:rsidR="00E277C3" w:rsidRDefault="00DD7E53">
                <w:pPr>
                  <w:jc w:val="both"/>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rsidR="00E277C3" w:rsidRDefault="00DD7E53">
                <w:pPr>
                  <w:jc w:val="both"/>
                  <w:rPr>
                    <w:rFonts w:eastAsia="Calibri"/>
                    <w:szCs w:val="24"/>
                  </w:rPr>
                </w:pPr>
                <w:r>
                  <w:rPr>
                    <w:rFonts w:eastAsia="Calibri"/>
                    <w:sz w:val="22"/>
                    <w:szCs w:val="22"/>
                  </w:rPr>
                  <w:t>Projekto vykdytojo deklaracija.</w:t>
                </w:r>
              </w:p>
            </w:tc>
          </w:tr>
        </w:tbl>
        <w:p w:rsidR="00E277C3" w:rsidRDefault="00E277C3">
          <w:pPr>
            <w:spacing w:line="276" w:lineRule="auto"/>
            <w:jc w:val="both"/>
            <w:rPr>
              <w:rFonts w:eastAsia="Calibri"/>
              <w:bCs/>
              <w:szCs w:val="24"/>
            </w:rPr>
          </w:pPr>
        </w:p>
        <w:p w:rsidR="00E277C3" w:rsidRDefault="00E277C3">
          <w:pPr>
            <w:spacing w:line="276" w:lineRule="auto"/>
            <w:jc w:val="center"/>
            <w:rPr>
              <w:szCs w:val="24"/>
            </w:rPr>
          </w:pPr>
        </w:p>
        <w:p w:rsidR="00E277C3" w:rsidRDefault="00DD7E53">
          <w:pPr>
            <w:spacing w:line="276" w:lineRule="auto"/>
            <w:jc w:val="center"/>
            <w:rPr>
              <w:szCs w:val="24"/>
            </w:rPr>
            <w:sectPr w:rsidR="00E277C3">
              <w:pgSz w:w="16838" w:h="11906" w:orient="landscape"/>
              <w:pgMar w:top="1701" w:right="567" w:bottom="1134" w:left="1134" w:header="567" w:footer="567" w:gutter="0"/>
              <w:pgNumType w:start="1"/>
              <w:cols w:space="1296"/>
              <w:titlePg/>
              <w:docGrid w:linePitch="360"/>
            </w:sectPr>
          </w:pPr>
          <w:r>
            <w:rPr>
              <w:szCs w:val="24"/>
            </w:rPr>
            <w:t>_____</w:t>
          </w:r>
          <w:r>
            <w:rPr>
              <w:szCs w:val="24"/>
            </w:rPr>
            <w:t>____________________</w:t>
          </w:r>
        </w:p>
        <w:p w:rsidR="00E277C3" w:rsidRDefault="00DD7E53">
          <w:pPr>
            <w:tabs>
              <w:tab w:val="center" w:pos="4819"/>
              <w:tab w:val="right" w:pos="9638"/>
            </w:tabs>
          </w:pPr>
        </w:p>
      </w:sdtContent>
    </w:sdt>
    <w:sdt>
      <w:sdtPr>
        <w:alias w:val="2 pr."/>
        <w:tag w:val="part_8b1ac645bd584875a1e8ae14172f1a47"/>
        <w:id w:val="1574547694"/>
        <w:lock w:val="sdtLocked"/>
      </w:sdtPr>
      <w:sdtEndPr/>
      <w:sdtContent>
        <w:p w:rsidR="00E277C3" w:rsidRDefault="00DD7E53">
          <w:pPr>
            <w:ind w:left="10206"/>
            <w:jc w:val="both"/>
            <w:rPr>
              <w:szCs w:val="24"/>
            </w:rPr>
          </w:pPr>
          <w:r>
            <w:rPr>
              <w:szCs w:val="24"/>
            </w:rPr>
            <w:t>10 priedo „2022–2030 m. plėtros programos valdytojos Lietuvos Respublikos švietimo, mokslo ir sporto ministerijos mokslo plėtros programos pažangos priemonės Nr. 12-001-01-02-01 „Stiprinti inovacijų ekosistemas mokslo centruose“ pro</w:t>
          </w:r>
          <w:r>
            <w:rPr>
              <w:szCs w:val="24"/>
            </w:rPr>
            <w:t>jektų finansavimo sąlygų aprašo Nr. 10“</w:t>
          </w:r>
        </w:p>
        <w:p w:rsidR="00E277C3" w:rsidRDefault="00DD7E53">
          <w:pPr>
            <w:ind w:left="10206"/>
            <w:jc w:val="both"/>
            <w:rPr>
              <w:szCs w:val="24"/>
            </w:rPr>
          </w:pPr>
          <w:sdt>
            <w:sdtPr>
              <w:alias w:val="Numeris"/>
              <w:tag w:val="nr_8b1ac645bd584875a1e8ae14172f1a47"/>
              <w:id w:val="-1639482546"/>
              <w:lock w:val="sdtLocked"/>
            </w:sdtPr>
            <w:sdtEndPr/>
            <w:sdtContent>
              <w:r>
                <w:rPr>
                  <w:szCs w:val="24"/>
                </w:rPr>
                <w:t>2</w:t>
              </w:r>
            </w:sdtContent>
          </w:sdt>
          <w:r>
            <w:rPr>
              <w:szCs w:val="24"/>
            </w:rPr>
            <w:t xml:space="preserve"> priedas</w:t>
          </w:r>
        </w:p>
        <w:p w:rsidR="00E277C3" w:rsidRDefault="00E277C3">
          <w:pPr>
            <w:ind w:right="567"/>
            <w:jc w:val="both"/>
            <w:rPr>
              <w:b/>
              <w:szCs w:val="24"/>
              <w:lang w:eastAsia="lt-LT"/>
            </w:rPr>
          </w:pPr>
        </w:p>
        <w:p w:rsidR="00E277C3" w:rsidRDefault="00DD7E53">
          <w:pPr>
            <w:ind w:right="567"/>
            <w:jc w:val="both"/>
            <w:rPr>
              <w:b/>
              <w:szCs w:val="24"/>
              <w:lang w:eastAsia="lt-LT"/>
            </w:rPr>
          </w:pPr>
          <w:sdt>
            <w:sdtPr>
              <w:alias w:val="Pavadinimas"/>
              <w:tag w:val="title_8b1ac645bd584875a1e8ae14172f1a47"/>
              <w:id w:val="-1096396373"/>
              <w:lock w:val="sdtLocked"/>
            </w:sdtPr>
            <w:sdtEndPr/>
            <w:sdtContent>
              <w:r>
                <w:rPr>
                  <w:b/>
                  <w:szCs w:val="24"/>
                  <w:lang w:eastAsia="lt-LT"/>
                </w:rPr>
                <w:t>INFORMACIJOS, REIKALINGOS PROJEKTO ATITIKČIAI SUMANIOSIOS SPECIALIZACIJOS KONCEPCIJAI ĮVERTINTI, FORMA</w:t>
              </w:r>
            </w:sdtContent>
          </w:sdt>
        </w:p>
        <w:p w:rsidR="00E277C3" w:rsidRDefault="00E277C3">
          <w:pPr>
            <w:ind w:right="567"/>
            <w:jc w:val="both"/>
            <w:rPr>
              <w:b/>
              <w:szCs w:val="24"/>
              <w:lang w:eastAsia="lt-LT"/>
            </w:rPr>
          </w:pPr>
        </w:p>
        <w:p w:rsidR="00E277C3" w:rsidRDefault="00E277C3">
          <w:pPr>
            <w:ind w:right="567"/>
            <w:jc w:val="both"/>
            <w:rPr>
              <w:b/>
              <w:szCs w:val="24"/>
              <w:lang w:eastAsia="lt-LT"/>
            </w:rPr>
          </w:pPr>
        </w:p>
        <w:sdt>
          <w:sdtPr>
            <w:alias w:val="2 pr. 1 p."/>
            <w:tag w:val="part_c5078c6448004261a78a1082b7d32de0"/>
            <w:id w:val="1507863292"/>
            <w:lock w:val="sdtLocked"/>
          </w:sdtPr>
          <w:sdtEndPr/>
          <w:sdtContent>
            <w:p w:rsidR="00E277C3" w:rsidRDefault="00DD7E53">
              <w:pPr>
                <w:ind w:right="567"/>
                <w:jc w:val="both"/>
                <w:rPr>
                  <w:b/>
                  <w:szCs w:val="24"/>
                  <w:lang w:eastAsia="lt-LT"/>
                </w:rPr>
              </w:pPr>
              <w:sdt>
                <w:sdtPr>
                  <w:alias w:val="Numeris"/>
                  <w:tag w:val="nr_c5078c6448004261a78a1082b7d32de0"/>
                  <w:id w:val="1500378381"/>
                  <w:lock w:val="sdtLocked"/>
                </w:sdtPr>
                <w:sdtEndPr/>
                <w:sdtContent>
                  <w:r>
                    <w:rPr>
                      <w:b/>
                      <w:szCs w:val="24"/>
                      <w:lang w:eastAsia="lt-LT"/>
                    </w:rPr>
                    <w:t>1</w:t>
                  </w:r>
                </w:sdtContent>
              </w:sdt>
              <w:r>
                <w:rPr>
                  <w:b/>
                  <w:szCs w:val="24"/>
                  <w:lang w:eastAsia="lt-LT"/>
                </w:rPr>
                <w:t>. Projektas priskiriamas Mokslinių tyrimų ir eksperimentinės plėtros ir inovacijų (sumaniosios specializacijos) prioritetų įgyvendinimo koncepcijai, patvirtintai Lietuvos Respublikos Vyriausybės 2022 m. rugpjūčio 17 d. nutarimu Nr. 835 „Dėl Mokslinių tyrim</w:t>
              </w:r>
              <w:r>
                <w:rPr>
                  <w:b/>
                  <w:szCs w:val="24"/>
                  <w:lang w:eastAsia="lt-LT"/>
                </w:rPr>
                <w:t xml:space="preserve">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E277C3">
                <w:tc>
                  <w:tcPr>
                    <w:tcW w:w="2951" w:type="dxa"/>
                    <w:gridSpan w:val="2"/>
                    <w:shd w:val="clear" w:color="auto" w:fill="BFBFBF"/>
                    <w:vAlign w:val="center"/>
                  </w:tcPr>
                  <w:p w:rsidR="00E277C3" w:rsidRDefault="00DD7E53">
                    <w:pPr>
                      <w:jc w:val="center"/>
                      <w:rPr>
                        <w:b/>
                        <w:szCs w:val="24"/>
                        <w:lang w:eastAsia="lt-LT"/>
                      </w:rPr>
                    </w:pPr>
                    <w:r>
                      <w:rPr>
                        <w:b/>
                        <w:szCs w:val="24"/>
                        <w:lang w:eastAsia="lt-LT"/>
                      </w:rPr>
                      <w:t xml:space="preserve">Mokslinių tyrimų, eksperimentinės plėtros ir inovacijų </w:t>
                    </w:r>
                    <w:r>
                      <w:rPr>
                        <w:b/>
                        <w:szCs w:val="24"/>
                        <w:lang w:eastAsia="lt-LT"/>
                      </w:rPr>
                      <w:t>prioritetas</w:t>
                    </w:r>
                  </w:p>
                  <w:p w:rsidR="00E277C3" w:rsidRDefault="00E277C3">
                    <w:pPr>
                      <w:jc w:val="center"/>
                      <w:rPr>
                        <w:szCs w:val="24"/>
                        <w:lang w:eastAsia="lt-LT"/>
                      </w:rPr>
                    </w:pPr>
                  </w:p>
                </w:tc>
                <w:tc>
                  <w:tcPr>
                    <w:tcW w:w="11503" w:type="dxa"/>
                    <w:gridSpan w:val="2"/>
                    <w:shd w:val="clear" w:color="auto" w:fill="BFBFBF"/>
                    <w:vAlign w:val="center"/>
                  </w:tcPr>
                  <w:p w:rsidR="00E277C3" w:rsidRDefault="00DD7E53">
                    <w:pPr>
                      <w:jc w:val="center"/>
                      <w:rPr>
                        <w:b/>
                        <w:szCs w:val="24"/>
                        <w:lang w:eastAsia="lt-LT"/>
                      </w:rPr>
                    </w:pPr>
                    <w:r>
                      <w:rPr>
                        <w:b/>
                        <w:szCs w:val="24"/>
                        <w:lang w:eastAsia="lt-LT"/>
                      </w:rPr>
                      <w:t xml:space="preserve">Prioriteto tematika </w:t>
                    </w:r>
                  </w:p>
                  <w:p w:rsidR="00E277C3" w:rsidRDefault="00E277C3">
                    <w:pPr>
                      <w:jc w:val="center"/>
                      <w:rPr>
                        <w:b/>
                        <w:szCs w:val="24"/>
                        <w:lang w:eastAsia="lt-LT"/>
                      </w:rPr>
                    </w:pPr>
                  </w:p>
                </w:tc>
              </w:tr>
              <w:tr w:rsidR="00E277C3">
                <w:tc>
                  <w:tcPr>
                    <w:tcW w:w="2252" w:type="dxa"/>
                    <w:vMerge w:val="restart"/>
                    <w:shd w:val="clear" w:color="auto" w:fill="BFBFBF"/>
                    <w:vAlign w:val="center"/>
                  </w:tcPr>
                  <w:p w:rsidR="00E277C3" w:rsidRDefault="00DD7E53">
                    <w:pPr>
                      <w:rPr>
                        <w:b/>
                        <w:szCs w:val="24"/>
                        <w:lang w:eastAsia="lt-LT"/>
                      </w:rPr>
                    </w:pPr>
                    <w:r>
                      <w:rPr>
                        <w:b/>
                        <w:szCs w:val="24"/>
                      </w:rPr>
                      <w:t>1.1. Sveikatos technologijos ir biotechnologijos</w:t>
                    </w:r>
                  </w:p>
                </w:tc>
                <w:tc>
                  <w:tcPr>
                    <w:tcW w:w="699" w:type="dxa"/>
                    <w:vMerge w:val="restart"/>
                    <w:vAlign w:val="center"/>
                  </w:tcPr>
                  <w:p w:rsidR="00E277C3" w:rsidRDefault="00DD7E53">
                    <w:pPr>
                      <w:jc w:val="center"/>
                      <w:rPr>
                        <w:szCs w:val="24"/>
                      </w:rPr>
                    </w:pPr>
                    <w:r>
                      <w:rPr>
                        <w:szCs w:val="24"/>
                      </w:rPr>
                      <w:t>□</w:t>
                    </w:r>
                  </w:p>
                </w:tc>
                <w:tc>
                  <w:tcPr>
                    <w:tcW w:w="6542" w:type="dxa"/>
                  </w:tcPr>
                  <w:p w:rsidR="00E277C3" w:rsidRDefault="00DD7E53">
                    <w:pPr>
                      <w:jc w:val="both"/>
                      <w:rPr>
                        <w:b/>
                        <w:szCs w:val="24"/>
                        <w:lang w:eastAsia="lt-LT"/>
                      </w:rPr>
                    </w:pPr>
                    <w:r>
                      <w:rPr>
                        <w:szCs w:val="24"/>
                      </w:rPr>
                      <w:t>2.1.1. Molekulinės technologijos medicinai ir biofarmacijai</w:t>
                    </w:r>
                  </w:p>
                </w:tc>
                <w:tc>
                  <w:tcPr>
                    <w:tcW w:w="4961" w:type="dxa"/>
                  </w:tcPr>
                  <w:p w:rsidR="00E277C3" w:rsidRDefault="00DD7E53">
                    <w:pPr>
                      <w:jc w:val="both"/>
                      <w:rPr>
                        <w:b/>
                        <w:szCs w:val="24"/>
                        <w:lang w:eastAsia="lt-LT"/>
                      </w:rPr>
                    </w:pPr>
                    <w:r>
                      <w:rPr>
                        <w:sz w:val="36"/>
                        <w:szCs w:val="36"/>
                      </w:rPr>
                      <w:t>□</w:t>
                    </w:r>
                  </w:p>
                </w:tc>
              </w:tr>
              <w:tr w:rsidR="00E277C3">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b/>
                        <w:szCs w:val="24"/>
                        <w:lang w:eastAsia="lt-LT"/>
                      </w:rPr>
                    </w:pPr>
                    <w:r>
                      <w:rPr>
                        <w:szCs w:val="24"/>
                      </w:rPr>
                      <w:t>2.1.2. Pažangios taikomosios technologijos asmens ir visuomenės sveikatai</w:t>
                    </w:r>
                  </w:p>
                </w:tc>
                <w:tc>
                  <w:tcPr>
                    <w:tcW w:w="4961" w:type="dxa"/>
                  </w:tcPr>
                  <w:p w:rsidR="00E277C3" w:rsidRDefault="00DD7E53">
                    <w:pPr>
                      <w:jc w:val="both"/>
                      <w:rPr>
                        <w:b/>
                        <w:szCs w:val="24"/>
                        <w:lang w:eastAsia="lt-LT"/>
                      </w:rPr>
                    </w:pPr>
                    <w:r>
                      <w:rPr>
                        <w:sz w:val="36"/>
                        <w:szCs w:val="36"/>
                      </w:rPr>
                      <w:t>□</w:t>
                    </w:r>
                  </w:p>
                </w:tc>
              </w:tr>
              <w:tr w:rsidR="00E277C3">
                <w:trPr>
                  <w:trHeight w:val="585"/>
                </w:trPr>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b/>
                        <w:szCs w:val="24"/>
                        <w:lang w:eastAsia="lt-LT"/>
                      </w:rPr>
                    </w:pPr>
                    <w:r>
                      <w:rPr>
                        <w:szCs w:val="24"/>
                      </w:rPr>
                      <w:t xml:space="preserve">2.1.3. Pažangi medicinos </w:t>
                    </w:r>
                    <w:r>
                      <w:rPr>
                        <w:szCs w:val="24"/>
                      </w:rPr>
                      <w:t>inžinerija ankstyvai diagnostikai ir gydymui</w:t>
                    </w:r>
                  </w:p>
                </w:tc>
                <w:tc>
                  <w:tcPr>
                    <w:tcW w:w="4961" w:type="dxa"/>
                  </w:tcPr>
                  <w:p w:rsidR="00E277C3" w:rsidRDefault="00DD7E53">
                    <w:pPr>
                      <w:jc w:val="both"/>
                      <w:rPr>
                        <w:b/>
                        <w:szCs w:val="24"/>
                        <w:lang w:eastAsia="lt-LT"/>
                      </w:rPr>
                    </w:pPr>
                    <w:r>
                      <w:rPr>
                        <w:sz w:val="36"/>
                        <w:szCs w:val="36"/>
                      </w:rPr>
                      <w:t>□</w:t>
                    </w:r>
                  </w:p>
                </w:tc>
              </w:tr>
              <w:tr w:rsidR="00E277C3">
                <w:trPr>
                  <w:trHeight w:val="410"/>
                </w:trPr>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rPr>
                    </w:pPr>
                    <w:r>
                      <w:rPr>
                        <w:szCs w:val="24"/>
                      </w:rPr>
                      <w:t>2.1.4. Saugus maistas ir tvarūs agrobiologiniai ištekliai</w:t>
                    </w:r>
                  </w:p>
                </w:tc>
                <w:tc>
                  <w:tcPr>
                    <w:tcW w:w="4961" w:type="dxa"/>
                  </w:tcPr>
                  <w:p w:rsidR="00E277C3" w:rsidRDefault="00DD7E53">
                    <w:pPr>
                      <w:jc w:val="both"/>
                      <w:rPr>
                        <w:sz w:val="36"/>
                        <w:szCs w:val="36"/>
                      </w:rPr>
                    </w:pPr>
                    <w:r>
                      <w:rPr>
                        <w:sz w:val="36"/>
                        <w:szCs w:val="36"/>
                      </w:rPr>
                      <w:t>□</w:t>
                    </w:r>
                  </w:p>
                </w:tc>
              </w:tr>
              <w:tr w:rsidR="00E277C3">
                <w:tc>
                  <w:tcPr>
                    <w:tcW w:w="2252" w:type="dxa"/>
                    <w:vMerge w:val="restart"/>
                    <w:shd w:val="clear" w:color="auto" w:fill="BFBFBF"/>
                    <w:vAlign w:val="center"/>
                  </w:tcPr>
                  <w:p w:rsidR="00E277C3" w:rsidRDefault="00DD7E53">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E277C3" w:rsidRDefault="00DD7E53">
                    <w:pPr>
                      <w:jc w:val="center"/>
                      <w:rPr>
                        <w:b/>
                        <w:szCs w:val="24"/>
                        <w:lang w:eastAsia="lt-LT"/>
                      </w:rPr>
                    </w:pPr>
                    <w:r>
                      <w:rPr>
                        <w:szCs w:val="24"/>
                      </w:rPr>
                      <w:t>□</w:t>
                    </w:r>
                  </w:p>
                </w:tc>
                <w:tc>
                  <w:tcPr>
                    <w:tcW w:w="6542" w:type="dxa"/>
                  </w:tcPr>
                  <w:p w:rsidR="00E277C3" w:rsidRDefault="00DD7E53">
                    <w:pPr>
                      <w:jc w:val="both"/>
                      <w:rPr>
                        <w:szCs w:val="24"/>
                        <w:lang w:eastAsia="lt-LT"/>
                      </w:rPr>
                    </w:pPr>
                    <w:r>
                      <w:rPr>
                        <w:szCs w:val="24"/>
                        <w:lang w:eastAsia="lt-LT"/>
                      </w:rPr>
                      <w:t>2.2.1. F</w:t>
                    </w:r>
                    <w:r>
                      <w:rPr>
                        <w:szCs w:val="24"/>
                      </w:rPr>
                      <w:t>otoninės ir lazerinės technologijos</w:t>
                    </w:r>
                  </w:p>
                </w:tc>
                <w:tc>
                  <w:tcPr>
                    <w:tcW w:w="4961" w:type="dxa"/>
                  </w:tcPr>
                  <w:p w:rsidR="00E277C3" w:rsidRDefault="00DD7E53">
                    <w:pPr>
                      <w:jc w:val="both"/>
                      <w:rPr>
                        <w:b/>
                        <w:szCs w:val="24"/>
                        <w:lang w:eastAsia="lt-LT"/>
                      </w:rPr>
                    </w:pPr>
                    <w:r>
                      <w:rPr>
                        <w:sz w:val="36"/>
                        <w:szCs w:val="36"/>
                      </w:rPr>
                      <w:t>□</w:t>
                    </w:r>
                  </w:p>
                </w:tc>
              </w:tr>
              <w:tr w:rsidR="00E277C3">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b/>
                        <w:szCs w:val="24"/>
                        <w:lang w:eastAsia="lt-LT"/>
                      </w:rPr>
                    </w:pPr>
                    <w:r>
                      <w:rPr>
                        <w:szCs w:val="24"/>
                        <w:lang w:eastAsia="lt-LT"/>
                      </w:rPr>
                      <w:t>2.2.2. P</w:t>
                    </w:r>
                    <w:r>
                      <w:rPr>
                        <w:szCs w:val="24"/>
                      </w:rPr>
                      <w:t xml:space="preserve">ažangiosios medžiagos ir konstrukcijos </w:t>
                    </w:r>
                  </w:p>
                </w:tc>
                <w:tc>
                  <w:tcPr>
                    <w:tcW w:w="4961" w:type="dxa"/>
                  </w:tcPr>
                  <w:p w:rsidR="00E277C3" w:rsidRDefault="00DD7E53">
                    <w:pPr>
                      <w:jc w:val="both"/>
                      <w:rPr>
                        <w:b/>
                        <w:szCs w:val="24"/>
                        <w:lang w:eastAsia="lt-LT"/>
                      </w:rPr>
                    </w:pPr>
                    <w:r>
                      <w:rPr>
                        <w:sz w:val="36"/>
                        <w:szCs w:val="36"/>
                      </w:rPr>
                      <w:t>□</w:t>
                    </w:r>
                  </w:p>
                </w:tc>
              </w:tr>
              <w:tr w:rsidR="00E277C3">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E277C3" w:rsidRDefault="00DD7E53">
                    <w:pPr>
                      <w:jc w:val="both"/>
                      <w:rPr>
                        <w:b/>
                        <w:szCs w:val="24"/>
                        <w:lang w:eastAsia="lt-LT"/>
                      </w:rPr>
                    </w:pPr>
                    <w:r>
                      <w:rPr>
                        <w:sz w:val="36"/>
                        <w:szCs w:val="36"/>
                      </w:rPr>
                      <w:t>□</w:t>
                    </w:r>
                  </w:p>
                </w:tc>
              </w:tr>
              <w:tr w:rsidR="00E277C3">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lang w:eastAsia="lt-LT"/>
                      </w:rPr>
                    </w:pPr>
                    <w:r>
                      <w:rPr>
                        <w:szCs w:val="24"/>
                        <w:lang w:eastAsia="lt-LT"/>
                      </w:rPr>
                      <w:t>2.2.4. Energijos vartojimo efektyvumas, išmanumas</w:t>
                    </w:r>
                  </w:p>
                </w:tc>
                <w:tc>
                  <w:tcPr>
                    <w:tcW w:w="4961" w:type="dxa"/>
                  </w:tcPr>
                  <w:p w:rsidR="00E277C3" w:rsidRDefault="00DD7E53">
                    <w:pPr>
                      <w:jc w:val="both"/>
                      <w:rPr>
                        <w:sz w:val="36"/>
                        <w:szCs w:val="36"/>
                      </w:rPr>
                    </w:pPr>
                    <w:r>
                      <w:rPr>
                        <w:sz w:val="36"/>
                        <w:szCs w:val="36"/>
                      </w:rPr>
                      <w:t>□</w:t>
                    </w:r>
                  </w:p>
                </w:tc>
              </w:tr>
              <w:tr w:rsidR="00E277C3">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lang w:eastAsia="lt-LT"/>
                      </w:rPr>
                    </w:pPr>
                    <w:r>
                      <w:rPr>
                        <w:szCs w:val="24"/>
                        <w:lang w:eastAsia="lt-LT"/>
                      </w:rPr>
                      <w:t>2.2.5. Atsinaujinantys energijos ištekliai</w:t>
                    </w:r>
                  </w:p>
                </w:tc>
                <w:tc>
                  <w:tcPr>
                    <w:tcW w:w="4961" w:type="dxa"/>
                  </w:tcPr>
                  <w:p w:rsidR="00E277C3" w:rsidRDefault="00DD7E53">
                    <w:pPr>
                      <w:jc w:val="both"/>
                      <w:rPr>
                        <w:sz w:val="36"/>
                        <w:szCs w:val="36"/>
                      </w:rPr>
                    </w:pPr>
                    <w:r>
                      <w:rPr>
                        <w:sz w:val="36"/>
                        <w:szCs w:val="36"/>
                      </w:rPr>
                      <w:t>□</w:t>
                    </w:r>
                  </w:p>
                </w:tc>
              </w:tr>
              <w:tr w:rsidR="00E277C3">
                <w:tc>
                  <w:tcPr>
                    <w:tcW w:w="2252" w:type="dxa"/>
                    <w:vMerge w:val="restart"/>
                    <w:shd w:val="clear" w:color="auto" w:fill="BFBFBF"/>
                    <w:vAlign w:val="center"/>
                  </w:tcPr>
                  <w:p w:rsidR="00E277C3" w:rsidRDefault="00DD7E53">
                    <w:pPr>
                      <w:rPr>
                        <w:b/>
                        <w:szCs w:val="24"/>
                        <w:lang w:eastAsia="lt-LT"/>
                      </w:rPr>
                    </w:pPr>
                    <w:r>
                      <w:rPr>
                        <w:b/>
                        <w:szCs w:val="24"/>
                        <w:lang w:eastAsia="lt-LT"/>
                      </w:rPr>
                      <w:t xml:space="preserve">1.3. </w:t>
                    </w:r>
                    <w:r>
                      <w:rPr>
                        <w:b/>
                        <w:szCs w:val="24"/>
                      </w:rPr>
                      <w:t xml:space="preserve">Informacinės ir </w:t>
                    </w:r>
                    <w:r>
                      <w:rPr>
                        <w:b/>
                        <w:szCs w:val="24"/>
                      </w:rPr>
                      <w:t>ryšių technologijos</w:t>
                    </w:r>
                  </w:p>
                </w:tc>
                <w:tc>
                  <w:tcPr>
                    <w:tcW w:w="699" w:type="dxa"/>
                    <w:vMerge w:val="restart"/>
                    <w:vAlign w:val="center"/>
                  </w:tcPr>
                  <w:p w:rsidR="00E277C3" w:rsidRDefault="00DD7E53">
                    <w:pPr>
                      <w:jc w:val="center"/>
                      <w:rPr>
                        <w:szCs w:val="24"/>
                      </w:rPr>
                    </w:pPr>
                    <w:r>
                      <w:rPr>
                        <w:szCs w:val="24"/>
                      </w:rPr>
                      <w:t>□</w:t>
                    </w:r>
                  </w:p>
                </w:tc>
                <w:tc>
                  <w:tcPr>
                    <w:tcW w:w="6542" w:type="dxa"/>
                  </w:tcPr>
                  <w:p w:rsidR="00E277C3" w:rsidRDefault="00DD7E53">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E277C3" w:rsidRDefault="00DD7E53">
                    <w:pPr>
                      <w:jc w:val="both"/>
                      <w:rPr>
                        <w:sz w:val="36"/>
                        <w:szCs w:val="36"/>
                      </w:rPr>
                    </w:pPr>
                    <w:r>
                      <w:rPr>
                        <w:sz w:val="36"/>
                        <w:szCs w:val="36"/>
                      </w:rPr>
                      <w:t>□</w:t>
                    </w:r>
                  </w:p>
                </w:tc>
              </w:tr>
              <w:tr w:rsidR="00E277C3">
                <w:tc>
                  <w:tcPr>
                    <w:tcW w:w="2252" w:type="dxa"/>
                    <w:vMerge/>
                    <w:shd w:val="clear" w:color="auto" w:fill="BFBFBF"/>
                    <w:vAlign w:val="center"/>
                  </w:tcPr>
                  <w:p w:rsidR="00E277C3" w:rsidRDefault="00E277C3">
                    <w:pPr>
                      <w:rPr>
                        <w:b/>
                        <w:szCs w:val="24"/>
                        <w:lang w:eastAsia="lt-LT"/>
                      </w:rPr>
                    </w:pPr>
                  </w:p>
                </w:tc>
                <w:tc>
                  <w:tcPr>
                    <w:tcW w:w="699" w:type="dxa"/>
                    <w:vMerge/>
                    <w:vAlign w:val="center"/>
                  </w:tcPr>
                  <w:p w:rsidR="00E277C3" w:rsidRDefault="00E277C3">
                    <w:pPr>
                      <w:jc w:val="center"/>
                      <w:rPr>
                        <w:szCs w:val="24"/>
                      </w:rPr>
                    </w:pPr>
                  </w:p>
                </w:tc>
                <w:tc>
                  <w:tcPr>
                    <w:tcW w:w="6542" w:type="dxa"/>
                  </w:tcPr>
                  <w:p w:rsidR="00E277C3" w:rsidRDefault="00DD7E53">
                    <w:pPr>
                      <w:jc w:val="both"/>
                      <w:rPr>
                        <w:szCs w:val="24"/>
                        <w:lang w:eastAsia="lt-LT"/>
                      </w:rPr>
                    </w:pPr>
                    <w:r>
                      <w:rPr>
                        <w:szCs w:val="24"/>
                        <w:lang w:eastAsia="lt-LT"/>
                      </w:rPr>
                      <w:t>2.3.2. D</w:t>
                    </w:r>
                    <w:r>
                      <w:rPr>
                        <w:szCs w:val="24"/>
                      </w:rPr>
                      <w:t>aiktų internetas</w:t>
                    </w:r>
                  </w:p>
                </w:tc>
                <w:tc>
                  <w:tcPr>
                    <w:tcW w:w="4961" w:type="dxa"/>
                  </w:tcPr>
                  <w:p w:rsidR="00E277C3" w:rsidRDefault="00DD7E53">
                    <w:pPr>
                      <w:jc w:val="both"/>
                      <w:rPr>
                        <w:sz w:val="36"/>
                        <w:szCs w:val="36"/>
                      </w:rPr>
                    </w:pPr>
                    <w:r>
                      <w:rPr>
                        <w:sz w:val="36"/>
                        <w:szCs w:val="36"/>
                      </w:rPr>
                      <w:t>□</w:t>
                    </w:r>
                  </w:p>
                </w:tc>
              </w:tr>
              <w:tr w:rsidR="00E277C3">
                <w:tc>
                  <w:tcPr>
                    <w:tcW w:w="2252" w:type="dxa"/>
                    <w:vMerge/>
                    <w:shd w:val="clear" w:color="auto" w:fill="BFBFBF"/>
                    <w:vAlign w:val="center"/>
                  </w:tcPr>
                  <w:p w:rsidR="00E277C3" w:rsidRDefault="00E277C3">
                    <w:pPr>
                      <w:rPr>
                        <w:b/>
                        <w:szCs w:val="24"/>
                        <w:lang w:eastAsia="lt-LT"/>
                      </w:rPr>
                    </w:pPr>
                  </w:p>
                </w:tc>
                <w:tc>
                  <w:tcPr>
                    <w:tcW w:w="699" w:type="dxa"/>
                    <w:vMerge/>
                    <w:vAlign w:val="center"/>
                  </w:tcPr>
                  <w:p w:rsidR="00E277C3" w:rsidRDefault="00E277C3">
                    <w:pPr>
                      <w:jc w:val="center"/>
                      <w:rPr>
                        <w:szCs w:val="24"/>
                      </w:rPr>
                    </w:pPr>
                  </w:p>
                </w:tc>
                <w:tc>
                  <w:tcPr>
                    <w:tcW w:w="6542" w:type="dxa"/>
                  </w:tcPr>
                  <w:p w:rsidR="00E277C3" w:rsidRDefault="00DD7E53">
                    <w:pPr>
                      <w:jc w:val="both"/>
                      <w:rPr>
                        <w:szCs w:val="24"/>
                        <w:lang w:eastAsia="lt-LT"/>
                      </w:rPr>
                    </w:pPr>
                    <w:r>
                      <w:rPr>
                        <w:szCs w:val="24"/>
                        <w:lang w:eastAsia="lt-LT"/>
                      </w:rPr>
                      <w:t>2.3.3. K</w:t>
                    </w:r>
                    <w:r>
                      <w:rPr>
                        <w:szCs w:val="24"/>
                      </w:rPr>
                      <w:t>ibernetinis saugumas</w:t>
                    </w:r>
                  </w:p>
                </w:tc>
                <w:tc>
                  <w:tcPr>
                    <w:tcW w:w="4961" w:type="dxa"/>
                  </w:tcPr>
                  <w:p w:rsidR="00E277C3" w:rsidRDefault="00DD7E53">
                    <w:pPr>
                      <w:jc w:val="both"/>
                      <w:rPr>
                        <w:sz w:val="36"/>
                        <w:szCs w:val="36"/>
                      </w:rPr>
                    </w:pPr>
                    <w:r>
                      <w:rPr>
                        <w:sz w:val="36"/>
                        <w:szCs w:val="36"/>
                      </w:rPr>
                      <w:t>□</w:t>
                    </w:r>
                  </w:p>
                </w:tc>
              </w:tr>
              <w:tr w:rsidR="00E277C3">
                <w:tc>
                  <w:tcPr>
                    <w:tcW w:w="2252" w:type="dxa"/>
                    <w:vMerge/>
                    <w:shd w:val="clear" w:color="auto" w:fill="BFBFBF"/>
                    <w:vAlign w:val="center"/>
                  </w:tcPr>
                  <w:p w:rsidR="00E277C3" w:rsidRDefault="00E277C3">
                    <w:pPr>
                      <w:rPr>
                        <w:b/>
                        <w:szCs w:val="24"/>
                        <w:lang w:eastAsia="lt-LT"/>
                      </w:rPr>
                    </w:pPr>
                  </w:p>
                </w:tc>
                <w:tc>
                  <w:tcPr>
                    <w:tcW w:w="699" w:type="dxa"/>
                    <w:vMerge/>
                    <w:vAlign w:val="center"/>
                  </w:tcPr>
                  <w:p w:rsidR="00E277C3" w:rsidRDefault="00E277C3">
                    <w:pPr>
                      <w:jc w:val="center"/>
                      <w:rPr>
                        <w:szCs w:val="24"/>
                      </w:rPr>
                    </w:pPr>
                  </w:p>
                </w:tc>
                <w:tc>
                  <w:tcPr>
                    <w:tcW w:w="6542" w:type="dxa"/>
                  </w:tcPr>
                  <w:p w:rsidR="00E277C3" w:rsidRDefault="00DD7E53">
                    <w:pPr>
                      <w:jc w:val="both"/>
                      <w:rPr>
                        <w:szCs w:val="24"/>
                        <w:lang w:eastAsia="lt-LT"/>
                      </w:rPr>
                    </w:pPr>
                    <w:r>
                      <w:rPr>
                        <w:szCs w:val="24"/>
                        <w:lang w:eastAsia="lt-LT"/>
                      </w:rPr>
                      <w:t xml:space="preserve">2.3.4. </w:t>
                    </w:r>
                    <w:r>
                      <w:rPr>
                        <w:szCs w:val="24"/>
                      </w:rPr>
                      <w:t>Finansinės technologijos ir blokų grandinės</w:t>
                    </w:r>
                  </w:p>
                </w:tc>
                <w:tc>
                  <w:tcPr>
                    <w:tcW w:w="4961" w:type="dxa"/>
                  </w:tcPr>
                  <w:p w:rsidR="00E277C3" w:rsidRDefault="00DD7E53">
                    <w:pPr>
                      <w:jc w:val="both"/>
                      <w:rPr>
                        <w:sz w:val="36"/>
                        <w:szCs w:val="36"/>
                      </w:rPr>
                    </w:pPr>
                    <w:r>
                      <w:rPr>
                        <w:sz w:val="36"/>
                        <w:szCs w:val="36"/>
                      </w:rPr>
                      <w:t>□</w:t>
                    </w:r>
                  </w:p>
                </w:tc>
              </w:tr>
              <w:tr w:rsidR="00E277C3">
                <w:trPr>
                  <w:trHeight w:val="624"/>
                </w:trPr>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lang w:eastAsia="lt-LT"/>
                      </w:rPr>
                    </w:pPr>
                    <w:r>
                      <w:rPr>
                        <w:szCs w:val="24"/>
                        <w:lang w:eastAsia="lt-LT"/>
                      </w:rPr>
                      <w:t>2.3.5. Audiovizualinių medijų technologijos ir socialinės inovacijos</w:t>
                    </w:r>
                  </w:p>
                </w:tc>
                <w:tc>
                  <w:tcPr>
                    <w:tcW w:w="4961" w:type="dxa"/>
                  </w:tcPr>
                  <w:p w:rsidR="00E277C3" w:rsidRDefault="00DD7E53">
                    <w:pPr>
                      <w:jc w:val="both"/>
                      <w:rPr>
                        <w:b/>
                        <w:szCs w:val="24"/>
                        <w:lang w:eastAsia="lt-LT"/>
                      </w:rPr>
                    </w:pPr>
                    <w:r>
                      <w:rPr>
                        <w:sz w:val="36"/>
                        <w:szCs w:val="36"/>
                      </w:rPr>
                      <w:t>□</w:t>
                    </w:r>
                  </w:p>
                </w:tc>
              </w:tr>
              <w:tr w:rsidR="00E277C3">
                <w:trPr>
                  <w:trHeight w:val="370"/>
                </w:trPr>
                <w:tc>
                  <w:tcPr>
                    <w:tcW w:w="2252" w:type="dxa"/>
                    <w:vMerge/>
                    <w:shd w:val="clear" w:color="auto" w:fill="BFBFBF"/>
                  </w:tcPr>
                  <w:p w:rsidR="00E277C3" w:rsidRDefault="00E277C3">
                    <w:pPr>
                      <w:jc w:val="both"/>
                      <w:rPr>
                        <w:b/>
                        <w:szCs w:val="24"/>
                        <w:lang w:eastAsia="lt-LT"/>
                      </w:rPr>
                    </w:pPr>
                  </w:p>
                </w:tc>
                <w:tc>
                  <w:tcPr>
                    <w:tcW w:w="699" w:type="dxa"/>
                    <w:vMerge/>
                  </w:tcPr>
                  <w:p w:rsidR="00E277C3" w:rsidRDefault="00E277C3">
                    <w:pPr>
                      <w:jc w:val="both"/>
                      <w:rPr>
                        <w:b/>
                        <w:szCs w:val="24"/>
                        <w:lang w:eastAsia="lt-LT"/>
                      </w:rPr>
                    </w:pPr>
                  </w:p>
                </w:tc>
                <w:tc>
                  <w:tcPr>
                    <w:tcW w:w="6542" w:type="dxa"/>
                  </w:tcPr>
                  <w:p w:rsidR="00E277C3" w:rsidRDefault="00DD7E53">
                    <w:pPr>
                      <w:jc w:val="both"/>
                      <w:rPr>
                        <w:szCs w:val="24"/>
                        <w:lang w:eastAsia="lt-LT"/>
                      </w:rPr>
                    </w:pPr>
                    <w:r>
                      <w:rPr>
                        <w:szCs w:val="24"/>
                        <w:lang w:eastAsia="lt-LT"/>
                      </w:rPr>
                      <w:t>2.3.6. Išmaniosios transporto sistemos</w:t>
                    </w:r>
                  </w:p>
                </w:tc>
                <w:tc>
                  <w:tcPr>
                    <w:tcW w:w="4961" w:type="dxa"/>
                  </w:tcPr>
                  <w:p w:rsidR="00E277C3" w:rsidRDefault="00DD7E53">
                    <w:pPr>
                      <w:jc w:val="both"/>
                      <w:rPr>
                        <w:sz w:val="36"/>
                        <w:szCs w:val="36"/>
                      </w:rPr>
                    </w:pPr>
                    <w:r>
                      <w:rPr>
                        <w:sz w:val="36"/>
                        <w:szCs w:val="36"/>
                      </w:rPr>
                      <w:t>□</w:t>
                    </w:r>
                  </w:p>
                </w:tc>
              </w:tr>
            </w:tbl>
            <w:p w:rsidR="00E277C3" w:rsidRDefault="00DD7E53">
              <w:pPr>
                <w:spacing w:line="276" w:lineRule="auto"/>
                <w:rPr>
                  <w:szCs w:val="24"/>
                </w:rPr>
              </w:pPr>
            </w:p>
          </w:sdtContent>
        </w:sdt>
        <w:sdt>
          <w:sdtPr>
            <w:alias w:val="2 pr. 2 p."/>
            <w:tag w:val="part_6990c26907d54c53bf3fb848b84836cb"/>
            <w:id w:val="2146704417"/>
            <w:lock w:val="sdtLocked"/>
          </w:sdtPr>
          <w:sdtEndPr/>
          <w:sdtContent>
            <w:p w:rsidR="00E277C3" w:rsidRDefault="00DD7E53">
              <w:pPr>
                <w:spacing w:line="276" w:lineRule="auto"/>
                <w:rPr>
                  <w:b/>
                  <w:szCs w:val="24"/>
                </w:rPr>
              </w:pPr>
              <w:sdt>
                <w:sdtPr>
                  <w:alias w:val="Numeris"/>
                  <w:tag w:val="nr_6990c26907d54c53bf3fb848b84836cb"/>
                  <w:id w:val="1711991043"/>
                  <w:lock w:val="sdtLocked"/>
                </w:sdtPr>
                <w:sdtEnd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E277C3">
                <w:tc>
                  <w:tcPr>
                    <w:tcW w:w="15127" w:type="dxa"/>
                  </w:tcPr>
                  <w:p w:rsidR="00E277C3" w:rsidRDefault="00E277C3">
                    <w:pPr>
                      <w:spacing w:line="276" w:lineRule="auto"/>
                      <w:rPr>
                        <w:szCs w:val="24"/>
                      </w:rPr>
                    </w:pPr>
                  </w:p>
                </w:tc>
              </w:tr>
            </w:tbl>
            <w:p w:rsidR="00E277C3" w:rsidRDefault="00E277C3">
              <w:pPr>
                <w:spacing w:line="276" w:lineRule="auto"/>
                <w:rPr>
                  <w:szCs w:val="24"/>
                </w:rPr>
              </w:pPr>
            </w:p>
            <w:p w:rsidR="00E277C3" w:rsidRDefault="00DD7E53">
              <w:pPr>
                <w:spacing w:line="276" w:lineRule="auto"/>
                <w:jc w:val="center"/>
                <w:rPr>
                  <w:szCs w:val="24"/>
                </w:rPr>
                <w:sectPr w:rsidR="00E277C3">
                  <w:pgSz w:w="16838" w:h="11906" w:orient="landscape"/>
                  <w:pgMar w:top="1701" w:right="567" w:bottom="1134" w:left="1134" w:header="567" w:footer="567" w:gutter="0"/>
                  <w:pgNumType w:start="1"/>
                  <w:cols w:space="1296"/>
                  <w:titlePg/>
                  <w:docGrid w:linePitch="360"/>
                </w:sectPr>
              </w:pPr>
              <w:r>
                <w:rPr>
                  <w:szCs w:val="24"/>
                </w:rPr>
                <w:t>___________________________________</w:t>
              </w:r>
            </w:p>
            <w:p w:rsidR="00E277C3" w:rsidRDefault="00E277C3">
              <w:pPr>
                <w:tabs>
                  <w:tab w:val="center" w:pos="4819"/>
                  <w:tab w:val="right" w:pos="9638"/>
                </w:tabs>
                <w:jc w:val="center"/>
              </w:pPr>
            </w:p>
            <w:p w:rsidR="00E277C3" w:rsidRDefault="00DD7E53">
              <w:pPr>
                <w:tabs>
                  <w:tab w:val="center" w:pos="4986"/>
                  <w:tab w:val="right" w:pos="9972"/>
                </w:tabs>
              </w:pPr>
            </w:p>
          </w:sdtContent>
        </w:sdt>
      </w:sdtContent>
    </w:sdt>
    <w:sdt>
      <w:sdtPr>
        <w:alias w:val="3 pr."/>
        <w:tag w:val="part_5405f8fd7161436e8e46a6b0fc719d53"/>
        <w:id w:val="-500349226"/>
        <w:lock w:val="sdtLocked"/>
      </w:sdtPr>
      <w:sdtEndPr/>
      <w:sdtContent>
        <w:p w:rsidR="00E277C3" w:rsidRDefault="00DD7E53">
          <w:pPr>
            <w:ind w:left="8789"/>
            <w:jc w:val="both"/>
            <w:rPr>
              <w:rFonts w:eastAsia="Calibri"/>
              <w:szCs w:val="24"/>
            </w:rPr>
          </w:pPr>
          <w:r>
            <w:rPr>
              <w:rFonts w:eastAsia="Calibri"/>
              <w:szCs w:val="24"/>
            </w:rPr>
            <w:t xml:space="preserve">10 priedo „2022–2030 m. plėtros programos valdytojos Lietuvos Respublikos švietimo, mokslo ir sporto ministerijos mokslo plėtros programos pažangos priemonės Nr. 12-001-01-02-01 „Stiprinti inovacijų ekosistemas </w:t>
          </w:r>
          <w:r>
            <w:rPr>
              <w:rFonts w:eastAsia="Calibri"/>
              <w:szCs w:val="24"/>
            </w:rPr>
            <w:t>mokslo centruose“ projektų finansavimo sąlygų aprašo Nr. 10“</w:t>
          </w:r>
        </w:p>
        <w:p w:rsidR="00E277C3" w:rsidRDefault="00DD7E53">
          <w:pPr>
            <w:ind w:left="8080" w:firstLine="709"/>
            <w:jc w:val="both"/>
            <w:rPr>
              <w:rFonts w:eastAsia="Calibri"/>
              <w:szCs w:val="24"/>
            </w:rPr>
          </w:pPr>
          <w:sdt>
            <w:sdtPr>
              <w:alias w:val="Numeris"/>
              <w:tag w:val="nr_5405f8fd7161436e8e46a6b0fc719d53"/>
              <w:id w:val="-207036393"/>
              <w:lock w:val="sdtLocked"/>
            </w:sdtPr>
            <w:sdtEndPr/>
            <w:sdtContent>
              <w:r>
                <w:rPr>
                  <w:rFonts w:eastAsia="Calibri"/>
                  <w:szCs w:val="24"/>
                </w:rPr>
                <w:t>3</w:t>
              </w:r>
            </w:sdtContent>
          </w:sdt>
          <w:r>
            <w:rPr>
              <w:rFonts w:eastAsia="Calibri"/>
              <w:szCs w:val="24"/>
            </w:rPr>
            <w:t xml:space="preserve"> priedas</w:t>
          </w:r>
        </w:p>
        <w:p w:rsidR="00E277C3" w:rsidRDefault="00E277C3">
          <w:pPr>
            <w:spacing w:line="276" w:lineRule="auto"/>
            <w:jc w:val="center"/>
            <w:rPr>
              <w:rFonts w:eastAsia="Calibri"/>
              <w:b/>
              <w:szCs w:val="24"/>
            </w:rPr>
          </w:pPr>
        </w:p>
        <w:p w:rsidR="00E277C3" w:rsidRDefault="00E277C3">
          <w:pPr>
            <w:spacing w:line="276" w:lineRule="auto"/>
            <w:jc w:val="center"/>
            <w:rPr>
              <w:rFonts w:eastAsia="Calibri"/>
              <w:b/>
              <w:szCs w:val="24"/>
            </w:rPr>
          </w:pPr>
        </w:p>
        <w:p w:rsidR="00E277C3" w:rsidRDefault="00DD7E53">
          <w:pPr>
            <w:spacing w:line="276" w:lineRule="auto"/>
            <w:jc w:val="center"/>
            <w:rPr>
              <w:rFonts w:eastAsia="Calibri"/>
              <w:b/>
              <w:szCs w:val="24"/>
            </w:rPr>
          </w:pPr>
          <w:sdt>
            <w:sdtPr>
              <w:alias w:val="Pavadinimas"/>
              <w:tag w:val="title_5405f8fd7161436e8e46a6b0fc719d53"/>
              <w:id w:val="918139538"/>
              <w:lock w:val="sdtLocked"/>
            </w:sdtPr>
            <w:sdtEnd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rsidR="00E277C3" w:rsidRDefault="00E277C3">
          <w:pPr>
            <w:rPr>
              <w:sz w:val="18"/>
              <w:szCs w:val="18"/>
            </w:rPr>
          </w:pPr>
        </w:p>
        <w:p w:rsidR="00E277C3" w:rsidRDefault="00DD7E53">
          <w:pPr>
            <w:jc w:val="center"/>
            <w:rPr>
              <w:rFonts w:eastAsia="Calibri"/>
              <w:szCs w:val="24"/>
            </w:rPr>
          </w:pPr>
          <w:r>
            <w:rPr>
              <w:rFonts w:eastAsia="Calibri"/>
              <w:szCs w:val="24"/>
            </w:rPr>
            <w:t>____________________</w:t>
          </w:r>
        </w:p>
        <w:p w:rsidR="00E277C3" w:rsidRDefault="00DD7E53">
          <w:pPr>
            <w:jc w:val="center"/>
            <w:rPr>
              <w:rFonts w:eastAsia="Calibri"/>
              <w:sz w:val="20"/>
            </w:rPr>
          </w:pPr>
          <w:r>
            <w:rPr>
              <w:rFonts w:eastAsia="Calibri"/>
              <w:sz w:val="20"/>
            </w:rPr>
            <w:t>(Data)</w:t>
          </w:r>
        </w:p>
        <w:p w:rsidR="00E277C3" w:rsidRDefault="00E277C3">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rsidR="00E277C3">
            <w:tc>
              <w:tcPr>
                <w:tcW w:w="5094" w:type="dxa"/>
                <w:shd w:val="clear" w:color="auto" w:fill="auto"/>
              </w:tcPr>
              <w:p w:rsidR="00E277C3" w:rsidRDefault="00DD7E53">
                <w:pPr>
                  <w:rPr>
                    <w:rFonts w:eastAsia="Calibri"/>
                    <w:b/>
                    <w:sz w:val="22"/>
                    <w:szCs w:val="22"/>
                  </w:rPr>
                </w:pPr>
                <w:r>
                  <w:rPr>
                    <w:rFonts w:eastAsia="Calibri"/>
                    <w:b/>
                    <w:sz w:val="22"/>
                    <w:szCs w:val="22"/>
                  </w:rPr>
                  <w:t>Projekto numeris</w:t>
                </w:r>
              </w:p>
            </w:tc>
            <w:tc>
              <w:tcPr>
                <w:tcW w:w="5094" w:type="dxa"/>
                <w:shd w:val="clear" w:color="auto" w:fill="auto"/>
              </w:tcPr>
              <w:p w:rsidR="00E277C3" w:rsidRDefault="00E277C3">
                <w:pPr>
                  <w:rPr>
                    <w:rFonts w:eastAsia="Calibri"/>
                    <w:szCs w:val="24"/>
                  </w:rPr>
                </w:pPr>
              </w:p>
            </w:tc>
          </w:tr>
          <w:tr w:rsidR="00E277C3">
            <w:tc>
              <w:tcPr>
                <w:tcW w:w="5094" w:type="dxa"/>
                <w:shd w:val="clear" w:color="auto" w:fill="auto"/>
              </w:tcPr>
              <w:p w:rsidR="00E277C3" w:rsidRDefault="00DD7E53">
                <w:pPr>
                  <w:rPr>
                    <w:rFonts w:eastAsia="Calibri"/>
                    <w:b/>
                    <w:sz w:val="22"/>
                    <w:szCs w:val="22"/>
                  </w:rPr>
                </w:pPr>
                <w:r>
                  <w:rPr>
                    <w:rFonts w:eastAsia="Calibri"/>
                    <w:b/>
                    <w:sz w:val="22"/>
                    <w:szCs w:val="22"/>
                  </w:rPr>
                  <w:t>Projekto pavadinimas</w:t>
                </w:r>
              </w:p>
            </w:tc>
            <w:tc>
              <w:tcPr>
                <w:tcW w:w="5094" w:type="dxa"/>
                <w:shd w:val="clear" w:color="auto" w:fill="auto"/>
              </w:tcPr>
              <w:p w:rsidR="00E277C3" w:rsidRDefault="00E277C3">
                <w:pPr>
                  <w:rPr>
                    <w:rFonts w:eastAsia="Calibri"/>
                    <w:szCs w:val="24"/>
                  </w:rPr>
                </w:pPr>
              </w:p>
            </w:tc>
          </w:tr>
          <w:tr w:rsidR="00E277C3">
            <w:tc>
              <w:tcPr>
                <w:tcW w:w="5094" w:type="dxa"/>
                <w:shd w:val="clear" w:color="auto" w:fill="auto"/>
              </w:tcPr>
              <w:p w:rsidR="00E277C3" w:rsidRDefault="00DD7E53">
                <w:pPr>
                  <w:rPr>
                    <w:rFonts w:eastAsia="Calibri"/>
                    <w:b/>
                    <w:sz w:val="22"/>
                    <w:szCs w:val="22"/>
                  </w:rPr>
                </w:pPr>
                <w:r>
                  <w:rPr>
                    <w:rFonts w:eastAsia="Calibri"/>
                    <w:b/>
                    <w:sz w:val="22"/>
                    <w:szCs w:val="22"/>
                  </w:rPr>
                  <w:t xml:space="preserve">Projekto vykdytojo / </w:t>
                </w:r>
                <w:r>
                  <w:rPr>
                    <w:rFonts w:eastAsia="Calibri"/>
                    <w:b/>
                    <w:sz w:val="22"/>
                    <w:szCs w:val="22"/>
                  </w:rPr>
                  <w:t>galutinio naudos gavėjo pavadinimas</w:t>
                </w:r>
              </w:p>
            </w:tc>
            <w:tc>
              <w:tcPr>
                <w:tcW w:w="5094" w:type="dxa"/>
                <w:shd w:val="clear" w:color="auto" w:fill="auto"/>
              </w:tcPr>
              <w:p w:rsidR="00E277C3" w:rsidRDefault="00E277C3">
                <w:pPr>
                  <w:rPr>
                    <w:rFonts w:eastAsia="Calibri"/>
                    <w:i/>
                    <w:sz w:val="22"/>
                    <w:szCs w:val="22"/>
                  </w:rPr>
                </w:pPr>
              </w:p>
            </w:tc>
          </w:tr>
          <w:tr w:rsidR="00E277C3">
            <w:tc>
              <w:tcPr>
                <w:tcW w:w="5094" w:type="dxa"/>
                <w:shd w:val="clear" w:color="auto" w:fill="auto"/>
              </w:tcPr>
              <w:p w:rsidR="00E277C3" w:rsidRDefault="00DD7E53">
                <w:pPr>
                  <w:rPr>
                    <w:rFonts w:eastAsia="Calibri"/>
                    <w:b/>
                    <w:sz w:val="22"/>
                    <w:szCs w:val="22"/>
                  </w:rPr>
                </w:pPr>
                <w:r>
                  <w:rPr>
                    <w:rFonts w:eastAsia="Calibri"/>
                    <w:b/>
                    <w:sz w:val="22"/>
                    <w:szCs w:val="22"/>
                  </w:rPr>
                  <w:t>Projekto partnerio (-ių) pavadinimas</w:t>
                </w:r>
              </w:p>
            </w:tc>
            <w:tc>
              <w:tcPr>
                <w:tcW w:w="5094" w:type="dxa"/>
                <w:shd w:val="clear" w:color="auto" w:fill="auto"/>
              </w:tcPr>
              <w:p w:rsidR="00E277C3" w:rsidRDefault="00E277C3">
                <w:pPr>
                  <w:rPr>
                    <w:rFonts w:eastAsia="Calibri"/>
                    <w:i/>
                    <w:sz w:val="22"/>
                    <w:szCs w:val="22"/>
                  </w:rPr>
                </w:pPr>
              </w:p>
            </w:tc>
          </w:tr>
        </w:tbl>
        <w:p w:rsidR="00E277C3" w:rsidRDefault="00E277C3">
          <w:pPr>
            <w:spacing w:line="276" w:lineRule="auto"/>
            <w:rPr>
              <w:rFonts w:eastAsia="Calibri"/>
              <w:szCs w:val="24"/>
            </w:rPr>
          </w:pPr>
        </w:p>
        <w:p w:rsidR="00E277C3" w:rsidRDefault="00E277C3">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
            <w:gridCol w:w="6967"/>
            <w:gridCol w:w="1912"/>
            <w:gridCol w:w="1894"/>
            <w:gridCol w:w="3388"/>
          </w:tblGrid>
          <w:tr w:rsidR="00E277C3">
            <w:tc>
              <w:tcPr>
                <w:tcW w:w="5000" w:type="pct"/>
                <w:gridSpan w:val="5"/>
                <w:shd w:val="pct20" w:color="auto" w:fill="auto"/>
              </w:tcPr>
              <w:p w:rsidR="00E277C3" w:rsidRDefault="00DD7E53">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E277C3">
            <w:tc>
              <w:tcPr>
                <w:tcW w:w="319" w:type="pct"/>
                <w:shd w:val="clear" w:color="auto" w:fill="auto"/>
              </w:tcPr>
              <w:p w:rsidR="00E277C3" w:rsidRDefault="00DD7E53">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E277C3" w:rsidRDefault="00E277C3">
                <w:pPr>
                  <w:rPr>
                    <w:sz w:val="10"/>
                    <w:szCs w:val="10"/>
                  </w:rPr>
                </w:pPr>
              </w:p>
              <w:p w:rsidR="00E277C3" w:rsidRDefault="00DD7E53">
                <w:pPr>
                  <w:jc w:val="both"/>
                  <w:rPr>
                    <w:rFonts w:eastAsia="Calibri"/>
                    <w:b/>
                    <w:sz w:val="22"/>
                    <w:szCs w:val="22"/>
                  </w:rPr>
                </w:pPr>
                <w:r>
                  <w:rPr>
                    <w:rFonts w:eastAsia="Calibri"/>
                    <w:b/>
                    <w:sz w:val="22"/>
                    <w:szCs w:val="22"/>
                  </w:rPr>
                  <w:t xml:space="preserve">Ar finansavimą tiesiogiai ar netiesiogiai numatoma teikti </w:t>
                </w:r>
                <w:r>
                  <w:rPr>
                    <w:rFonts w:eastAsia="Calibri"/>
                    <w:b/>
                    <w:sz w:val="22"/>
                    <w:szCs w:val="22"/>
                  </w:rPr>
                  <w:t>ūkio subjektams (-ui) ūkinei veiklai vykdyti?</w:t>
                </w:r>
              </w:p>
              <w:p w:rsidR="00E277C3" w:rsidRDefault="00E277C3">
                <w:pPr>
                  <w:rPr>
                    <w:sz w:val="10"/>
                    <w:szCs w:val="10"/>
                  </w:rPr>
                </w:pPr>
              </w:p>
              <w:p w:rsidR="00E277C3" w:rsidRDefault="00E277C3">
                <w:pPr>
                  <w:rPr>
                    <w:rFonts w:eastAsia="Calibri"/>
                    <w:sz w:val="22"/>
                    <w:szCs w:val="22"/>
                  </w:rPr>
                </w:pPr>
              </w:p>
            </w:tc>
            <w:tc>
              <w:tcPr>
                <w:tcW w:w="632"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rsidR="00E277C3" w:rsidRDefault="00E277C3">
                <w:pPr>
                  <w:rPr>
                    <w:sz w:val="10"/>
                    <w:szCs w:val="10"/>
                  </w:rPr>
                </w:pPr>
              </w:p>
              <w:p w:rsidR="00E277C3" w:rsidRDefault="00DD7E53">
                <w:pPr>
                  <w:rPr>
                    <w:rFonts w:eastAsia="Calibri"/>
                    <w:sz w:val="22"/>
                    <w:szCs w:val="22"/>
                  </w:rPr>
                </w:pPr>
                <w:r>
                  <w:rPr>
                    <w:rFonts w:eastAsia="Calibri"/>
                    <w:i/>
                    <w:sz w:val="22"/>
                    <w:szCs w:val="22"/>
                  </w:rPr>
                  <w:t>(Patikros lapą pildant projektui, neigiamai atsakius, kiti patikros lapo klausimų atsakymai žymimi „nevertinama“)</w:t>
                </w:r>
              </w:p>
            </w:tc>
          </w:tr>
          <w:tr w:rsidR="00E277C3">
            <w:tc>
              <w:tcPr>
                <w:tcW w:w="5000" w:type="pct"/>
                <w:gridSpan w:val="5"/>
                <w:shd w:val="clear" w:color="auto" w:fill="auto"/>
              </w:tcPr>
              <w:p w:rsidR="00E277C3" w:rsidRDefault="00DD7E53">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rsidR="00E277C3" w:rsidRDefault="00DD7E53">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s</w:t>
                </w:r>
                <w:r>
                  <w:rPr>
                    <w:rFonts w:eastAsia="Calibri"/>
                    <w:sz w:val="22"/>
                    <w:szCs w:val="22"/>
                  </w:rPr>
                  <w:t>ubjektu tik ekonominės veiklos atžvilgiu.</w:t>
                </w:r>
              </w:p>
              <w:p w:rsidR="00E277C3" w:rsidRDefault="00E277C3">
                <w:pPr>
                  <w:jc w:val="both"/>
                  <w:rPr>
                    <w:rFonts w:eastAsia="Calibri"/>
                    <w:b/>
                    <w:sz w:val="22"/>
                    <w:szCs w:val="22"/>
                  </w:rPr>
                </w:pPr>
              </w:p>
              <w:p w:rsidR="00E277C3" w:rsidRDefault="00DD7E53">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w:t>
                </w:r>
                <w:r>
                  <w:rPr>
                    <w:rFonts w:eastAsia="Calibri"/>
                    <w:sz w:val="22"/>
                    <w:szCs w:val="22"/>
                  </w:rPr>
                  <w:t>kiams tenkinti.</w:t>
                </w:r>
              </w:p>
              <w:p w:rsidR="00E277C3" w:rsidRDefault="00E277C3">
                <w:pPr>
                  <w:jc w:val="both"/>
                  <w:rPr>
                    <w:rFonts w:eastAsia="Calibri"/>
                    <w:sz w:val="22"/>
                    <w:szCs w:val="22"/>
                  </w:rPr>
                </w:pPr>
              </w:p>
              <w:p w:rsidR="00E277C3" w:rsidRDefault="00DD7E53">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E277C3" w:rsidRDefault="00DD7E53">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E277C3" w:rsidRDefault="00E277C3">
                <w:pPr>
                  <w:rPr>
                    <w:sz w:val="18"/>
                    <w:szCs w:val="18"/>
                  </w:rPr>
                </w:pPr>
              </w:p>
              <w:p w:rsidR="00E277C3" w:rsidRDefault="00DD7E53">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E277C3" w:rsidRDefault="00E277C3">
                <w:pPr>
                  <w:rPr>
                    <w:sz w:val="18"/>
                    <w:szCs w:val="18"/>
                  </w:rPr>
                </w:pPr>
              </w:p>
              <w:p w:rsidR="00E277C3" w:rsidRDefault="00DD7E53">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E277C3" w:rsidRDefault="00E277C3">
                <w:pPr>
                  <w:rPr>
                    <w:sz w:val="18"/>
                    <w:szCs w:val="18"/>
                  </w:rPr>
                </w:pPr>
              </w:p>
              <w:p w:rsidR="00E277C3" w:rsidRDefault="00E277C3">
                <w:pPr>
                  <w:jc w:val="both"/>
                  <w:rPr>
                    <w:rFonts w:eastAsia="Calibri"/>
                    <w:sz w:val="22"/>
                    <w:szCs w:val="22"/>
                  </w:rPr>
                </w:pPr>
              </w:p>
              <w:p w:rsidR="00E277C3" w:rsidRDefault="00DD7E53">
                <w:pPr>
                  <w:jc w:val="both"/>
                  <w:rPr>
                    <w:rFonts w:eastAsia="Calibri"/>
                    <w:sz w:val="22"/>
                    <w:szCs w:val="22"/>
                  </w:rPr>
                </w:pPr>
                <w:r>
                  <w:rPr>
                    <w:rFonts w:eastAsia="Calibri"/>
                    <w:sz w:val="22"/>
                    <w:szCs w:val="22"/>
                  </w:rPr>
                  <w:t xml:space="preserve">Ūkine </w:t>
                </w:r>
                <w:r>
                  <w:rPr>
                    <w:rFonts w:eastAsia="Calibri"/>
                    <w:sz w:val="22"/>
                    <w:szCs w:val="22"/>
                  </w:rPr>
                  <w:t>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w:t>
                </w:r>
                <w:r>
                  <w:rPr>
                    <w:rFonts w:eastAsia="Calibri"/>
                    <w:sz w:val="22"/>
                    <w:szCs w:val="22"/>
                  </w:rPr>
                  <w:t>ų vykdymo, tai subjektas, vykdydamas tą veiklą, veikia kaip ūkio subjektas. O jeigu tos ūkinės veiklos negalima atskirti nuo valdžios įgaliojimų vykdymo, visa to subjekto vykdoma veikla yra su tų valdžios įgaliojimų vykdymu susijusi veikla, todėl nepatenka</w:t>
                </w:r>
                <w:r>
                  <w:rPr>
                    <w:rFonts w:eastAsia="Calibri"/>
                    <w:sz w:val="22"/>
                    <w:szCs w:val="22"/>
                  </w:rPr>
                  <w:t xml:space="preserve"> į ūkio subjekto sąvokos taikymo sritį. Tokioms veikloms priskiriamų veiklų pavyzdžiai (šis sąrašas nėra baigtinis):</w:t>
                </w:r>
              </w:p>
              <w:p w:rsidR="00E277C3" w:rsidRDefault="00DD7E53">
                <w:pPr>
                  <w:jc w:val="both"/>
                  <w:rPr>
                    <w:rFonts w:eastAsia="Calibri"/>
                    <w:sz w:val="22"/>
                    <w:szCs w:val="22"/>
                  </w:rPr>
                </w:pPr>
                <w:r>
                  <w:rPr>
                    <w:rFonts w:eastAsia="Calibri"/>
                    <w:sz w:val="22"/>
                    <w:szCs w:val="22"/>
                  </w:rPr>
                  <w:t>a) kariuomenė arba policija;</w:t>
                </w:r>
              </w:p>
              <w:p w:rsidR="00E277C3" w:rsidRDefault="00DD7E53">
                <w:pPr>
                  <w:jc w:val="both"/>
                  <w:rPr>
                    <w:rFonts w:eastAsia="Calibri"/>
                    <w:sz w:val="22"/>
                    <w:szCs w:val="22"/>
                  </w:rPr>
                </w:pPr>
                <w:r>
                  <w:rPr>
                    <w:rFonts w:eastAsia="Calibri"/>
                    <w:sz w:val="22"/>
                    <w:szCs w:val="22"/>
                  </w:rPr>
                  <w:t>b) oro navigacijos sauga ir kontrolė;</w:t>
                </w:r>
              </w:p>
              <w:p w:rsidR="00E277C3" w:rsidRDefault="00DD7E53">
                <w:pPr>
                  <w:jc w:val="both"/>
                  <w:rPr>
                    <w:rFonts w:eastAsia="Calibri"/>
                    <w:sz w:val="22"/>
                    <w:szCs w:val="22"/>
                  </w:rPr>
                </w:pPr>
                <w:r>
                  <w:rPr>
                    <w:rFonts w:eastAsia="Calibri"/>
                    <w:sz w:val="22"/>
                    <w:szCs w:val="22"/>
                  </w:rPr>
                  <w:t>c) jūrų eismo kontrolė ir sauga;</w:t>
                </w:r>
              </w:p>
              <w:p w:rsidR="00E277C3" w:rsidRDefault="00DD7E53">
                <w:pPr>
                  <w:jc w:val="both"/>
                  <w:rPr>
                    <w:rFonts w:eastAsia="Calibri"/>
                    <w:sz w:val="22"/>
                    <w:szCs w:val="22"/>
                  </w:rPr>
                </w:pPr>
                <w:r>
                  <w:rPr>
                    <w:rFonts w:eastAsia="Calibri"/>
                    <w:sz w:val="22"/>
                    <w:szCs w:val="22"/>
                  </w:rPr>
                  <w:t>d) kovos su tarša priežiūra;</w:t>
                </w:r>
              </w:p>
              <w:p w:rsidR="00E277C3" w:rsidRDefault="00DD7E53">
                <w:pPr>
                  <w:jc w:val="both"/>
                  <w:rPr>
                    <w:rFonts w:eastAsia="Calibri"/>
                    <w:sz w:val="22"/>
                    <w:szCs w:val="22"/>
                  </w:rPr>
                </w:pPr>
                <w:r>
                  <w:rPr>
                    <w:rFonts w:eastAsia="Calibri"/>
                    <w:sz w:val="22"/>
                    <w:szCs w:val="22"/>
                  </w:rPr>
                  <w:t>e) laisvės</w:t>
                </w:r>
                <w:r>
                  <w:rPr>
                    <w:rFonts w:eastAsia="Calibri"/>
                    <w:sz w:val="22"/>
                    <w:szCs w:val="22"/>
                  </w:rPr>
                  <w:t xml:space="preserve"> atėmimo nuosprendžių organizavimas, finansavimas ir vykdymas;</w:t>
                </w:r>
              </w:p>
              <w:p w:rsidR="00E277C3" w:rsidRDefault="00DD7E53">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E277C3" w:rsidRDefault="00DD7E53">
                <w:pPr>
                  <w:jc w:val="both"/>
                  <w:rPr>
                    <w:rFonts w:eastAsia="Calibri"/>
                    <w:sz w:val="22"/>
                    <w:szCs w:val="22"/>
                  </w:rPr>
                </w:pPr>
                <w:r>
                  <w:rPr>
                    <w:rFonts w:eastAsia="Calibri"/>
                    <w:sz w:val="22"/>
                    <w:szCs w:val="22"/>
                  </w:rPr>
                  <w:t>Ūkine veikla gali būti nelaikoma dalis veiklų socialinės apsaugos, sveikatos priežiūros, kultūros, švietimo ir mokslinių tyrimų sektoriuose, kaip apibūdinta Komisijos pranešime dėl Sutarties dėl Europos Sąjungos veikimo 107 straipsnio 1 dalyje vartojamos v</w:t>
                </w:r>
                <w:r>
                  <w:rPr>
                    <w:rFonts w:eastAsia="Calibri"/>
                    <w:sz w:val="22"/>
                    <w:szCs w:val="22"/>
                  </w:rPr>
                  <w:t xml:space="preserve">alstybės pagalbos sąvokos (2016/C 262/01). Taip pat ūkine veikla nėra laikoma viešos infrastruktūros objektų, neskirtų ūkinei veiklai vykdyti, statyba. </w:t>
                </w:r>
              </w:p>
            </w:tc>
          </w:tr>
          <w:tr w:rsidR="00E277C3">
            <w:tc>
              <w:tcPr>
                <w:tcW w:w="5000" w:type="pct"/>
                <w:gridSpan w:val="5"/>
                <w:shd w:val="clear" w:color="auto" w:fill="auto"/>
              </w:tcPr>
              <w:p w:rsidR="00E277C3" w:rsidRDefault="00DD7E53">
                <w:pPr>
                  <w:jc w:val="center"/>
                  <w:rPr>
                    <w:rFonts w:eastAsia="Calibri"/>
                    <w:b/>
                    <w:sz w:val="22"/>
                    <w:szCs w:val="22"/>
                  </w:rPr>
                </w:pPr>
                <w:r>
                  <w:rPr>
                    <w:rFonts w:eastAsia="Calibri"/>
                    <w:b/>
                    <w:sz w:val="22"/>
                    <w:szCs w:val="22"/>
                  </w:rPr>
                  <w:t>Pasirinkimo pagrindimas</w:t>
                </w:r>
              </w:p>
            </w:tc>
          </w:tr>
          <w:tr w:rsidR="00E277C3">
            <w:tc>
              <w:tcPr>
                <w:tcW w:w="5000" w:type="pct"/>
                <w:gridSpan w:val="5"/>
                <w:shd w:val="clear" w:color="auto" w:fill="auto"/>
              </w:tcPr>
              <w:p w:rsidR="00E277C3" w:rsidRDefault="00DD7E53">
                <w:pPr>
                  <w:jc w:val="both"/>
                  <w:rPr>
                    <w:rFonts w:eastAsia="Calibri"/>
                    <w:i/>
                    <w:sz w:val="22"/>
                    <w:szCs w:val="22"/>
                  </w:rPr>
                </w:pPr>
                <w:r>
                  <w:rPr>
                    <w:rFonts w:eastAsia="Calibri"/>
                    <w:i/>
                    <w:sz w:val="22"/>
                    <w:szCs w:val="22"/>
                  </w:rPr>
                  <w:t>(Pagrįskite savo pasirinkimą)</w:t>
                </w:r>
              </w:p>
              <w:p w:rsidR="00E277C3" w:rsidRDefault="00E277C3">
                <w:pPr>
                  <w:jc w:val="both"/>
                  <w:rPr>
                    <w:rFonts w:eastAsia="Calibri"/>
                    <w:i/>
                    <w:sz w:val="22"/>
                    <w:szCs w:val="22"/>
                  </w:rPr>
                </w:pPr>
              </w:p>
              <w:p w:rsidR="00E277C3" w:rsidRDefault="00DD7E53">
                <w:pPr>
                  <w:jc w:val="both"/>
                  <w:rPr>
                    <w:rFonts w:eastAsia="Calibri"/>
                    <w:i/>
                    <w:iCs/>
                    <w:sz w:val="22"/>
                    <w:szCs w:val="22"/>
                    <w:u w:val="single"/>
                  </w:rPr>
                </w:pPr>
                <w:r>
                  <w:rPr>
                    <w:rFonts w:eastAsia="Calibri"/>
                    <w:i/>
                    <w:iCs/>
                    <w:sz w:val="22"/>
                    <w:szCs w:val="22"/>
                  </w:rPr>
                  <w:t>Teikiant pagrindimą rekomenduojama remtis Komi</w:t>
                </w:r>
                <w:r>
                  <w:rPr>
                    <w:rFonts w:eastAsia="Calibri"/>
                    <w:i/>
                    <w:iCs/>
                    <w:sz w:val="22"/>
                    <w:szCs w:val="22"/>
                  </w:rPr>
                  <w:t>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E277C3">
            <w:tc>
              <w:tcPr>
                <w:tcW w:w="319" w:type="pct"/>
                <w:shd w:val="clear" w:color="auto" w:fill="auto"/>
              </w:tcPr>
              <w:p w:rsidR="00E277C3" w:rsidRDefault="00DD7E53">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E277C3" w:rsidRDefault="00E277C3">
                <w:pPr>
                  <w:rPr>
                    <w:sz w:val="10"/>
                    <w:szCs w:val="10"/>
                  </w:rPr>
                </w:pPr>
              </w:p>
              <w:p w:rsidR="00E277C3" w:rsidRDefault="00DD7E53">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E277C3" w:rsidRDefault="00E277C3">
                <w:pPr>
                  <w:rPr>
                    <w:sz w:val="10"/>
                    <w:szCs w:val="10"/>
                  </w:rPr>
                </w:pPr>
              </w:p>
              <w:p w:rsidR="00E277C3" w:rsidRDefault="00DD7E53">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277C3">
            <w:tc>
              <w:tcPr>
                <w:tcW w:w="5000" w:type="pct"/>
                <w:gridSpan w:val="5"/>
                <w:shd w:val="clear" w:color="auto" w:fill="auto"/>
              </w:tcPr>
              <w:p w:rsidR="00E277C3" w:rsidRDefault="00DD7E53">
                <w:pPr>
                  <w:jc w:val="both"/>
                  <w:rPr>
                    <w:rFonts w:eastAsia="Calibri"/>
                    <w:sz w:val="22"/>
                    <w:szCs w:val="22"/>
                  </w:rPr>
                </w:pPr>
                <w:r>
                  <w:rPr>
                    <w:rFonts w:eastAsia="Calibri"/>
                    <w:b/>
                    <w:sz w:val="22"/>
                    <w:szCs w:val="22"/>
                  </w:rPr>
                  <w:t xml:space="preserve">Išskirtinė ekonominė </w:t>
                </w:r>
                <w:r>
                  <w:rPr>
                    <w:rFonts w:eastAsia="Calibri"/>
                    <w:b/>
                    <w:sz w:val="22"/>
                    <w:szCs w:val="22"/>
                  </w:rPr>
                  <w:t>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w:t>
                </w:r>
                <w:r>
                  <w:rPr>
                    <w:rFonts w:eastAsia="Calibri"/>
                    <w:sz w:val="22"/>
                    <w:szCs w:val="22"/>
                  </w:rPr>
                  <w:t>finansavimas teikiamas infrastruktūros objektams ar įrangai (ilgalaikiam turtui) įsigyti, finansavimo nauda turi būti vertinama infrastruktūros statytojo / savininko, valdytojo ir galutinio naudos gavėjo lygmeniu. Pavyzdžiui, negrąžintina subsidija, lengva</w:t>
                </w:r>
                <w:r>
                  <w:rPr>
                    <w:rFonts w:eastAsia="Calibri"/>
                    <w:sz w:val="22"/>
                    <w:szCs w:val="22"/>
                  </w:rPr>
                  <w:t>tinė paskola (su mažesnėmis nei rinkoje palūkanų normomis ar kitomis lengvatinėmis sąlygomis), suteikiama neapmokestinama garantija paskolai arba apmokestinama ne rinkos kaina. Išskirtinė nauda ūkio subjektui gali būti suteikta įvairiais būdais. Nėra skirt</w:t>
                </w:r>
                <w:r>
                  <w:rPr>
                    <w:rFonts w:eastAsia="Calibri"/>
                    <w:sz w:val="22"/>
                    <w:szCs w:val="22"/>
                  </w:rPr>
                  <w:t xml:space="preserve">umo, kokiais būdais teikiama valstybės pagalba – svarbus jos poveikis. </w:t>
                </w:r>
              </w:p>
              <w:p w:rsidR="00E277C3" w:rsidRDefault="00DD7E53">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w:t>
                </w:r>
                <w:r>
                  <w:rPr>
                    <w:rFonts w:eastAsia="Calibri"/>
                    <w:sz w:val="22"/>
                    <w:szCs w:val="22"/>
                  </w:rPr>
                  <w:t>ataus kapitalo rinkose, vadinasi, šių lėšų teikimas gali būti valstybės pagalba. Šiuo atveju būtina nustatyti, ar privatus investuotojas investuotų į šią įmonę tokiomis pat sąlygomis, vertindamas tik potencialią savo investicijų grąžą ir neatsižvelgdamas į</w:t>
                </w:r>
                <w:r>
                  <w:rPr>
                    <w:rFonts w:eastAsia="Calibri"/>
                    <w:sz w:val="22"/>
                    <w:szCs w:val="22"/>
                  </w:rPr>
                  <w:t xml:space="preserve"> regioninius ar socialinius veiksnius. Jei privatus investuotojas neinvestuotų į tokią įmonę, vadinasi, suteiktos lėšos gali būti valstybės pagalba.</w:t>
                </w:r>
              </w:p>
              <w:p w:rsidR="00E277C3" w:rsidRDefault="00E277C3">
                <w:pPr>
                  <w:jc w:val="both"/>
                  <w:rPr>
                    <w:rFonts w:eastAsia="Calibri"/>
                    <w:sz w:val="22"/>
                    <w:szCs w:val="22"/>
                  </w:rPr>
                </w:pPr>
              </w:p>
              <w:p w:rsidR="00E277C3" w:rsidRDefault="00DD7E53">
                <w:pPr>
                  <w:jc w:val="both"/>
                  <w:rPr>
                    <w:rFonts w:eastAsia="Calibri"/>
                    <w:sz w:val="22"/>
                    <w:szCs w:val="22"/>
                  </w:rPr>
                </w:pPr>
                <w:r>
                  <w:rPr>
                    <w:rFonts w:eastAsia="Calibri"/>
                    <w:sz w:val="22"/>
                    <w:szCs w:val="22"/>
                  </w:rPr>
                  <w:t>Jei numatoma, kad finansavimas bus skiriamas ūkio subjekto sąnaudoms, atsiradusioms dėl viešųjų, arba visu</w:t>
                </w:r>
                <w:r>
                  <w:rPr>
                    <w:rFonts w:eastAsia="Calibri"/>
                    <w:sz w:val="22"/>
                    <w:szCs w:val="22"/>
                  </w:rPr>
                  <w:t>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E277C3" w:rsidRDefault="00DD7E5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w:t>
                </w:r>
                <w:r>
                  <w:rPr>
                    <w:rFonts w:eastAsia="Calibri"/>
                    <w:sz w:val="22"/>
                    <w:szCs w:val="22"/>
                  </w:rPr>
                  <w:t>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E277C3" w:rsidRDefault="00DD7E5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E277C3" w:rsidRDefault="00DD7E5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kompensacija neviršija grynųjų paslaugos teikimo sąnaudų, įskaitant</w:t>
                </w:r>
                <w:r>
                  <w:rPr>
                    <w:rFonts w:eastAsia="Calibri"/>
                    <w:sz w:val="22"/>
                    <w:szCs w:val="22"/>
                  </w:rPr>
                  <w:t xml:space="preserve"> pagrįstą pelną (t. y. kompensuojama nepermokant); ir </w:t>
                </w:r>
              </w:p>
              <w:p w:rsidR="00E277C3" w:rsidRDefault="00DD7E53">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w:t>
                </w:r>
                <w:r>
                  <w:rPr>
                    <w:rFonts w:eastAsia="Calibri"/>
                    <w:sz w:val="22"/>
                    <w:szCs w:val="22"/>
                  </w:rPr>
                  <w:t>s svarbos paslaugas, išlaidos kompensuojamos pagal įprastos gerai valdomos įmonės patiriamas išlaidas.</w:t>
                </w:r>
              </w:p>
            </w:tc>
          </w:tr>
          <w:tr w:rsidR="00E277C3">
            <w:tc>
              <w:tcPr>
                <w:tcW w:w="5000" w:type="pct"/>
                <w:gridSpan w:val="5"/>
                <w:shd w:val="clear" w:color="auto" w:fill="auto"/>
              </w:tcPr>
              <w:p w:rsidR="00E277C3" w:rsidRDefault="00DD7E53">
                <w:pPr>
                  <w:jc w:val="center"/>
                  <w:rPr>
                    <w:rFonts w:eastAsia="Calibri"/>
                    <w:b/>
                    <w:sz w:val="22"/>
                    <w:szCs w:val="22"/>
                  </w:rPr>
                </w:pPr>
                <w:r>
                  <w:rPr>
                    <w:rFonts w:eastAsia="Calibri"/>
                    <w:b/>
                    <w:sz w:val="22"/>
                    <w:szCs w:val="22"/>
                  </w:rPr>
                  <w:t>Pasirinkimo pagrindimas</w:t>
                </w:r>
              </w:p>
            </w:tc>
          </w:tr>
          <w:tr w:rsidR="00E277C3">
            <w:tc>
              <w:tcPr>
                <w:tcW w:w="5000" w:type="pct"/>
                <w:gridSpan w:val="5"/>
                <w:shd w:val="clear" w:color="auto" w:fill="auto"/>
              </w:tcPr>
              <w:p w:rsidR="00E277C3" w:rsidRDefault="00DD7E53">
                <w:pPr>
                  <w:jc w:val="both"/>
                  <w:rPr>
                    <w:rFonts w:eastAsia="Calibri"/>
                    <w:i/>
                    <w:sz w:val="22"/>
                    <w:szCs w:val="22"/>
                  </w:rPr>
                </w:pPr>
                <w:r>
                  <w:rPr>
                    <w:rFonts w:eastAsia="Calibri"/>
                    <w:i/>
                    <w:sz w:val="22"/>
                    <w:szCs w:val="22"/>
                  </w:rPr>
                  <w:t>(Pagrįskite savo pasirinkimą)</w:t>
                </w:r>
              </w:p>
            </w:tc>
          </w:tr>
          <w:tr w:rsidR="00E277C3">
            <w:tc>
              <w:tcPr>
                <w:tcW w:w="319" w:type="pct"/>
                <w:shd w:val="clear" w:color="auto" w:fill="auto"/>
              </w:tcPr>
              <w:p w:rsidR="00E277C3" w:rsidRDefault="00DD7E53">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E277C3" w:rsidRDefault="00E277C3">
                <w:pPr>
                  <w:rPr>
                    <w:sz w:val="10"/>
                    <w:szCs w:val="10"/>
                  </w:rPr>
                </w:pPr>
              </w:p>
              <w:p w:rsidR="00E277C3" w:rsidRDefault="00DD7E53">
                <w:pPr>
                  <w:jc w:val="both"/>
                  <w:rPr>
                    <w:rFonts w:eastAsia="Calibri"/>
                    <w:b/>
                    <w:sz w:val="22"/>
                    <w:szCs w:val="22"/>
                  </w:rPr>
                </w:pPr>
                <w:r>
                  <w:rPr>
                    <w:rFonts w:eastAsia="Calibri"/>
                    <w:b/>
                    <w:sz w:val="22"/>
                    <w:szCs w:val="22"/>
                  </w:rPr>
                  <w:t xml:space="preserve">Ar finansavimą numatoma teikti / teikiamas tam tikroms pasirinktoms prekėms gaminti ar </w:t>
                </w:r>
                <w:r>
                  <w:rPr>
                    <w:rFonts w:eastAsia="Calibri"/>
                    <w:b/>
                    <w:sz w:val="22"/>
                    <w:szCs w:val="22"/>
                  </w:rPr>
                  <w:t>paslaugoms teikti, arba tam tikriems pasirinktiems ūkio subjektams (-ui), t. y. ar finansavimo priemonė yra selektyvaus pobūdžio?</w:t>
                </w:r>
              </w:p>
            </w:tc>
            <w:tc>
              <w:tcPr>
                <w:tcW w:w="632"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E277C3" w:rsidRDefault="00E277C3">
                <w:pPr>
                  <w:rPr>
                    <w:sz w:val="10"/>
                    <w:szCs w:val="10"/>
                  </w:rPr>
                </w:pPr>
              </w:p>
              <w:p w:rsidR="00E277C3" w:rsidRDefault="00DD7E53">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277C3">
            <w:tc>
              <w:tcPr>
                <w:tcW w:w="5000" w:type="pct"/>
                <w:gridSpan w:val="5"/>
                <w:shd w:val="clear" w:color="auto" w:fill="auto"/>
              </w:tcPr>
              <w:p w:rsidR="00E277C3" w:rsidRDefault="00DD7E53">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diskrecijos teise. </w:t>
                </w:r>
              </w:p>
            </w:tc>
          </w:tr>
          <w:tr w:rsidR="00E277C3">
            <w:tc>
              <w:tcPr>
                <w:tcW w:w="5000" w:type="pct"/>
                <w:gridSpan w:val="5"/>
                <w:shd w:val="clear" w:color="auto" w:fill="auto"/>
              </w:tcPr>
              <w:p w:rsidR="00E277C3" w:rsidRDefault="00DD7E53">
                <w:pPr>
                  <w:jc w:val="center"/>
                  <w:rPr>
                    <w:rFonts w:eastAsia="Calibri"/>
                    <w:b/>
                    <w:sz w:val="22"/>
                    <w:szCs w:val="22"/>
                  </w:rPr>
                </w:pPr>
                <w:r>
                  <w:rPr>
                    <w:rFonts w:eastAsia="Calibri"/>
                    <w:b/>
                    <w:sz w:val="22"/>
                    <w:szCs w:val="22"/>
                  </w:rPr>
                  <w:t>Pasirinkimo pagrindimas</w:t>
                </w:r>
              </w:p>
            </w:tc>
          </w:tr>
          <w:tr w:rsidR="00E277C3">
            <w:tc>
              <w:tcPr>
                <w:tcW w:w="5000" w:type="pct"/>
                <w:gridSpan w:val="5"/>
                <w:shd w:val="clear" w:color="auto" w:fill="auto"/>
              </w:tcPr>
              <w:p w:rsidR="00E277C3" w:rsidRDefault="00DD7E53">
                <w:pPr>
                  <w:jc w:val="both"/>
                  <w:rPr>
                    <w:rFonts w:eastAsia="Calibri"/>
                    <w:i/>
                    <w:sz w:val="22"/>
                    <w:szCs w:val="22"/>
                  </w:rPr>
                </w:pPr>
                <w:r>
                  <w:rPr>
                    <w:rFonts w:eastAsia="Calibri"/>
                    <w:i/>
                    <w:sz w:val="22"/>
                    <w:szCs w:val="22"/>
                  </w:rPr>
                  <w:t>(Pagrįskite savo pasirinkimą)</w:t>
                </w:r>
              </w:p>
            </w:tc>
          </w:tr>
          <w:tr w:rsidR="00E277C3">
            <w:tc>
              <w:tcPr>
                <w:tcW w:w="319" w:type="pct"/>
                <w:shd w:val="clear" w:color="auto" w:fill="auto"/>
              </w:tcPr>
              <w:p w:rsidR="00E277C3" w:rsidRDefault="00DD7E53">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E277C3" w:rsidRDefault="00E277C3">
                <w:pPr>
                  <w:rPr>
                    <w:sz w:val="10"/>
                    <w:szCs w:val="10"/>
                  </w:rPr>
                </w:pPr>
              </w:p>
              <w:p w:rsidR="00E277C3" w:rsidRDefault="00DD7E53">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E277C3" w:rsidRDefault="00E277C3">
                <w:pPr>
                  <w:rPr>
                    <w:sz w:val="10"/>
                    <w:szCs w:val="10"/>
                  </w:rPr>
                </w:pPr>
              </w:p>
              <w:p w:rsidR="00E277C3" w:rsidRDefault="00DD7E53">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E277C3" w:rsidRDefault="00E277C3">
                <w:pPr>
                  <w:rPr>
                    <w:sz w:val="10"/>
                    <w:szCs w:val="10"/>
                  </w:rPr>
                </w:pPr>
              </w:p>
              <w:p w:rsidR="00E277C3" w:rsidRDefault="00DD7E53">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277C3">
            <w:tc>
              <w:tcPr>
                <w:tcW w:w="5000" w:type="pct"/>
                <w:gridSpan w:val="5"/>
                <w:shd w:val="clear" w:color="auto" w:fill="auto"/>
              </w:tcPr>
              <w:p w:rsidR="00E277C3" w:rsidRDefault="00DD7E53">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w:t>
                </w:r>
                <w:r>
                  <w:rPr>
                    <w:rFonts w:eastAsia="Calibri"/>
                    <w:sz w:val="22"/>
                    <w:szCs w:val="22"/>
                  </w:rPr>
                  <w:t>žinoti, ar rinka yra liberalizuota ir joje vyksta konkurencija. Pats faktas, kad ūkio subjekto konkurencinė padėtis, palyginti su kitais konkuruojančiais ūkio subjektais, pagerėja jam gavus ekonominės naudos, kurios jis nebūtų gavęs įprastomis verslo sąlyg</w:t>
                </w:r>
                <w:r>
                  <w:rPr>
                    <w:rFonts w:eastAsia="Calibri"/>
                    <w:sz w:val="22"/>
                    <w:szCs w:val="22"/>
                  </w:rPr>
                  <w:t>omis, rodo, kad konkurencija gali būti iškreipta. Jei finansavimas yra teikiamas vietinio pobūdžio veiklai paremti (pavyzdžiui, kirpyklai, kurios klientai yra tik miestelio gyventojai), šis finansavimas paprastai neveikia prekybos tarp šalių. Tačiau būtina</w:t>
                </w:r>
                <w:r>
                  <w:rPr>
                    <w:rFonts w:eastAsia="Calibri"/>
                    <w:sz w:val="22"/>
                    <w:szCs w:val="22"/>
                  </w:rPr>
                  <w:t xml:space="preserve"> žinoti, kad finansavimas ūkio subjektui gali veikti prekybą tarp šalių ir tais atvejais, kai konkretus ūkio subjektas neeksportuoja savo teikiamų paslaugų ar gaminamų prekių. Gali pakakti fakto, jog nagrinėjamomis paslaugomis ar prekėmis apskritai prekiau</w:t>
                </w:r>
                <w:r>
                  <w:rPr>
                    <w:rFonts w:eastAsia="Calibri"/>
                    <w:sz w:val="22"/>
                    <w:szCs w:val="22"/>
                  </w:rPr>
                  <w:t xml:space="preserve">jama su ES šalimis. </w:t>
                </w:r>
              </w:p>
            </w:tc>
          </w:tr>
          <w:tr w:rsidR="00E277C3">
            <w:tc>
              <w:tcPr>
                <w:tcW w:w="5000" w:type="pct"/>
                <w:gridSpan w:val="5"/>
                <w:shd w:val="clear" w:color="auto" w:fill="auto"/>
              </w:tcPr>
              <w:p w:rsidR="00E277C3" w:rsidRDefault="00DD7E53">
                <w:pPr>
                  <w:jc w:val="center"/>
                  <w:rPr>
                    <w:rFonts w:eastAsia="Calibri"/>
                    <w:b/>
                    <w:sz w:val="22"/>
                    <w:szCs w:val="22"/>
                  </w:rPr>
                </w:pPr>
                <w:r>
                  <w:rPr>
                    <w:rFonts w:eastAsia="Calibri"/>
                    <w:b/>
                    <w:sz w:val="22"/>
                    <w:szCs w:val="22"/>
                  </w:rPr>
                  <w:t>Pasirinkimo pagrindimas</w:t>
                </w:r>
              </w:p>
            </w:tc>
          </w:tr>
          <w:tr w:rsidR="00E277C3">
            <w:tc>
              <w:tcPr>
                <w:tcW w:w="5000" w:type="pct"/>
                <w:gridSpan w:val="5"/>
                <w:shd w:val="clear" w:color="auto" w:fill="auto"/>
              </w:tcPr>
              <w:p w:rsidR="00E277C3" w:rsidRDefault="00DD7E53">
                <w:pPr>
                  <w:jc w:val="both"/>
                  <w:rPr>
                    <w:rFonts w:eastAsia="Calibri"/>
                    <w:i/>
                    <w:sz w:val="22"/>
                    <w:szCs w:val="22"/>
                  </w:rPr>
                </w:pPr>
                <w:r>
                  <w:rPr>
                    <w:rFonts w:eastAsia="Calibri"/>
                    <w:i/>
                    <w:sz w:val="22"/>
                    <w:szCs w:val="22"/>
                  </w:rPr>
                  <w:t>(Pagrįskite savo pasirinkimą)</w:t>
                </w:r>
              </w:p>
            </w:tc>
          </w:tr>
          <w:tr w:rsidR="00E277C3">
            <w:tc>
              <w:tcPr>
                <w:tcW w:w="5000" w:type="pct"/>
                <w:gridSpan w:val="5"/>
                <w:shd w:val="pct20" w:color="auto" w:fill="auto"/>
              </w:tcPr>
              <w:p w:rsidR="00E277C3" w:rsidRDefault="00DD7E53">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E277C3" w:rsidRDefault="00DD7E53">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E277C3">
            <w:tc>
              <w:tcPr>
                <w:tcW w:w="5000" w:type="pct"/>
                <w:gridSpan w:val="5"/>
                <w:shd w:val="clear" w:color="auto" w:fill="auto"/>
              </w:tcPr>
              <w:p w:rsidR="00E277C3" w:rsidRDefault="00E277C3">
                <w:pPr>
                  <w:rPr>
                    <w:sz w:val="20"/>
                  </w:rPr>
                </w:pPr>
              </w:p>
              <w:p w:rsidR="00E277C3" w:rsidRDefault="00E277C3">
                <w:pPr>
                  <w:spacing w:line="276" w:lineRule="auto"/>
                  <w:ind w:firstLine="57"/>
                  <w:jc w:val="both"/>
                  <w:rPr>
                    <w:rFonts w:eastAsia="Calibri"/>
                    <w:sz w:val="22"/>
                    <w:szCs w:val="22"/>
                  </w:rPr>
                </w:pPr>
              </w:p>
              <w:p w:rsidR="00E277C3" w:rsidRDefault="00E277C3">
                <w:pPr>
                  <w:spacing w:line="276" w:lineRule="auto"/>
                  <w:jc w:val="both"/>
                  <w:rPr>
                    <w:rFonts w:eastAsia="Calibri"/>
                    <w:sz w:val="22"/>
                    <w:szCs w:val="22"/>
                  </w:rPr>
                </w:pPr>
              </w:p>
              <w:p w:rsidR="00E277C3" w:rsidRDefault="00E277C3">
                <w:pPr>
                  <w:spacing w:line="276" w:lineRule="auto"/>
                  <w:jc w:val="both"/>
                  <w:rPr>
                    <w:rFonts w:eastAsia="Calibri"/>
                    <w:sz w:val="22"/>
                    <w:szCs w:val="22"/>
                  </w:rPr>
                </w:pPr>
              </w:p>
              <w:p w:rsidR="00E277C3" w:rsidRDefault="00DD7E53">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rsidR="00E277C3" w:rsidRDefault="00E277C3">
                <w:pPr>
                  <w:rPr>
                    <w:sz w:val="20"/>
                  </w:rPr>
                </w:pPr>
              </w:p>
              <w:p w:rsidR="00E277C3" w:rsidRDefault="00DD7E53">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E277C3" w:rsidRDefault="00E277C3">
                <w:pPr>
                  <w:rPr>
                    <w:sz w:val="20"/>
                  </w:rPr>
                </w:pPr>
              </w:p>
              <w:p w:rsidR="00E277C3" w:rsidRDefault="00DD7E53">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w:t>
                </w:r>
                <w:r>
                  <w:rPr>
                    <w:rFonts w:eastAsia="Calibri"/>
                    <w:sz w:val="22"/>
                    <w:szCs w:val="22"/>
                  </w:rPr>
                  <w:t>agal priemonės veiklą ar poveiklę / projektą remtinos veiklos nebus laikomos valstybės pagalba, tačiau ja gali tapti (žymima, jei į nors vieną I dalies klausimą atsakyta neigiamai, tačiau pastabose nurodyta, kad tam tikrus aspektus reikia nuolat stebėti dė</w:t>
                </w:r>
                <w:r>
                  <w:rPr>
                    <w:rFonts w:eastAsia="Calibri"/>
                    <w:sz w:val="22"/>
                    <w:szCs w:val="22"/>
                  </w:rPr>
                  <w:t xml:space="preserve">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E277C3">
            <w:tc>
              <w:tcPr>
                <w:tcW w:w="5000" w:type="pct"/>
                <w:gridSpan w:val="5"/>
                <w:shd w:val="clear" w:color="auto" w:fill="auto"/>
              </w:tcPr>
              <w:p w:rsidR="00E277C3" w:rsidRDefault="00DD7E53">
                <w:pPr>
                  <w:jc w:val="center"/>
                  <w:rPr>
                    <w:rFonts w:eastAsia="Calibri"/>
                    <w:b/>
                    <w:sz w:val="22"/>
                    <w:szCs w:val="22"/>
                  </w:rPr>
                </w:pPr>
                <w:r>
                  <w:rPr>
                    <w:rFonts w:eastAsia="Calibri"/>
                    <w:b/>
                    <w:sz w:val="22"/>
                    <w:szCs w:val="22"/>
                  </w:rPr>
                  <w:t>Pasirinkimo pagrindimas</w:t>
                </w:r>
              </w:p>
            </w:tc>
          </w:tr>
          <w:tr w:rsidR="00E277C3">
            <w:tc>
              <w:tcPr>
                <w:tcW w:w="5000" w:type="pct"/>
                <w:gridSpan w:val="5"/>
                <w:shd w:val="clear" w:color="auto" w:fill="auto"/>
              </w:tcPr>
              <w:p w:rsidR="00E277C3" w:rsidRDefault="00DD7E53">
                <w:pPr>
                  <w:jc w:val="both"/>
                  <w:rPr>
                    <w:rFonts w:eastAsia="Calibri"/>
                    <w:i/>
                    <w:sz w:val="22"/>
                    <w:szCs w:val="22"/>
                  </w:rPr>
                </w:pPr>
                <w:r>
                  <w:rPr>
                    <w:rFonts w:eastAsia="Calibri"/>
                    <w:i/>
                    <w:sz w:val="22"/>
                    <w:szCs w:val="22"/>
                  </w:rPr>
                  <w:t>(Pagrįskite savo pasirinkimą)</w:t>
                </w:r>
              </w:p>
            </w:tc>
          </w:tr>
        </w:tbl>
        <w:p w:rsidR="00E277C3" w:rsidRDefault="00E277C3">
          <w:pPr>
            <w:tabs>
              <w:tab w:val="left" w:pos="6946"/>
            </w:tabs>
            <w:rPr>
              <w:rFonts w:eastAsia="Calibri"/>
              <w:szCs w:val="24"/>
            </w:rPr>
          </w:pPr>
        </w:p>
        <w:p w:rsidR="00E277C3" w:rsidRDefault="00E277C3">
          <w:pPr>
            <w:tabs>
              <w:tab w:val="left" w:pos="6946"/>
            </w:tabs>
            <w:rPr>
              <w:rFonts w:eastAsia="Calibri"/>
              <w:szCs w:val="24"/>
            </w:rPr>
          </w:pPr>
        </w:p>
        <w:p w:rsidR="00E277C3" w:rsidRDefault="00E277C3">
          <w:pPr>
            <w:tabs>
              <w:tab w:val="left" w:pos="6946"/>
            </w:tabs>
            <w:rPr>
              <w:rFonts w:eastAsia="Calibri"/>
              <w:szCs w:val="24"/>
            </w:rPr>
          </w:pPr>
        </w:p>
        <w:p w:rsidR="00E277C3" w:rsidRDefault="00DD7E53">
          <w:pPr>
            <w:tabs>
              <w:tab w:val="left" w:pos="6946"/>
            </w:tabs>
            <w:rPr>
              <w:rFonts w:eastAsia="Calibri"/>
              <w:szCs w:val="24"/>
            </w:rPr>
          </w:pPr>
          <w:r>
            <w:rPr>
              <w:rFonts w:eastAsia="Calibri"/>
              <w:szCs w:val="24"/>
            </w:rPr>
            <w:t xml:space="preserve">_____________________________________ </w:t>
          </w:r>
          <w:r>
            <w:rPr>
              <w:rFonts w:eastAsia="Calibri"/>
              <w:szCs w:val="24"/>
            </w:rPr>
            <w:tab/>
          </w:r>
          <w:r>
            <w:rPr>
              <w:rFonts w:eastAsia="Calibri"/>
              <w:szCs w:val="24"/>
            </w:rPr>
            <w:t>____________________</w:t>
          </w:r>
          <w:r>
            <w:rPr>
              <w:rFonts w:eastAsia="Calibri"/>
              <w:szCs w:val="24"/>
            </w:rPr>
            <w:tab/>
          </w:r>
        </w:p>
        <w:p w:rsidR="00E277C3" w:rsidRDefault="00DD7E53">
          <w:pPr>
            <w:tabs>
              <w:tab w:val="left" w:pos="426"/>
              <w:tab w:val="left" w:pos="7797"/>
            </w:tabs>
            <w:spacing w:line="276" w:lineRule="auto"/>
            <w:ind w:firstLine="426"/>
            <w:rPr>
              <w:szCs w:val="24"/>
            </w:rPr>
          </w:pPr>
          <w:r>
            <w:rPr>
              <w:rFonts w:eastAsia="Calibri"/>
              <w:szCs w:val="24"/>
            </w:rPr>
            <w:t xml:space="preserve">(vertintojo pareigos, vardas, pavardė) </w:t>
          </w:r>
          <w:r>
            <w:rPr>
              <w:rFonts w:eastAsia="Calibri"/>
              <w:szCs w:val="24"/>
            </w:rPr>
            <w:tab/>
            <w:t>(parašas)</w:t>
          </w:r>
        </w:p>
        <w:p w:rsidR="00E277C3" w:rsidRDefault="00DD7E53">
          <w:pPr>
            <w:spacing w:line="276" w:lineRule="auto"/>
            <w:jc w:val="center"/>
            <w:rPr>
              <w:szCs w:val="24"/>
            </w:rPr>
          </w:pPr>
        </w:p>
      </w:sdtContent>
    </w:sdt>
    <w:sectPr w:rsidR="00E277C3">
      <w:headerReference w:type="first" r:id="rId18"/>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77C3" w:rsidRDefault="00DD7E53">
      <w:pPr>
        <w:rPr>
          <w:sz w:val="22"/>
          <w:szCs w:val="22"/>
        </w:rPr>
      </w:pPr>
      <w:r>
        <w:rPr>
          <w:sz w:val="22"/>
          <w:szCs w:val="22"/>
        </w:rPr>
        <w:separator/>
      </w:r>
    </w:p>
  </w:endnote>
  <w:endnote w:type="continuationSeparator" w:id="0">
    <w:p w:rsidR="00E277C3" w:rsidRDefault="00DD7E53">
      <w:pPr>
        <w:rPr>
          <w:sz w:val="22"/>
          <w:szCs w:val="22"/>
        </w:rPr>
      </w:pPr>
      <w:r>
        <w:rPr>
          <w:sz w:val="22"/>
          <w:szCs w:val="22"/>
        </w:rPr>
        <w:continuationSeparator/>
      </w:r>
    </w:p>
  </w:endnote>
  <w:endnote w:type="continuationNotice" w:id="1">
    <w:p w:rsidR="00E277C3" w:rsidRDefault="00E277C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77C3" w:rsidRDefault="00DD7E53">
      <w:pPr>
        <w:rPr>
          <w:sz w:val="22"/>
          <w:szCs w:val="22"/>
        </w:rPr>
      </w:pPr>
      <w:r>
        <w:rPr>
          <w:sz w:val="22"/>
          <w:szCs w:val="22"/>
        </w:rPr>
        <w:separator/>
      </w:r>
    </w:p>
  </w:footnote>
  <w:footnote w:type="continuationSeparator" w:id="0">
    <w:p w:rsidR="00E277C3" w:rsidRDefault="00DD7E53">
      <w:pPr>
        <w:rPr>
          <w:sz w:val="22"/>
          <w:szCs w:val="22"/>
        </w:rPr>
      </w:pPr>
      <w:r>
        <w:rPr>
          <w:sz w:val="22"/>
          <w:szCs w:val="22"/>
        </w:rPr>
        <w:continuationSeparator/>
      </w:r>
    </w:p>
  </w:footnote>
  <w:footnote w:type="continuationNotice" w:id="1">
    <w:p w:rsidR="00E277C3" w:rsidRDefault="00E277C3">
      <w:pPr>
        <w:rPr>
          <w:sz w:val="22"/>
          <w:szCs w:val="22"/>
        </w:rPr>
      </w:pPr>
    </w:p>
  </w:footnote>
  <w:footnote w:id="2">
    <w:p w:rsidR="00E277C3" w:rsidRDefault="00DD7E53">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 xml:space="preserve">Commission Notice on the notion </w:t>
      </w:r>
      <w:r>
        <w:rPr>
          <w:rFonts w:eastAsia="Calibri"/>
          <w:i/>
          <w:iCs/>
          <w:sz w:val="20"/>
        </w:rPr>
        <w:t>of State aid pursuant to Article 107(1) TFEU</w:t>
      </w:r>
      <w:r>
        <w:rPr>
          <w:rFonts w:eastAsia="Calibri"/>
          <w:sz w:val="20"/>
        </w:rPr>
        <w:t>), jei taikoma.</w:t>
      </w:r>
    </w:p>
  </w:footnote>
  <w:footnote w:id="3">
    <w:p w:rsidR="00E277C3" w:rsidRDefault="00DD7E53">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įgyvendin</w:t>
      </w:r>
      <w:r>
        <w:rPr>
          <w:rFonts w:eastAsia="Calibri"/>
          <w:sz w:val="20"/>
        </w:rPr>
        <w:t>damos joms priskirtus įgaliojimus valstybės institucijos gali įgyvendinti tiek valstybinės valdžios funkcijas, tiek užsiimti ūkine-komercine veikla įgyvendindamos ūkio subjekto funkcijas.</w:t>
      </w:r>
    </w:p>
  </w:footnote>
  <w:footnote w:id="4">
    <w:p w:rsidR="00E277C3" w:rsidRDefault="00DD7E53">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w:t>
      </w:r>
      <w:r>
        <w:rPr>
          <w:rFonts w:eastAsia="Calibri"/>
          <w:sz w:val="20"/>
        </w:rPr>
        <w:t>ingumo Teismo sprendimo Bodson, 30/87,ECLI:EU:C:1988:225, 18 punkte.</w:t>
      </w:r>
    </w:p>
  </w:footnote>
  <w:footnote w:id="5">
    <w:p w:rsidR="00E277C3" w:rsidRDefault="00DD7E53">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rsidR="00E277C3" w:rsidRDefault="00DD7E53">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Europos S</w:t>
      </w:r>
      <w:r>
        <w:rPr>
          <w:rFonts w:eastAsia="Calibri"/>
          <w:sz w:val="20"/>
        </w:rPr>
        <w:t>ą</w:t>
      </w:r>
      <w:r>
        <w:rPr>
          <w:rFonts w:eastAsia="Calibri"/>
          <w:sz w:val="20"/>
          <w:lang w:val="fr-FR"/>
        </w:rPr>
        <w:t>jungos Teisingumo Teismo 2003 m. liepos 24 d. spr</w:t>
      </w:r>
      <w:r>
        <w:rPr>
          <w:rFonts w:eastAsia="Calibri"/>
          <w:sz w:val="20"/>
          <w:lang w:val="fr-FR"/>
        </w:rPr>
        <w:t xml:space="preserve">endime </w:t>
      </w:r>
      <w:r>
        <w:rPr>
          <w:rFonts w:eastAsia="Calibri"/>
          <w:i/>
          <w:iCs/>
          <w:sz w:val="20"/>
          <w:lang w:val="fr-FR"/>
        </w:rPr>
        <w:t>Altmark</w:t>
      </w:r>
      <w:r>
        <w:rPr>
          <w:rFonts w:eastAsia="Calibri"/>
          <w:sz w:val="20"/>
          <w:lang w:val="fr-FR"/>
        </w:rPr>
        <w:t xml:space="preserve">, C‑280/00, EU:C:2003:415. </w:t>
      </w:r>
    </w:p>
  </w:footnote>
  <w:footnote w:id="7">
    <w:p w:rsidR="00E277C3" w:rsidRDefault="00DD7E53">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DD7E53">
    <w:pPr>
      <w:tabs>
        <w:tab w:val="center" w:pos="4819"/>
        <w:tab w:val="right" w:pos="9638"/>
      </w:tabs>
      <w:jc w:val="center"/>
    </w:pPr>
    <w:r>
      <w:fldChar w:fldCharType="begin"/>
    </w:r>
    <w:r>
      <w:instrText>PAGE   \* MERGEFORMAT</w:instrText>
    </w:r>
    <w:r>
      <w:fldChar w:fldCharType="separate"/>
    </w:r>
    <w:r>
      <w:rPr>
        <w:noProof/>
      </w:rPr>
      <w:t>5</w:t>
    </w:r>
    <w:r>
      <w:fldChar w:fldCharType="end"/>
    </w:r>
  </w:p>
  <w:p w:rsidR="00E277C3" w:rsidRDefault="00E277C3">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77C3" w:rsidRDefault="00E277C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DD7E53"/>
    <w:rsid w:val="00E277C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48541932">
      <w:bodyDiv w:val="1"/>
      <w:marLeft w:val="0"/>
      <w:marRight w:val="0"/>
      <w:marTop w:val="0"/>
      <w:marBottom w:val="0"/>
      <w:divBdr>
        <w:top w:val="none" w:sz="0" w:space="0" w:color="auto"/>
        <w:left w:val="none" w:sz="0" w:space="0" w:color="auto"/>
        <w:bottom w:val="none" w:sz="0" w:space="0" w:color="auto"/>
        <w:right w:val="none" w:sz="0" w:space="0" w:color="auto"/>
      </w:divBdr>
    </w:div>
    <w:div w:id="307590010">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1965477">
      <w:bodyDiv w:val="1"/>
      <w:marLeft w:val="0"/>
      <w:marRight w:val="0"/>
      <w:marTop w:val="0"/>
      <w:marBottom w:val="0"/>
      <w:divBdr>
        <w:top w:val="none" w:sz="0" w:space="0" w:color="auto"/>
        <w:left w:val="none" w:sz="0" w:space="0" w:color="auto"/>
        <w:bottom w:val="none" w:sz="0" w:space="0" w:color="auto"/>
        <w:right w:val="none" w:sz="0" w:space="0" w:color="auto"/>
      </w:divBdr>
    </w:div>
    <w:div w:id="156791104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riedas" Nr="10" Abbr="10 pr." Title="2022–2030 M. PLĖTROS PROGRAMOS VALDYTOJOS LIETUVOS RESPUBLIKOS ŠVIETIMO, MOKSLO IR SPORTO MINISTERIJOS MOKSLO PLĖTROS PROGRAMOS PAŽANGOS PRIEMONĖS NR. 12-001-01-02-01 „STIPRINTI INOVACIJŲ EKOSISTEMAS MOKSLO CENTRUOSE“ PROJEKTŲ FINANSAVIMO SĄLYGŲ APRAŠAS NR. 10" DocPartId="427741ba5d134cf38d31a97437e83d3f" PartId="4154ddf74b2b4098adf7948c7ab170fb">
    <Part Type="skyrius" Nr="1" Title="VEIKLOS AR POVEIKLĖS, KURIOMS NUSTATOMOS PROJEKTŲ FINANSAVIMO SĄLYGOS" DocPartId="fa7d28211ebc4ad491deabf49dc6eeef" PartId="b410e45bc6bd4d508ae7abf1b88479ae"/>
    <Part Type="skyrius" Nr="2" Title="SPECIALIEJI FINANSAVIMO REIKALAVIMAI" DocPartId="627d762bfb444c5c95b6fb6d505c7327" PartId="9553ac6add9e423a84955793987e62ba"/>
    <Part Type="skyrius" Nr="3" Title="IŠLAIDŲ TINKAMUMO FINANSUOTI REIKALAVIMAI" DocPartId="f4bf16077aac408a870ae1ffb953fccc" PartId="1f35692901fc452e9ee6e3c0ed192c0a"/>
    <Part Type="skyrius" Nr="4" Title="SUPAPRASTINTAI APMOKAMŲ IŠLAIDŲ DYDŽIAI" DocPartId="86293fabfdd541ba8933f60ffc688a8c" PartId="64455483b5164230a306e9b322db0bfb"/>
  </Part>
  <Part Type="priedas" Nr="1" Abbr="1 pr." Title="PROJEKTO (ĮSKAITANT JUNGTINĮ PROJEKTĄ) ATITIKTIES REIKŠMINGOS ŽALOS NEDARYMO HORIZONTALIAJAM PRINCIPUI VERTINIMO REIKALAVIMŲ APRAŠAS" DocPartId="ab1f463e7c5f47d6b6d8e9c3dadaf170" PartId="01708aa1e73b4e369a36b44924878774"/>
  <Part Type="priedas" Nr="2" Abbr="2 pr." Title="INFORMACIJOS, REIKALINGOS PROJEKTO ATITIKČIAI SUMANIOSIOS SPECIALIZACIJOS KONCEPCIJAI ĮVERTINTI, FORMA" DocPartId="25990cb423c14a72b7d2e2a2f04e6932" PartId="8b1ac645bd584875a1e8ae14172f1a47">
    <Part Type="punktas" Nr="1" Abbr="2 pr. 1 p." DocPartId="76fd02f75aa749b8b1dcfe7b44ba0fc0" PartId="c5078c6448004261a78a1082b7d32de0"/>
    <Part Type="punktas" Nr="2" Abbr="2 pr. 2 p." DocPartId="42feb227655a41e397637bbd967087fa" PartId="6990c26907d54c53bf3fb848b84836cb"/>
  </Part>
  <Part Type="priedas" Nr="3" Abbr="3 pr." Title="PATIKROS LAPAS DĖL VALSTYBĖS PAGALBOS IR DE MINIMIS PAGALBOS BUVIMO AR NEBUVIMO" DocPartId="b3fa3b07f7a64b05996a439ae87be672" PartId="5405f8fd7161436e8e46a6b0fc719d53"/>
</Part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8D61BCE6-51B3-484A-A5DE-DDB1E34BD2E7}">
  <ds:schemaRefs>
    <ds:schemaRef ds:uri="http://lrs.lt/TAIS/DocParts"/>
  </ds:schemaRefs>
</ds:datastoreItem>
</file>

<file path=customXml/itemProps3.xml><?xml version="1.0" encoding="utf-8"?>
<ds:datastoreItem xmlns:ds="http://schemas.openxmlformats.org/officeDocument/2006/customXml" ds:itemID="{1F7E5569-D793-4217-B232-E816039AF86D}">
  <ds:schemaRefs>
    <ds:schemaRef ds:uri="http://purl.org/dc/dcmitype/"/>
    <ds:schemaRef ds:uri="http://schemas.microsoft.com/office/infopath/2007/PartnerControls"/>
    <ds:schemaRef ds:uri="http://purl.org/dc/elements/1.1/"/>
    <ds:schemaRef ds:uri="http://schemas.microsoft.com/office/2006/metadata/properties"/>
    <ds:schemaRef ds:uri="81bdba5e-b18c-4c8c-b425-bdf6d075d995"/>
    <ds:schemaRef ds:uri="db96e512-6920-4eea-b1bf-b81a54d2aa3c"/>
    <ds:schemaRef ds:uri="http://purl.org/dc/terms/"/>
    <ds:schemaRef ds:uri="http://schemas.microsoft.com/office/2006/documentManagement/typ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3A8D0A3-C5AF-4183-B9B2-E8E52F3DAA8C}">
  <ds:schemaRefs>
    <ds:schemaRef ds:uri="http://schemas.openxmlformats.org/officeDocument/2006/bibliography"/>
  </ds:schemaRefs>
</ds:datastoreItem>
</file>

<file path=customXml/itemProps6.xml><?xml version="1.0" encoding="utf-8"?>
<ds:datastoreItem xmlns:ds="http://schemas.openxmlformats.org/officeDocument/2006/customXml" ds:itemID="{D7DCF0D3-1084-449D-8BF8-E8F4A3CC9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23473</Words>
  <Characters>13380</Characters>
  <Application>Microsoft Office Word</Application>
  <DocSecurity>0</DocSecurity>
  <Lines>111</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36780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DZIKAITĖ Jolanta</cp:lastModifiedBy>
  <cp:revision>2</cp:revision>
  <dcterms:created xsi:type="dcterms:W3CDTF">2025-02-03T12:15:00Z</dcterms:created>
  <dcterms:modified xsi:type="dcterms:W3CDTF">2025-02-03T12:15:00Z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