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1 pr."/>
        <w:tag w:val="part_9ca73d9b4af04190a8b5e652d1f20f22"/>
        <w:id w:val="-228857593"/>
        <w:lock w:val="sdtLocked"/>
      </w:sdtPr>
      <w:sdtEndPr/>
      <w:sdtContent>
        <w:p w:rsidR="00F6024A" w:rsidRDefault="00F6024A">
          <w:pPr>
            <w:tabs>
              <w:tab w:val="center" w:pos="4819"/>
              <w:tab w:val="right" w:pos="9638"/>
            </w:tabs>
            <w:jc w:val="center"/>
          </w:pPr>
        </w:p>
        <w:p w:rsidR="00F6024A" w:rsidRDefault="00F6024A">
          <w:pPr>
            <w:tabs>
              <w:tab w:val="center" w:pos="4819"/>
              <w:tab w:val="right" w:pos="9638"/>
            </w:tabs>
            <w:jc w:val="right"/>
            <w:rPr>
              <w:b/>
              <w:bCs/>
              <w:sz w:val="22"/>
              <w:szCs w:val="22"/>
            </w:rPr>
          </w:pPr>
        </w:p>
        <w:p w:rsidR="00F6024A" w:rsidRDefault="00F04FF7">
          <w:pPr>
            <w:ind w:left="10368"/>
            <w:jc w:val="both"/>
            <w:rPr>
              <w:szCs w:val="24"/>
            </w:rPr>
          </w:pPr>
          <w:r>
            <w:rPr>
              <w:szCs w:val="24"/>
            </w:rPr>
            <w:t>2022–2030 m. plėtros programos valdytojos Lietuvos Respublikos švietimo, mokslo ir sporto ministerijos mokslo plėtros programos pažangos priemonės Nr. 12-001-01-02-01 „</w:t>
          </w:r>
          <w:r>
            <w:t>Stiprinti inovacijų ekosistemas mokslo centruose</w:t>
          </w:r>
          <w:r>
            <w:rPr>
              <w:szCs w:val="24"/>
            </w:rPr>
            <w:t xml:space="preserve">“ aprašo </w:t>
          </w:r>
        </w:p>
        <w:p w:rsidR="00F6024A" w:rsidRDefault="00F04FF7">
          <w:pPr>
            <w:ind w:left="10368"/>
            <w:jc w:val="both"/>
            <w:rPr>
              <w:b/>
              <w:bCs/>
              <w:szCs w:val="24"/>
            </w:rPr>
          </w:pPr>
          <w:sdt>
            <w:sdtPr>
              <w:alias w:val="Numeris"/>
              <w:tag w:val="nr_9ca73d9b4af04190a8b5e652d1f20f22"/>
              <w:id w:val="-90933281"/>
              <w:lock w:val="sdtLocked"/>
            </w:sdtPr>
            <w:sdtEndPr/>
            <w:sdtContent>
              <w:r>
                <w:rPr>
                  <w:szCs w:val="24"/>
                </w:rPr>
                <w:t>11</w:t>
              </w:r>
            </w:sdtContent>
          </w:sdt>
          <w:r>
            <w:rPr>
              <w:szCs w:val="24"/>
            </w:rPr>
            <w:t xml:space="preserve"> priedas</w:t>
          </w:r>
        </w:p>
        <w:p w:rsidR="00F6024A" w:rsidRDefault="00F6024A">
          <w:pPr>
            <w:jc w:val="center"/>
            <w:rPr>
              <w:b/>
              <w:bCs/>
              <w:szCs w:val="24"/>
            </w:rPr>
          </w:pPr>
        </w:p>
        <w:p w:rsidR="00F6024A" w:rsidRDefault="00F6024A">
          <w:pPr>
            <w:jc w:val="center"/>
            <w:rPr>
              <w:b/>
              <w:bCs/>
              <w:szCs w:val="24"/>
            </w:rPr>
          </w:pPr>
        </w:p>
        <w:p w:rsidR="00F6024A" w:rsidRDefault="00F04FF7">
          <w:pPr>
            <w:jc w:val="center"/>
            <w:rPr>
              <w:b/>
              <w:bCs/>
              <w:szCs w:val="24"/>
            </w:rPr>
          </w:pPr>
          <w:sdt>
            <w:sdtPr>
              <w:alias w:val="Pavadinimas"/>
              <w:tag w:val="title_9ca73d9b4af04190a8b5e652d1f20f22"/>
              <w:id w:val="81263698"/>
              <w:lock w:val="sdtLocked"/>
            </w:sdtPr>
            <w:sdtEndPr/>
            <w:sdtContent>
              <w:r>
                <w:rPr>
                  <w:b/>
                  <w:bCs/>
                  <w:szCs w:val="24"/>
                </w:rPr>
                <w:t>2022–2030 M.</w:t>
              </w:r>
              <w:r>
                <w:rPr>
                  <w:b/>
                  <w:bCs/>
                  <w:szCs w:val="24"/>
                </w:rPr>
                <w:t xml:space="preserve"> PLĖTROS PROGRAMOS VALDYTOJOS LIETUVOS RESPUBLIKOS ŠVIETIMO, MOKSLO IR SPORTO MINISTERIJOS MOKSLO PLĖTROS PROGRAMOS PAŽANGOS PRIEMONĖS NR. 12-001-01-02-01 „</w:t>
              </w:r>
              <w:r>
                <w:rPr>
                  <w:b/>
                  <w:bCs/>
                </w:rPr>
                <w:t>STIPRINTI INOVACIJŲ EKOSISTEMAS MOKSLO CENTRUOSE</w:t>
              </w:r>
              <w:r>
                <w:rPr>
                  <w:b/>
                  <w:bCs/>
                  <w:szCs w:val="24"/>
                </w:rPr>
                <w:t>“ PROJEKTŲ FINANSAVIMO SĄLYGŲ APRAŠAS NR. 11</w:t>
              </w:r>
            </w:sdtContent>
          </w:sdt>
        </w:p>
        <w:p w:rsidR="00F6024A" w:rsidRDefault="00F6024A">
          <w:pPr>
            <w:spacing w:line="259" w:lineRule="auto"/>
            <w:jc w:val="center"/>
            <w:rPr>
              <w:b/>
              <w:bCs/>
              <w:szCs w:val="24"/>
            </w:rPr>
          </w:pPr>
        </w:p>
        <w:p w:rsidR="00F6024A" w:rsidRDefault="00F6024A">
          <w:pPr>
            <w:rPr>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F6024A">
            <w:tc>
              <w:tcPr>
                <w:tcW w:w="14856" w:type="dxa"/>
                <w:gridSpan w:val="12"/>
                <w:vAlign w:val="center"/>
              </w:tcPr>
              <w:p w:rsidR="00F6024A" w:rsidRDefault="00F04FF7">
                <w:pPr>
                  <w:jc w:val="center"/>
                  <w:rPr>
                    <w:b/>
                    <w:bCs/>
                    <w:szCs w:val="24"/>
                  </w:rPr>
                </w:pPr>
                <w:r>
                  <w:rPr>
                    <w:b/>
                    <w:bCs/>
                    <w:szCs w:val="24"/>
                  </w:rPr>
                  <w:t>VEI</w:t>
                </w:r>
                <w:r>
                  <w:rPr>
                    <w:b/>
                    <w:bCs/>
                    <w:szCs w:val="24"/>
                  </w:rPr>
                  <w:t>KLOS AR POVEIKLĖS, KURIOMS NUSTATOMOS PROJEKTŲ FINANSAVIMO SĄLYGOS</w:t>
                </w:r>
              </w:p>
            </w:tc>
          </w:tr>
          <w:tr w:rsidR="00F6024A">
            <w:trPr>
              <w:trHeight w:val="1885"/>
            </w:trPr>
            <w:tc>
              <w:tcPr>
                <w:tcW w:w="1110" w:type="dxa"/>
                <w:vAlign w:val="center"/>
              </w:tcPr>
              <w:p w:rsidR="00F6024A" w:rsidRDefault="00F04FF7">
                <w:pPr>
                  <w:jc w:val="center"/>
                  <w:rPr>
                    <w:b/>
                    <w:bCs/>
                    <w:sz w:val="20"/>
                  </w:rPr>
                </w:pPr>
                <w:r>
                  <w:rPr>
                    <w:b/>
                    <w:bCs/>
                    <w:sz w:val="20"/>
                  </w:rPr>
                  <w:t xml:space="preserve">Veiklos ar </w:t>
                </w:r>
                <w:proofErr w:type="spellStart"/>
                <w:r>
                  <w:rPr>
                    <w:b/>
                    <w:bCs/>
                    <w:sz w:val="20"/>
                  </w:rPr>
                  <w:t>poveiklėspavadi-nimas</w:t>
                </w:r>
                <w:proofErr w:type="spellEnd"/>
              </w:p>
            </w:tc>
            <w:tc>
              <w:tcPr>
                <w:tcW w:w="1023" w:type="dxa"/>
                <w:vAlign w:val="center"/>
              </w:tcPr>
              <w:p w:rsidR="00F6024A" w:rsidRDefault="00F04FF7">
                <w:pPr>
                  <w:jc w:val="center"/>
                  <w:rPr>
                    <w:b/>
                    <w:bCs/>
                    <w:sz w:val="20"/>
                  </w:rPr>
                </w:pPr>
                <w:proofErr w:type="spellStart"/>
                <w:r>
                  <w:rPr>
                    <w:b/>
                    <w:bCs/>
                    <w:sz w:val="20"/>
                  </w:rPr>
                  <w:t>Finansa</w:t>
                </w:r>
                <w:proofErr w:type="spellEnd"/>
                <w:r>
                  <w:rPr>
                    <w:b/>
                    <w:bCs/>
                    <w:sz w:val="20"/>
                  </w:rPr>
                  <w:t>-vimo šaltinis</w:t>
                </w:r>
              </w:p>
            </w:tc>
            <w:tc>
              <w:tcPr>
                <w:tcW w:w="1236" w:type="dxa"/>
                <w:vAlign w:val="center"/>
              </w:tcPr>
              <w:p w:rsidR="00F6024A" w:rsidRDefault="00F04FF7">
                <w:pPr>
                  <w:jc w:val="center"/>
                  <w:rPr>
                    <w:b/>
                    <w:bCs/>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F6024A" w:rsidRDefault="00F04FF7">
                <w:pPr>
                  <w:jc w:val="center"/>
                  <w:rPr>
                    <w:b/>
                    <w:bCs/>
                    <w:sz w:val="20"/>
                  </w:rPr>
                </w:pPr>
                <w:r>
                  <w:rPr>
                    <w:b/>
                    <w:bCs/>
                    <w:sz w:val="20"/>
                  </w:rPr>
                  <w:t>Uždavinys ar priemonė</w:t>
                </w:r>
              </w:p>
            </w:tc>
            <w:tc>
              <w:tcPr>
                <w:tcW w:w="992" w:type="dxa"/>
                <w:vAlign w:val="center"/>
              </w:tcPr>
              <w:p w:rsidR="00F6024A" w:rsidRDefault="00F04FF7">
                <w:pPr>
                  <w:jc w:val="center"/>
                  <w:rPr>
                    <w:b/>
                    <w:bCs/>
                    <w:sz w:val="20"/>
                  </w:rPr>
                </w:pPr>
                <w:r>
                  <w:rPr>
                    <w:b/>
                    <w:bCs/>
                    <w:sz w:val="20"/>
                  </w:rPr>
                  <w:t xml:space="preserve">Veikla ar </w:t>
                </w:r>
                <w:proofErr w:type="spellStart"/>
                <w:r>
                  <w:rPr>
                    <w:b/>
                    <w:bCs/>
                    <w:sz w:val="20"/>
                  </w:rPr>
                  <w:t>poveiklė</w:t>
                </w:r>
                <w:proofErr w:type="spellEnd"/>
              </w:p>
            </w:tc>
            <w:tc>
              <w:tcPr>
                <w:tcW w:w="1984" w:type="dxa"/>
                <w:vAlign w:val="center"/>
              </w:tcPr>
              <w:p w:rsidR="00F6024A" w:rsidRDefault="00F04FF7">
                <w:pPr>
                  <w:jc w:val="center"/>
                  <w:rPr>
                    <w:b/>
                    <w:bCs/>
                    <w:sz w:val="20"/>
                  </w:rPr>
                </w:pPr>
                <w:r>
                  <w:rPr>
                    <w:b/>
                    <w:bCs/>
                    <w:sz w:val="20"/>
                  </w:rPr>
                  <w:t>Intervencinės priemonės kodas</w:t>
                </w:r>
              </w:p>
            </w:tc>
            <w:tc>
              <w:tcPr>
                <w:tcW w:w="1344" w:type="dxa"/>
                <w:vAlign w:val="center"/>
              </w:tcPr>
              <w:p w:rsidR="00F6024A" w:rsidRDefault="00F04FF7">
                <w:pPr>
                  <w:jc w:val="center"/>
                  <w:rPr>
                    <w:b/>
                    <w:bCs/>
                    <w:sz w:val="20"/>
                  </w:rPr>
                </w:pPr>
                <w:r>
                  <w:rPr>
                    <w:b/>
                    <w:bCs/>
                    <w:sz w:val="20"/>
                  </w:rPr>
                  <w:t xml:space="preserve">Regionas, kuriam priskiriama </w:t>
                </w:r>
                <w:r>
                  <w:rPr>
                    <w:b/>
                    <w:bCs/>
                    <w:sz w:val="20"/>
                  </w:rPr>
                  <w:t xml:space="preserve">veikla ar </w:t>
                </w:r>
                <w:proofErr w:type="spellStart"/>
                <w:r>
                  <w:rPr>
                    <w:b/>
                    <w:bCs/>
                    <w:sz w:val="20"/>
                  </w:rPr>
                  <w:t>poveiklė</w:t>
                </w:r>
                <w:proofErr w:type="spellEnd"/>
              </w:p>
            </w:tc>
            <w:tc>
              <w:tcPr>
                <w:tcW w:w="1080" w:type="dxa"/>
                <w:vAlign w:val="center"/>
              </w:tcPr>
              <w:p w:rsidR="00F6024A" w:rsidRDefault="00F04FF7">
                <w:pPr>
                  <w:jc w:val="center"/>
                  <w:rPr>
                    <w:b/>
                    <w:bCs/>
                    <w:sz w:val="20"/>
                  </w:rPr>
                </w:pPr>
                <w:r>
                  <w:rPr>
                    <w:b/>
                    <w:bCs/>
                    <w:sz w:val="20"/>
                  </w:rPr>
                  <w:t>Paramos formos kodas</w:t>
                </w:r>
              </w:p>
            </w:tc>
            <w:tc>
              <w:tcPr>
                <w:tcW w:w="1344" w:type="dxa"/>
                <w:vAlign w:val="center"/>
              </w:tcPr>
              <w:p w:rsidR="00F6024A" w:rsidRDefault="00F04FF7">
                <w:pPr>
                  <w:jc w:val="center"/>
                  <w:rPr>
                    <w:b/>
                    <w:bCs/>
                    <w:sz w:val="20"/>
                  </w:rPr>
                </w:pPr>
                <w:r>
                  <w:rPr>
                    <w:b/>
                    <w:bCs/>
                    <w:sz w:val="20"/>
                  </w:rPr>
                  <w:t>Pagrindinės teritorinės srities kodas (-ai)</w:t>
                </w:r>
              </w:p>
            </w:tc>
            <w:tc>
              <w:tcPr>
                <w:tcW w:w="1328" w:type="dxa"/>
                <w:vAlign w:val="center"/>
              </w:tcPr>
              <w:p w:rsidR="00F6024A" w:rsidRDefault="00F04FF7">
                <w:pPr>
                  <w:jc w:val="center"/>
                  <w:rPr>
                    <w:b/>
                    <w:bCs/>
                    <w:sz w:val="20"/>
                  </w:rPr>
                </w:pPr>
                <w:r>
                  <w:rPr>
                    <w:b/>
                    <w:bCs/>
                    <w:sz w:val="20"/>
                  </w:rPr>
                  <w:t>Ekonominės veiklos kodas (-ai)</w:t>
                </w:r>
              </w:p>
            </w:tc>
            <w:tc>
              <w:tcPr>
                <w:tcW w:w="1132" w:type="dxa"/>
                <w:vAlign w:val="center"/>
              </w:tcPr>
              <w:p w:rsidR="00F6024A" w:rsidRDefault="00F04FF7">
                <w:pPr>
                  <w:jc w:val="center"/>
                  <w:rPr>
                    <w:b/>
                    <w:bCs/>
                    <w:sz w:val="20"/>
                  </w:rPr>
                </w:pPr>
                <w:r>
                  <w:rPr>
                    <w:b/>
                    <w:bCs/>
                    <w:sz w:val="20"/>
                  </w:rPr>
                  <w:t>„Europos socialinio fondo +“ (toliau – ESF+) antrinių temų kodai</w:t>
                </w:r>
              </w:p>
            </w:tc>
            <w:tc>
              <w:tcPr>
                <w:tcW w:w="1149" w:type="dxa"/>
                <w:vAlign w:val="center"/>
              </w:tcPr>
              <w:p w:rsidR="00F6024A" w:rsidRDefault="00F04FF7">
                <w:pPr>
                  <w:jc w:val="center"/>
                  <w:rPr>
                    <w:b/>
                    <w:bCs/>
                    <w:sz w:val="20"/>
                  </w:rPr>
                </w:pPr>
                <w:r>
                  <w:rPr>
                    <w:b/>
                    <w:bCs/>
                    <w:sz w:val="20"/>
                  </w:rPr>
                  <w:t>Lyčių lygybės matmens kodas</w:t>
                </w:r>
              </w:p>
            </w:tc>
          </w:tr>
          <w:tr w:rsidR="00F6024A">
            <w:trPr>
              <w:trHeight w:val="278"/>
            </w:trPr>
            <w:tc>
              <w:tcPr>
                <w:tcW w:w="1110" w:type="dxa"/>
                <w:tcMar>
                  <w:left w:w="28" w:type="dxa"/>
                  <w:right w:w="28" w:type="dxa"/>
                </w:tcMar>
              </w:tcPr>
              <w:p w:rsidR="00F6024A" w:rsidRDefault="00F04FF7">
                <w:pPr>
                  <w:jc w:val="center"/>
                  <w:rPr>
                    <w:i/>
                    <w:iCs/>
                    <w:szCs w:val="24"/>
                  </w:rPr>
                </w:pPr>
                <w:r>
                  <w:rPr>
                    <w:color w:val="000000"/>
                    <w:szCs w:val="24"/>
                  </w:rPr>
                  <w:t xml:space="preserve">2.2.1. </w:t>
                </w:r>
                <w:r>
                  <w:rPr>
                    <w:szCs w:val="24"/>
                  </w:rPr>
                  <w:t xml:space="preserve">Didinti mokslo </w:t>
                </w:r>
                <w:proofErr w:type="spellStart"/>
                <w:r>
                  <w:rPr>
                    <w:szCs w:val="24"/>
                  </w:rPr>
                  <w:t>tarptau-tiškumo</w:t>
                </w:r>
                <w:proofErr w:type="spellEnd"/>
                <w:r>
                  <w:rPr>
                    <w:szCs w:val="24"/>
                  </w:rPr>
                  <w:t xml:space="preserve"> lygį (Sos</w:t>
                </w:r>
                <w:r>
                  <w:rPr>
                    <w:szCs w:val="24"/>
                  </w:rPr>
                  <w:t xml:space="preserve">tinė) </w:t>
                </w:r>
              </w:p>
            </w:tc>
            <w:tc>
              <w:tcPr>
                <w:tcW w:w="1023" w:type="dxa"/>
                <w:tcMar>
                  <w:left w:w="28" w:type="dxa"/>
                  <w:right w:w="28" w:type="dxa"/>
                </w:tcMar>
              </w:tcPr>
              <w:p w:rsidR="00F6024A" w:rsidRDefault="00F04FF7">
                <w:pPr>
                  <w:jc w:val="center"/>
                  <w:rPr>
                    <w:i/>
                    <w:iCs/>
                    <w:szCs w:val="24"/>
                  </w:rPr>
                </w:pPr>
                <w:r>
                  <w:rPr>
                    <w:szCs w:val="24"/>
                  </w:rPr>
                  <w:t xml:space="preserve">Europos Sąjungos fondų lėšos ir bendrojo </w:t>
                </w:r>
                <w:proofErr w:type="spellStart"/>
                <w:r>
                  <w:rPr>
                    <w:szCs w:val="24"/>
                  </w:rPr>
                  <w:t>finansa</w:t>
                </w:r>
                <w:proofErr w:type="spellEnd"/>
                <w:r>
                  <w:rPr>
                    <w:szCs w:val="24"/>
                  </w:rPr>
                  <w:t>-vimo lėšos</w:t>
                </w:r>
              </w:p>
            </w:tc>
            <w:tc>
              <w:tcPr>
                <w:tcW w:w="1236" w:type="dxa"/>
                <w:tcMar>
                  <w:left w:w="28" w:type="dxa"/>
                  <w:right w:w="28" w:type="dxa"/>
                </w:tcMar>
              </w:tcPr>
              <w:p w:rsidR="00F6024A" w:rsidRDefault="00F04FF7">
                <w:pPr>
                  <w:jc w:val="center"/>
                  <w:rPr>
                    <w:szCs w:val="24"/>
                  </w:rPr>
                </w:pPr>
                <w:r>
                  <w:rPr>
                    <w:szCs w:val="24"/>
                  </w:rPr>
                  <w:t>1.</w:t>
                </w:r>
              </w:p>
            </w:tc>
            <w:tc>
              <w:tcPr>
                <w:tcW w:w="1134" w:type="dxa"/>
                <w:tcMar>
                  <w:left w:w="28" w:type="dxa"/>
                  <w:right w:w="28" w:type="dxa"/>
                </w:tcMar>
              </w:tcPr>
              <w:p w:rsidR="00F6024A" w:rsidRDefault="00F04FF7">
                <w:pPr>
                  <w:jc w:val="center"/>
                  <w:rPr>
                    <w:i/>
                    <w:iCs/>
                    <w:szCs w:val="24"/>
                  </w:rPr>
                </w:pPr>
                <w:r>
                  <w:rPr>
                    <w:szCs w:val="24"/>
                  </w:rPr>
                  <w:t>1.1.</w:t>
                </w:r>
              </w:p>
            </w:tc>
            <w:tc>
              <w:tcPr>
                <w:tcW w:w="992" w:type="dxa"/>
                <w:tcMar>
                  <w:left w:w="28" w:type="dxa"/>
                  <w:right w:w="28" w:type="dxa"/>
                </w:tcMar>
              </w:tcPr>
              <w:p w:rsidR="00F6024A" w:rsidRDefault="00F04FF7">
                <w:pPr>
                  <w:jc w:val="center"/>
                  <w:rPr>
                    <w:i/>
                    <w:iCs/>
                    <w:szCs w:val="24"/>
                  </w:rPr>
                </w:pPr>
                <w:r>
                  <w:rPr>
                    <w:szCs w:val="24"/>
                  </w:rPr>
                  <w:t>„</w:t>
                </w:r>
                <w:proofErr w:type="spellStart"/>
                <w:r>
                  <w:t>Eureka</w:t>
                </w:r>
                <w:proofErr w:type="spellEnd"/>
                <w:r>
                  <w:t>“</w:t>
                </w:r>
                <w:r>
                  <w:rPr>
                    <w:b/>
                    <w:bCs/>
                  </w:rPr>
                  <w:t xml:space="preserve"> </w:t>
                </w:r>
                <w:r>
                  <w:rPr>
                    <w:iCs/>
                    <w:szCs w:val="24"/>
                  </w:rPr>
                  <w:t xml:space="preserve">projektų </w:t>
                </w:r>
                <w:proofErr w:type="spellStart"/>
                <w:r>
                  <w:rPr>
                    <w:iCs/>
                    <w:szCs w:val="24"/>
                  </w:rPr>
                  <w:t>finansa-vimas</w:t>
                </w:r>
                <w:proofErr w:type="spellEnd"/>
                <w:r>
                  <w:rPr>
                    <w:szCs w:val="24"/>
                  </w:rPr>
                  <w:t xml:space="preserve"> </w:t>
                </w:r>
              </w:p>
            </w:tc>
            <w:tc>
              <w:tcPr>
                <w:tcW w:w="1984" w:type="dxa"/>
                <w:tcMar>
                  <w:left w:w="28" w:type="dxa"/>
                  <w:right w:w="28" w:type="dxa"/>
                </w:tcMar>
              </w:tcPr>
              <w:p w:rsidR="00F6024A" w:rsidRDefault="00F04FF7">
                <w:pPr>
                  <w:jc w:val="center"/>
                  <w:rPr>
                    <w:iCs/>
                    <w:szCs w:val="24"/>
                  </w:rPr>
                </w:pPr>
                <w:r>
                  <w:rPr>
                    <w:iCs/>
                    <w:szCs w:val="24"/>
                  </w:rPr>
                  <w:t>012</w:t>
                </w:r>
              </w:p>
              <w:p w:rsidR="00F6024A" w:rsidRDefault="00F04FF7">
                <w:pPr>
                  <w:ind w:firstLine="62"/>
                  <w:jc w:val="center"/>
                  <w:rPr>
                    <w:i/>
                    <w:iCs/>
                    <w:szCs w:val="24"/>
                  </w:rPr>
                </w:pPr>
                <w:r>
                  <w:rPr>
                    <w:iCs/>
                    <w:szCs w:val="24"/>
                  </w:rPr>
                  <w:t>029</w:t>
                </w:r>
              </w:p>
            </w:tc>
            <w:tc>
              <w:tcPr>
                <w:tcW w:w="1344" w:type="dxa"/>
                <w:tcMar>
                  <w:left w:w="28" w:type="dxa"/>
                  <w:right w:w="28" w:type="dxa"/>
                </w:tcMar>
              </w:tcPr>
              <w:p w:rsidR="00F6024A" w:rsidRDefault="00F04FF7">
                <w:pPr>
                  <w:jc w:val="center"/>
                  <w:rPr>
                    <w:szCs w:val="24"/>
                  </w:rPr>
                </w:pPr>
                <w:r>
                  <w:rPr>
                    <w:szCs w:val="24"/>
                  </w:rPr>
                  <w:t xml:space="preserve">Sostinės regionas </w:t>
                </w:r>
              </w:p>
            </w:tc>
            <w:tc>
              <w:tcPr>
                <w:tcW w:w="1080" w:type="dxa"/>
                <w:tcMar>
                  <w:left w:w="28" w:type="dxa"/>
                  <w:right w:w="28" w:type="dxa"/>
                </w:tcMar>
              </w:tcPr>
              <w:p w:rsidR="00F6024A" w:rsidRDefault="00F04FF7">
                <w:pPr>
                  <w:jc w:val="center"/>
                  <w:rPr>
                    <w:i/>
                    <w:iCs/>
                    <w:szCs w:val="24"/>
                  </w:rPr>
                </w:pPr>
                <w:r>
                  <w:rPr>
                    <w:szCs w:val="24"/>
                  </w:rPr>
                  <w:t>01 – Dotacija</w:t>
                </w:r>
              </w:p>
            </w:tc>
            <w:tc>
              <w:tcPr>
                <w:tcW w:w="1344" w:type="dxa"/>
                <w:tcMar>
                  <w:left w:w="28" w:type="dxa"/>
                  <w:right w:w="28" w:type="dxa"/>
                </w:tcMar>
              </w:tcPr>
              <w:p w:rsidR="00F6024A" w:rsidRDefault="00F04FF7">
                <w:pPr>
                  <w:jc w:val="center"/>
                  <w:rPr>
                    <w:i/>
                    <w:iCs/>
                    <w:szCs w:val="24"/>
                  </w:rPr>
                </w:pPr>
                <w:r>
                  <w:rPr>
                    <w:szCs w:val="24"/>
                  </w:rPr>
                  <w:t xml:space="preserve">33 – </w:t>
                </w:r>
                <w:proofErr w:type="spellStart"/>
                <w:r>
                  <w:rPr>
                    <w:szCs w:val="24"/>
                  </w:rPr>
                  <w:t>Nesiorien-tuojant</w:t>
                </w:r>
                <w:proofErr w:type="spellEnd"/>
                <w:r>
                  <w:rPr>
                    <w:szCs w:val="24"/>
                  </w:rPr>
                  <w:t xml:space="preserve"> į </w:t>
                </w:r>
                <w:proofErr w:type="spellStart"/>
                <w:r>
                  <w:rPr>
                    <w:szCs w:val="24"/>
                  </w:rPr>
                  <w:t>teritoriškumą</w:t>
                </w:r>
                <w:proofErr w:type="spellEnd"/>
              </w:p>
            </w:tc>
            <w:tc>
              <w:tcPr>
                <w:tcW w:w="1328" w:type="dxa"/>
                <w:tcMar>
                  <w:left w:w="28" w:type="dxa"/>
                  <w:right w:w="28" w:type="dxa"/>
                </w:tcMar>
              </w:tcPr>
              <w:p w:rsidR="00F6024A" w:rsidRDefault="00F04FF7">
                <w:pPr>
                  <w:jc w:val="center"/>
                  <w:rPr>
                    <w:i/>
                    <w:iCs/>
                    <w:szCs w:val="24"/>
                  </w:rPr>
                </w:pPr>
                <w:r>
                  <w:rPr>
                    <w:szCs w:val="24"/>
                  </w:rPr>
                  <w:t xml:space="preserve">26 </w:t>
                </w:r>
                <w:r>
                  <w:rPr>
                    <w:i/>
                    <w:iCs/>
                    <w:szCs w:val="24"/>
                  </w:rPr>
                  <w:t xml:space="preserve">– </w:t>
                </w:r>
                <w:r>
                  <w:t>Kitos nenurodytos paslaugos</w:t>
                </w:r>
              </w:p>
            </w:tc>
            <w:tc>
              <w:tcPr>
                <w:tcW w:w="1132" w:type="dxa"/>
                <w:tcMar>
                  <w:left w:w="28" w:type="dxa"/>
                  <w:right w:w="28" w:type="dxa"/>
                </w:tcMar>
              </w:tcPr>
              <w:p w:rsidR="00F6024A" w:rsidRDefault="00F04FF7">
                <w:pPr>
                  <w:jc w:val="center"/>
                  <w:rPr>
                    <w:i/>
                    <w:iCs/>
                    <w:szCs w:val="24"/>
                  </w:rPr>
                </w:pPr>
                <w:r>
                  <w:rPr>
                    <w:szCs w:val="24"/>
                  </w:rPr>
                  <w:t>09 – Netaikoma</w:t>
                </w:r>
              </w:p>
            </w:tc>
            <w:tc>
              <w:tcPr>
                <w:tcW w:w="1149" w:type="dxa"/>
                <w:tcMar>
                  <w:left w:w="28" w:type="dxa"/>
                  <w:right w:w="28" w:type="dxa"/>
                </w:tcMar>
              </w:tcPr>
              <w:p w:rsidR="00F6024A" w:rsidRDefault="00F04FF7">
                <w:pPr>
                  <w:rPr>
                    <w:i/>
                    <w:iCs/>
                    <w:szCs w:val="24"/>
                  </w:rPr>
                </w:pPr>
                <w:r>
                  <w:rPr>
                    <w:szCs w:val="24"/>
                  </w:rPr>
                  <w:t>03 – Neutralu-</w:t>
                </w:r>
                <w:proofErr w:type="spellStart"/>
                <w:r>
                  <w:rPr>
                    <w:szCs w:val="24"/>
                  </w:rPr>
                  <w:t>mas</w:t>
                </w:r>
                <w:proofErr w:type="spellEnd"/>
                <w:r>
                  <w:rPr>
                    <w:szCs w:val="24"/>
                  </w:rPr>
                  <w:t xml:space="preserve"> </w:t>
                </w:r>
                <w:r>
                  <w:rPr>
                    <w:szCs w:val="24"/>
                  </w:rPr>
                  <w:t>lyties požiūriu</w:t>
                </w:r>
              </w:p>
            </w:tc>
          </w:tr>
          <w:tr w:rsidR="00F6024A">
            <w:trPr>
              <w:trHeight w:val="278"/>
            </w:trPr>
            <w:tc>
              <w:tcPr>
                <w:tcW w:w="1110"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2.2.2.</w:t>
                </w:r>
              </w:p>
              <w:p w:rsidR="00F6024A" w:rsidRDefault="00F04FF7">
                <w:pPr>
                  <w:jc w:val="center"/>
                  <w:rPr>
                    <w:szCs w:val="24"/>
                  </w:rPr>
                </w:pPr>
                <w:r>
                  <w:rPr>
                    <w:szCs w:val="24"/>
                  </w:rPr>
                  <w:t xml:space="preserve">Didinti mokslo </w:t>
                </w:r>
                <w:proofErr w:type="spellStart"/>
                <w:r>
                  <w:rPr>
                    <w:szCs w:val="24"/>
                  </w:rPr>
                  <w:t>tarptautiš-</w:t>
                </w:r>
                <w:r>
                  <w:rPr>
                    <w:szCs w:val="24"/>
                  </w:rPr>
                  <w:lastRenderedPageBreak/>
                  <w:t>kumo</w:t>
                </w:r>
                <w:proofErr w:type="spellEnd"/>
                <w:r>
                  <w:rPr>
                    <w:szCs w:val="24"/>
                  </w:rPr>
                  <w:t xml:space="preserve"> lygį (VVL) </w:t>
                </w:r>
              </w:p>
            </w:tc>
            <w:tc>
              <w:tcPr>
                <w:tcW w:w="1023"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lastRenderedPageBreak/>
                  <w:t xml:space="preserve">Europos Sąjungos fondų lėšos ir </w:t>
                </w:r>
                <w:r>
                  <w:rPr>
                    <w:szCs w:val="24"/>
                  </w:rPr>
                  <w:lastRenderedPageBreak/>
                  <w:t>bendrojo finansavimo lėšos</w:t>
                </w:r>
              </w:p>
            </w:tc>
            <w:tc>
              <w:tcPr>
                <w:tcW w:w="1236"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lastRenderedPageBreak/>
                  <w:t>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1.1.</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highlight w:val="yellow"/>
                  </w:rPr>
                </w:pPr>
                <w:r>
                  <w:rPr>
                    <w:szCs w:val="24"/>
                  </w:rPr>
                  <w:t>„</w:t>
                </w:r>
                <w:proofErr w:type="spellStart"/>
                <w:r>
                  <w:rPr>
                    <w:szCs w:val="24"/>
                  </w:rPr>
                  <w:t>Eureka</w:t>
                </w:r>
                <w:proofErr w:type="spellEnd"/>
                <w:r>
                  <w:rPr>
                    <w:szCs w:val="24"/>
                  </w:rPr>
                  <w:t>“</w:t>
                </w:r>
                <w:r>
                  <w:rPr>
                    <w:b/>
                    <w:bCs/>
                  </w:rPr>
                  <w:t xml:space="preserve"> </w:t>
                </w:r>
                <w:r>
                  <w:rPr>
                    <w:iCs/>
                    <w:szCs w:val="24"/>
                  </w:rPr>
                  <w:t xml:space="preserve">projektų </w:t>
                </w:r>
                <w:proofErr w:type="spellStart"/>
                <w:r>
                  <w:rPr>
                    <w:iCs/>
                    <w:szCs w:val="24"/>
                  </w:rPr>
                  <w:t>finansa-vimas</w:t>
                </w:r>
                <w:proofErr w:type="spellEnd"/>
                <w:r>
                  <w:rPr>
                    <w:szCs w:val="24"/>
                  </w:rPr>
                  <w:t xml:space="preserve"> </w:t>
                </w:r>
              </w:p>
            </w:tc>
            <w:tc>
              <w:tcPr>
                <w:tcW w:w="1984"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iCs/>
                    <w:szCs w:val="24"/>
                  </w:rPr>
                </w:pPr>
                <w:r>
                  <w:rPr>
                    <w:iCs/>
                    <w:szCs w:val="24"/>
                  </w:rPr>
                  <w:t>012</w:t>
                </w:r>
              </w:p>
              <w:p w:rsidR="00F6024A" w:rsidRDefault="00F04FF7">
                <w:pPr>
                  <w:jc w:val="center"/>
                  <w:rPr>
                    <w:iCs/>
                    <w:szCs w:val="24"/>
                  </w:rPr>
                </w:pPr>
                <w:r>
                  <w:rPr>
                    <w:iCs/>
                    <w:szCs w:val="24"/>
                  </w:rPr>
                  <w:t>029</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 xml:space="preserve">Vidurio ir vakarų Lietuvos regionas </w:t>
                </w:r>
              </w:p>
            </w:tc>
            <w:tc>
              <w:tcPr>
                <w:tcW w:w="1080"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01 – Dotacija</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 xml:space="preserve">33 – </w:t>
                </w:r>
                <w:proofErr w:type="spellStart"/>
                <w:r>
                  <w:rPr>
                    <w:szCs w:val="24"/>
                  </w:rPr>
                  <w:t>Nesiorien-tuojant</w:t>
                </w:r>
                <w:proofErr w:type="spellEnd"/>
                <w:r>
                  <w:rPr>
                    <w:szCs w:val="24"/>
                  </w:rPr>
                  <w:t xml:space="preserve"> į </w:t>
                </w:r>
                <w:proofErr w:type="spellStart"/>
                <w:r>
                  <w:rPr>
                    <w:szCs w:val="24"/>
                  </w:rPr>
                  <w:t>teritoriškumą</w:t>
                </w:r>
                <w:proofErr w:type="spellEnd"/>
              </w:p>
            </w:tc>
            <w:tc>
              <w:tcPr>
                <w:tcW w:w="1328"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iCs/>
                    <w:szCs w:val="24"/>
                  </w:rPr>
                </w:pPr>
                <w:r>
                  <w:rPr>
                    <w:iCs/>
                    <w:szCs w:val="24"/>
                  </w:rPr>
                  <w:t xml:space="preserve">26 </w:t>
                </w:r>
                <w:r>
                  <w:rPr>
                    <w:szCs w:val="24"/>
                  </w:rPr>
                  <w:t>–</w:t>
                </w:r>
                <w:r>
                  <w:rPr>
                    <w:iCs/>
                    <w:szCs w:val="24"/>
                  </w:rPr>
                  <w:t xml:space="preserve"> Kitos nenurodytos paslaugos</w:t>
                </w:r>
              </w:p>
            </w:tc>
            <w:tc>
              <w:tcPr>
                <w:tcW w:w="1132"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jc w:val="center"/>
                  <w:rPr>
                    <w:szCs w:val="24"/>
                  </w:rPr>
                </w:pPr>
                <w:r>
                  <w:rPr>
                    <w:szCs w:val="24"/>
                  </w:rPr>
                  <w:t>09 – Netaikoma</w:t>
                </w:r>
              </w:p>
            </w:tc>
            <w:tc>
              <w:tcPr>
                <w:tcW w:w="1149" w:type="dxa"/>
                <w:tcBorders>
                  <w:top w:val="single" w:sz="4" w:space="0" w:color="auto"/>
                  <w:left w:val="single" w:sz="4" w:space="0" w:color="auto"/>
                  <w:bottom w:val="single" w:sz="4" w:space="0" w:color="auto"/>
                  <w:right w:val="single" w:sz="4" w:space="0" w:color="auto"/>
                </w:tcBorders>
                <w:tcMar>
                  <w:left w:w="28" w:type="dxa"/>
                  <w:right w:w="28" w:type="dxa"/>
                </w:tcMar>
              </w:tcPr>
              <w:p w:rsidR="00F6024A" w:rsidRDefault="00F04FF7">
                <w:pPr>
                  <w:rPr>
                    <w:szCs w:val="24"/>
                  </w:rPr>
                </w:pPr>
                <w:r>
                  <w:rPr>
                    <w:szCs w:val="24"/>
                  </w:rPr>
                  <w:t>03 – Neutralu-</w:t>
                </w:r>
                <w:proofErr w:type="spellStart"/>
                <w:r>
                  <w:rPr>
                    <w:szCs w:val="24"/>
                  </w:rPr>
                  <w:t>mas</w:t>
                </w:r>
                <w:proofErr w:type="spellEnd"/>
                <w:r>
                  <w:rPr>
                    <w:szCs w:val="24"/>
                  </w:rPr>
                  <w:t xml:space="preserve"> lyties požiūriu</w:t>
                </w:r>
              </w:p>
            </w:tc>
          </w:tr>
        </w:tbl>
        <w:p w:rsidR="00F6024A" w:rsidRDefault="00F6024A">
          <w:pPr>
            <w:jc w:val="both"/>
            <w:rPr>
              <w:i/>
              <w:iCs/>
              <w:szCs w:val="24"/>
            </w:rPr>
          </w:pPr>
        </w:p>
        <w:p w:rsidR="00F6024A" w:rsidRDefault="00F04FF7">
          <w:pPr>
            <w:jc w:val="both"/>
            <w:rPr>
              <w:szCs w:val="24"/>
            </w:rPr>
          </w:pPr>
          <w:r>
            <w:rPr>
              <w:szCs w:val="24"/>
            </w:rPr>
            <w:t>Projektai pagal šią veiklą turi pasiekti visus toliau išvardintus stebėsenos rodiklius:</w:t>
          </w:r>
        </w:p>
        <w:p w:rsidR="00F6024A" w:rsidRDefault="00F6024A">
          <w:pPr>
            <w:jc w:val="both"/>
            <w:rPr>
              <w:szCs w:val="24"/>
            </w:rPr>
          </w:pPr>
        </w:p>
        <w:p w:rsidR="00F6024A" w:rsidRDefault="00F04FF7">
          <w:pPr>
            <w:jc w:val="both"/>
            <w:rPr>
              <w:szCs w:val="24"/>
            </w:rPr>
          </w:pPr>
          <w:r>
            <w:rPr>
              <w:color w:val="000000"/>
              <w:szCs w:val="24"/>
            </w:rPr>
            <w:t xml:space="preserve">Įgyvendinant </w:t>
          </w:r>
          <w:proofErr w:type="spellStart"/>
          <w:r>
            <w:rPr>
              <w:color w:val="000000"/>
              <w:szCs w:val="24"/>
            </w:rPr>
            <w:t>poveiklę</w:t>
          </w:r>
          <w:proofErr w:type="spellEnd"/>
          <w:r>
            <w:rPr>
              <w:color w:val="000000"/>
              <w:szCs w:val="24"/>
            </w:rPr>
            <w:t xml:space="preserve"> „2.2.1. </w:t>
          </w:r>
          <w:r>
            <w:rPr>
              <w:szCs w:val="24"/>
            </w:rPr>
            <w:t xml:space="preserve">Didinti mokslo </w:t>
          </w:r>
          <w:proofErr w:type="spellStart"/>
          <w:r>
            <w:rPr>
              <w:szCs w:val="24"/>
            </w:rPr>
            <w:t>tarptautiškumo</w:t>
          </w:r>
          <w:proofErr w:type="spellEnd"/>
          <w:r>
            <w:rPr>
              <w:szCs w:val="24"/>
            </w:rPr>
            <w:t xml:space="preserve"> lygį (</w:t>
          </w:r>
          <w:r>
            <w:rPr>
              <w:color w:val="000000"/>
              <w:szCs w:val="24"/>
            </w:rPr>
            <w:t>Sos</w:t>
          </w:r>
          <w:r>
            <w:rPr>
              <w:color w:val="000000"/>
              <w:szCs w:val="24"/>
            </w:rPr>
            <w:t>tinė)“:</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F6024A">
            <w:trPr>
              <w:trHeight w:val="405"/>
            </w:trPr>
            <w:tc>
              <w:tcPr>
                <w:tcW w:w="3688" w:type="dxa"/>
                <w:shd w:val="clear" w:color="auto" w:fill="auto"/>
                <w:vAlign w:val="center"/>
              </w:tcPr>
              <w:p w:rsidR="00F6024A" w:rsidRDefault="00F04FF7">
                <w:pPr>
                  <w:jc w:val="center"/>
                  <w:rPr>
                    <w:szCs w:val="24"/>
                  </w:rPr>
                </w:pPr>
                <w:r>
                  <w:rPr>
                    <w:szCs w:val="24"/>
                  </w:rPr>
                  <w:t>Rodiklio pavadinimas</w:t>
                </w:r>
              </w:p>
            </w:tc>
            <w:tc>
              <w:tcPr>
                <w:tcW w:w="3688" w:type="dxa"/>
                <w:shd w:val="clear" w:color="auto" w:fill="auto"/>
                <w:vAlign w:val="center"/>
              </w:tcPr>
              <w:p w:rsidR="00F6024A" w:rsidRDefault="00F04FF7">
                <w:pPr>
                  <w:jc w:val="center"/>
                  <w:rPr>
                    <w:szCs w:val="24"/>
                  </w:rPr>
                </w:pPr>
                <w:r>
                  <w:rPr>
                    <w:szCs w:val="24"/>
                  </w:rPr>
                  <w:t>Rodiklio kodas</w:t>
                </w:r>
              </w:p>
            </w:tc>
            <w:tc>
              <w:tcPr>
                <w:tcW w:w="3688" w:type="dxa"/>
                <w:shd w:val="clear" w:color="auto" w:fill="auto"/>
                <w:vAlign w:val="center"/>
              </w:tcPr>
              <w:p w:rsidR="00F6024A" w:rsidRDefault="00F04FF7">
                <w:pPr>
                  <w:jc w:val="center"/>
                  <w:rPr>
                    <w:szCs w:val="24"/>
                  </w:rPr>
                </w:pPr>
                <w:r>
                  <w:rPr>
                    <w:szCs w:val="24"/>
                  </w:rPr>
                  <w:t>Matavimo vienetai</w:t>
                </w:r>
              </w:p>
            </w:tc>
            <w:tc>
              <w:tcPr>
                <w:tcW w:w="3688" w:type="dxa"/>
                <w:shd w:val="clear" w:color="auto" w:fill="auto"/>
                <w:vAlign w:val="center"/>
              </w:tcPr>
              <w:p w:rsidR="00F6024A" w:rsidRDefault="00F04FF7">
                <w:pPr>
                  <w:jc w:val="center"/>
                  <w:rPr>
                    <w:szCs w:val="24"/>
                  </w:rPr>
                </w:pPr>
                <w:r>
                  <w:rPr>
                    <w:szCs w:val="24"/>
                  </w:rPr>
                  <w:t>Siektina reikšmė</w:t>
                </w:r>
              </w:p>
            </w:tc>
          </w:tr>
          <w:tr w:rsidR="00F6024A">
            <w:trPr>
              <w:trHeight w:val="725"/>
            </w:trPr>
            <w:tc>
              <w:tcPr>
                <w:tcW w:w="3688" w:type="dxa"/>
                <w:vAlign w:val="center"/>
              </w:tcPr>
              <w:p w:rsidR="00F6024A" w:rsidRDefault="00F04FF7">
                <w:pPr>
                  <w:jc w:val="center"/>
                  <w:rPr>
                    <w:i/>
                    <w:iCs/>
                    <w:szCs w:val="24"/>
                  </w:rPr>
                </w:pPr>
                <w:r>
                  <w:rPr>
                    <w:szCs w:val="24"/>
                  </w:rPr>
                  <w:t>Paramą gavusiose mokslinių tyrimų įstaigose dirbantys mokslininkai</w:t>
                </w:r>
              </w:p>
            </w:tc>
            <w:tc>
              <w:tcPr>
                <w:tcW w:w="3688" w:type="dxa"/>
                <w:vAlign w:val="center"/>
              </w:tcPr>
              <w:p w:rsidR="00F6024A" w:rsidRDefault="00F04FF7">
                <w:pPr>
                  <w:jc w:val="center"/>
                  <w:rPr>
                    <w:szCs w:val="24"/>
                  </w:rPr>
                </w:pPr>
                <w:r>
                  <w:rPr>
                    <w:szCs w:val="24"/>
                  </w:rPr>
                  <w:t>P-12-001-01-02-01-01</w:t>
                </w:r>
              </w:p>
              <w:p w:rsidR="00F6024A" w:rsidRDefault="00F04FF7">
                <w:pPr>
                  <w:jc w:val="center"/>
                  <w:rPr>
                    <w:szCs w:val="24"/>
                  </w:rPr>
                </w:pPr>
                <w:r>
                  <w:rPr>
                    <w:color w:val="000000"/>
                    <w:szCs w:val="24"/>
                    <w:lang w:eastAsia="lt-LT"/>
                  </w:rPr>
                  <w:t>P.B.2.0006</w:t>
                </w:r>
              </w:p>
            </w:tc>
            <w:tc>
              <w:tcPr>
                <w:tcW w:w="3688" w:type="dxa"/>
                <w:vAlign w:val="center"/>
              </w:tcPr>
              <w:p w:rsidR="00F6024A" w:rsidRDefault="00F04FF7">
                <w:pPr>
                  <w:jc w:val="center"/>
                  <w:rPr>
                    <w:szCs w:val="24"/>
                  </w:rPr>
                </w:pPr>
                <w:r>
                  <w:rPr>
                    <w:szCs w:val="24"/>
                  </w:rPr>
                  <w:t>Vienų metų etato ekvivalentai</w:t>
                </w:r>
              </w:p>
            </w:tc>
            <w:tc>
              <w:tcPr>
                <w:tcW w:w="3688" w:type="dxa"/>
                <w:vAlign w:val="center"/>
              </w:tcPr>
              <w:p w:rsidR="00F6024A" w:rsidRDefault="00F04FF7">
                <w:pPr>
                  <w:jc w:val="center"/>
                  <w:rPr>
                    <w:szCs w:val="24"/>
                  </w:rPr>
                </w:pPr>
                <w:r>
                  <w:rPr>
                    <w:szCs w:val="24"/>
                  </w:rPr>
                  <w:t>60</w:t>
                </w:r>
              </w:p>
            </w:tc>
          </w:tr>
          <w:tr w:rsidR="00F6024A">
            <w:trPr>
              <w:trHeight w:val="725"/>
            </w:trPr>
            <w:tc>
              <w:tcPr>
                <w:tcW w:w="3688" w:type="dxa"/>
                <w:vAlign w:val="center"/>
              </w:tcPr>
              <w:p w:rsidR="00F6024A" w:rsidRDefault="00F04FF7">
                <w:pPr>
                  <w:jc w:val="center"/>
                  <w:rPr>
                    <w:i/>
                    <w:iCs/>
                    <w:szCs w:val="24"/>
                  </w:rPr>
                </w:pPr>
                <w:r>
                  <w:rPr>
                    <w:szCs w:val="24"/>
                  </w:rPr>
                  <w:t>Pateiktos patentų paraiškos</w:t>
                </w:r>
              </w:p>
            </w:tc>
            <w:tc>
              <w:tcPr>
                <w:tcW w:w="3688" w:type="dxa"/>
                <w:vAlign w:val="center"/>
              </w:tcPr>
              <w:p w:rsidR="00F6024A" w:rsidRDefault="00F04FF7">
                <w:pPr>
                  <w:jc w:val="center"/>
                  <w:rPr>
                    <w:szCs w:val="24"/>
                  </w:rPr>
                </w:pPr>
                <w:r>
                  <w:rPr>
                    <w:szCs w:val="24"/>
                  </w:rPr>
                  <w:t>R-12-001-01-02-01-04</w:t>
                </w:r>
              </w:p>
              <w:p w:rsidR="00F6024A" w:rsidRDefault="00F04FF7">
                <w:pPr>
                  <w:jc w:val="center"/>
                  <w:rPr>
                    <w:color w:val="000000"/>
                    <w:szCs w:val="24"/>
                    <w:lang w:eastAsia="lt-LT"/>
                  </w:rPr>
                </w:pPr>
                <w:r>
                  <w:rPr>
                    <w:color w:val="000000"/>
                    <w:szCs w:val="24"/>
                    <w:lang w:eastAsia="lt-LT"/>
                  </w:rPr>
                  <w:t>R.B.2.2006</w:t>
                </w:r>
              </w:p>
            </w:tc>
            <w:tc>
              <w:tcPr>
                <w:tcW w:w="3688" w:type="dxa"/>
                <w:vAlign w:val="center"/>
              </w:tcPr>
              <w:p w:rsidR="00F6024A" w:rsidRDefault="00F04FF7">
                <w:pPr>
                  <w:jc w:val="center"/>
                  <w:rPr>
                    <w:i/>
                    <w:iCs/>
                    <w:szCs w:val="24"/>
                  </w:rPr>
                </w:pPr>
                <w:r>
                  <w:rPr>
                    <w:color w:val="000000"/>
                    <w:szCs w:val="24"/>
                    <w:shd w:val="clear" w:color="auto" w:fill="FFFFFF"/>
                  </w:rPr>
                  <w:t>Patentų paraiškos</w:t>
                </w:r>
              </w:p>
            </w:tc>
            <w:tc>
              <w:tcPr>
                <w:tcW w:w="3688" w:type="dxa"/>
                <w:vAlign w:val="center"/>
              </w:tcPr>
              <w:p w:rsidR="00F6024A" w:rsidRDefault="00F04FF7">
                <w:pPr>
                  <w:jc w:val="center"/>
                  <w:rPr>
                    <w:szCs w:val="24"/>
                  </w:rPr>
                </w:pPr>
                <w:r>
                  <w:rPr>
                    <w:szCs w:val="24"/>
                  </w:rPr>
                  <w:t>11</w:t>
                </w:r>
              </w:p>
            </w:tc>
          </w:tr>
          <w:tr w:rsidR="00F6024A">
            <w:trPr>
              <w:trHeight w:val="725"/>
            </w:trPr>
            <w:tc>
              <w:tcPr>
                <w:tcW w:w="3688" w:type="dxa"/>
                <w:vAlign w:val="center"/>
              </w:tcPr>
              <w:p w:rsidR="00F6024A" w:rsidRDefault="00F04FF7">
                <w:pPr>
                  <w:jc w:val="center"/>
                  <w:rPr>
                    <w:i/>
                    <w:iCs/>
                    <w:szCs w:val="24"/>
                  </w:rPr>
                </w:pPr>
                <w:r>
                  <w:rPr>
                    <w:szCs w:val="24"/>
                  </w:rPr>
                  <w:t>Remiamų projektų leidiniai</w:t>
                </w:r>
              </w:p>
            </w:tc>
            <w:tc>
              <w:tcPr>
                <w:tcW w:w="3688" w:type="dxa"/>
                <w:vAlign w:val="center"/>
              </w:tcPr>
              <w:p w:rsidR="00F6024A" w:rsidRDefault="00F04FF7">
                <w:pPr>
                  <w:jc w:val="center"/>
                  <w:rPr>
                    <w:szCs w:val="24"/>
                  </w:rPr>
                </w:pPr>
                <w:r>
                  <w:rPr>
                    <w:szCs w:val="24"/>
                  </w:rPr>
                  <w:t>R-12-001-01-02-01-05</w:t>
                </w:r>
              </w:p>
              <w:p w:rsidR="00F6024A" w:rsidRDefault="00F04FF7">
                <w:pPr>
                  <w:jc w:val="center"/>
                  <w:rPr>
                    <w:color w:val="000000"/>
                    <w:szCs w:val="24"/>
                    <w:lang w:eastAsia="lt-LT"/>
                  </w:rPr>
                </w:pPr>
                <w:r>
                  <w:rPr>
                    <w:color w:val="000000"/>
                    <w:szCs w:val="24"/>
                    <w:lang w:eastAsia="lt-LT"/>
                  </w:rPr>
                  <w:t>R.B.2.2008</w:t>
                </w:r>
              </w:p>
            </w:tc>
            <w:tc>
              <w:tcPr>
                <w:tcW w:w="3688" w:type="dxa"/>
                <w:vAlign w:val="center"/>
              </w:tcPr>
              <w:p w:rsidR="00F6024A" w:rsidRDefault="00F04FF7">
                <w:pPr>
                  <w:jc w:val="center"/>
                  <w:rPr>
                    <w:i/>
                    <w:iCs/>
                    <w:szCs w:val="24"/>
                  </w:rPr>
                </w:pPr>
                <w:r>
                  <w:rPr>
                    <w:szCs w:val="24"/>
                  </w:rPr>
                  <w:t>Leidiniai</w:t>
                </w:r>
              </w:p>
            </w:tc>
            <w:tc>
              <w:tcPr>
                <w:tcW w:w="3688" w:type="dxa"/>
                <w:vAlign w:val="center"/>
              </w:tcPr>
              <w:p w:rsidR="00F6024A" w:rsidRDefault="00F04FF7">
                <w:pPr>
                  <w:jc w:val="center"/>
                  <w:rPr>
                    <w:szCs w:val="24"/>
                  </w:rPr>
                </w:pPr>
                <w:r>
                  <w:rPr>
                    <w:szCs w:val="24"/>
                  </w:rPr>
                  <w:t>18</w:t>
                </w:r>
              </w:p>
            </w:tc>
          </w:tr>
          <w:tr w:rsidR="00F6024A">
            <w:trPr>
              <w:trHeight w:val="725"/>
            </w:trPr>
            <w:tc>
              <w:tcPr>
                <w:tcW w:w="3688" w:type="dxa"/>
                <w:vAlign w:val="center"/>
              </w:tcPr>
              <w:p w:rsidR="00F6024A" w:rsidRDefault="00F04FF7">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688" w:type="dxa"/>
                <w:vAlign w:val="center"/>
              </w:tcPr>
              <w:p w:rsidR="00F6024A" w:rsidRDefault="00F04FF7">
                <w:pPr>
                  <w:jc w:val="center"/>
                  <w:rPr>
                    <w:szCs w:val="24"/>
                  </w:rPr>
                </w:pPr>
                <w:r>
                  <w:rPr>
                    <w:szCs w:val="24"/>
                  </w:rPr>
                  <w:t>R-12-001-01-02-01-06</w:t>
                </w:r>
              </w:p>
              <w:p w:rsidR="00F6024A" w:rsidRDefault="00F04FF7">
                <w:pPr>
                  <w:jc w:val="center"/>
                  <w:rPr>
                    <w:szCs w:val="24"/>
                  </w:rPr>
                </w:pPr>
                <w:r>
                  <w:rPr>
                    <w:color w:val="000000"/>
                    <w:szCs w:val="24"/>
                    <w:lang w:eastAsia="lt-LT"/>
                  </w:rPr>
                  <w:t>R.S.2.3002</w:t>
                </w:r>
              </w:p>
            </w:tc>
            <w:tc>
              <w:tcPr>
                <w:tcW w:w="3688" w:type="dxa"/>
                <w:vAlign w:val="center"/>
              </w:tcPr>
              <w:p w:rsidR="00F6024A" w:rsidRDefault="00F04FF7">
                <w:pPr>
                  <w:jc w:val="center"/>
                  <w:rPr>
                    <w:szCs w:val="24"/>
                  </w:rPr>
                </w:pPr>
                <w:r>
                  <w:rPr>
                    <w:szCs w:val="24"/>
                  </w:rPr>
                  <w:t>Skaičius</w:t>
                </w:r>
              </w:p>
            </w:tc>
            <w:tc>
              <w:tcPr>
                <w:tcW w:w="3688" w:type="dxa"/>
                <w:vAlign w:val="center"/>
              </w:tcPr>
              <w:p w:rsidR="00F6024A" w:rsidRDefault="00F04FF7">
                <w:pPr>
                  <w:jc w:val="center"/>
                  <w:rPr>
                    <w:szCs w:val="24"/>
                  </w:rPr>
                </w:pPr>
                <w:r>
                  <w:rPr>
                    <w:szCs w:val="24"/>
                  </w:rPr>
                  <w:t>22</w:t>
                </w:r>
              </w:p>
            </w:tc>
          </w:tr>
        </w:tbl>
        <w:p w:rsidR="00F6024A" w:rsidRDefault="00F04FF7">
          <w:pPr>
            <w:jc w:val="both"/>
            <w:rPr>
              <w:szCs w:val="24"/>
            </w:rPr>
          </w:pPr>
          <w:r>
            <w:rPr>
              <w:szCs w:val="24"/>
            </w:rPr>
            <w:t xml:space="preserve">Įgyvendinant </w:t>
          </w:r>
          <w:proofErr w:type="spellStart"/>
          <w:r>
            <w:rPr>
              <w:szCs w:val="24"/>
            </w:rPr>
            <w:t>poveiklę</w:t>
          </w:r>
          <w:proofErr w:type="spellEnd"/>
          <w:r>
            <w:rPr>
              <w:szCs w:val="24"/>
            </w:rPr>
            <w:t xml:space="preserve"> </w:t>
          </w:r>
          <w:r>
            <w:rPr>
              <w:szCs w:val="24"/>
            </w:rPr>
            <w:t xml:space="preserve">„2.2.2. Didinti mokslo </w:t>
          </w:r>
          <w:proofErr w:type="spellStart"/>
          <w:r>
            <w:rPr>
              <w:szCs w:val="24"/>
            </w:rPr>
            <w:t>tarptautiškumo</w:t>
          </w:r>
          <w:proofErr w:type="spellEnd"/>
          <w:r>
            <w:rPr>
              <w:szCs w:val="24"/>
            </w:rPr>
            <w:t xml:space="preserve"> lygį (VVL)“:</w:t>
          </w: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F6024A">
            <w:trPr>
              <w:trHeight w:val="405"/>
            </w:trPr>
            <w:tc>
              <w:tcPr>
                <w:tcW w:w="3688" w:type="dxa"/>
                <w:shd w:val="clear" w:color="auto" w:fill="auto"/>
                <w:vAlign w:val="center"/>
              </w:tcPr>
              <w:p w:rsidR="00F6024A" w:rsidRDefault="00F04FF7">
                <w:pPr>
                  <w:jc w:val="center"/>
                  <w:rPr>
                    <w:szCs w:val="24"/>
                  </w:rPr>
                </w:pPr>
                <w:r>
                  <w:rPr>
                    <w:szCs w:val="24"/>
                  </w:rPr>
                  <w:t>Rodiklio pavadinimas</w:t>
                </w:r>
              </w:p>
            </w:tc>
            <w:tc>
              <w:tcPr>
                <w:tcW w:w="3688" w:type="dxa"/>
                <w:shd w:val="clear" w:color="auto" w:fill="auto"/>
                <w:vAlign w:val="center"/>
              </w:tcPr>
              <w:p w:rsidR="00F6024A" w:rsidRDefault="00F04FF7">
                <w:pPr>
                  <w:jc w:val="center"/>
                  <w:rPr>
                    <w:szCs w:val="24"/>
                  </w:rPr>
                </w:pPr>
                <w:r>
                  <w:rPr>
                    <w:szCs w:val="24"/>
                  </w:rPr>
                  <w:t>Rodiklio kodas</w:t>
                </w:r>
              </w:p>
            </w:tc>
            <w:tc>
              <w:tcPr>
                <w:tcW w:w="3688" w:type="dxa"/>
                <w:shd w:val="clear" w:color="auto" w:fill="auto"/>
                <w:vAlign w:val="center"/>
              </w:tcPr>
              <w:p w:rsidR="00F6024A" w:rsidRDefault="00F04FF7">
                <w:pPr>
                  <w:jc w:val="center"/>
                  <w:rPr>
                    <w:szCs w:val="24"/>
                  </w:rPr>
                </w:pPr>
                <w:r>
                  <w:rPr>
                    <w:szCs w:val="24"/>
                  </w:rPr>
                  <w:t>Matavimo vienetai</w:t>
                </w:r>
              </w:p>
            </w:tc>
            <w:tc>
              <w:tcPr>
                <w:tcW w:w="3688" w:type="dxa"/>
                <w:shd w:val="clear" w:color="auto" w:fill="auto"/>
                <w:vAlign w:val="center"/>
              </w:tcPr>
              <w:p w:rsidR="00F6024A" w:rsidRDefault="00F04FF7">
                <w:pPr>
                  <w:jc w:val="center"/>
                  <w:rPr>
                    <w:szCs w:val="24"/>
                  </w:rPr>
                </w:pPr>
                <w:r>
                  <w:rPr>
                    <w:szCs w:val="24"/>
                  </w:rPr>
                  <w:t>Siektina reikšmė</w:t>
                </w:r>
              </w:p>
            </w:tc>
          </w:tr>
          <w:tr w:rsidR="00F6024A">
            <w:trPr>
              <w:trHeight w:val="725"/>
            </w:trPr>
            <w:tc>
              <w:tcPr>
                <w:tcW w:w="3688" w:type="dxa"/>
                <w:vAlign w:val="center"/>
              </w:tcPr>
              <w:p w:rsidR="00F6024A" w:rsidRDefault="00F04FF7">
                <w:pPr>
                  <w:jc w:val="center"/>
                  <w:rPr>
                    <w:i/>
                    <w:iCs/>
                    <w:szCs w:val="24"/>
                  </w:rPr>
                </w:pPr>
                <w:r>
                  <w:rPr>
                    <w:szCs w:val="24"/>
                  </w:rPr>
                  <w:t>Paramą gavusiose mokslinių tyrimų įstaigose dirbantys mokslininkai</w:t>
                </w:r>
              </w:p>
            </w:tc>
            <w:tc>
              <w:tcPr>
                <w:tcW w:w="3688" w:type="dxa"/>
                <w:vAlign w:val="center"/>
              </w:tcPr>
              <w:p w:rsidR="00F6024A" w:rsidRDefault="00F04FF7">
                <w:pPr>
                  <w:jc w:val="center"/>
                  <w:rPr>
                    <w:szCs w:val="24"/>
                  </w:rPr>
                </w:pPr>
                <w:r>
                  <w:rPr>
                    <w:szCs w:val="24"/>
                  </w:rPr>
                  <w:t>P-12-001-01-02-01-01</w:t>
                </w:r>
              </w:p>
              <w:p w:rsidR="00F6024A" w:rsidRDefault="00F04FF7">
                <w:pPr>
                  <w:jc w:val="center"/>
                  <w:rPr>
                    <w:szCs w:val="24"/>
                  </w:rPr>
                </w:pPr>
                <w:r>
                  <w:rPr>
                    <w:color w:val="000000"/>
                    <w:szCs w:val="24"/>
                    <w:lang w:eastAsia="lt-LT"/>
                  </w:rPr>
                  <w:t>P.B.2.0006</w:t>
                </w:r>
              </w:p>
            </w:tc>
            <w:tc>
              <w:tcPr>
                <w:tcW w:w="3688" w:type="dxa"/>
                <w:vAlign w:val="center"/>
              </w:tcPr>
              <w:p w:rsidR="00F6024A" w:rsidRDefault="00F04FF7">
                <w:pPr>
                  <w:jc w:val="center"/>
                  <w:rPr>
                    <w:szCs w:val="24"/>
                  </w:rPr>
                </w:pPr>
                <w:r>
                  <w:rPr>
                    <w:szCs w:val="24"/>
                  </w:rPr>
                  <w:t>Vienų metų etato ekvivalentai</w:t>
                </w:r>
              </w:p>
            </w:tc>
            <w:tc>
              <w:tcPr>
                <w:tcW w:w="3688" w:type="dxa"/>
                <w:vAlign w:val="center"/>
              </w:tcPr>
              <w:p w:rsidR="00F6024A" w:rsidRDefault="00F04FF7">
                <w:pPr>
                  <w:jc w:val="center"/>
                  <w:rPr>
                    <w:szCs w:val="24"/>
                  </w:rPr>
                </w:pPr>
                <w:r>
                  <w:rPr>
                    <w:szCs w:val="24"/>
                  </w:rPr>
                  <w:t>40</w:t>
                </w:r>
              </w:p>
            </w:tc>
          </w:tr>
          <w:tr w:rsidR="00F6024A">
            <w:trPr>
              <w:trHeight w:val="725"/>
            </w:trPr>
            <w:tc>
              <w:tcPr>
                <w:tcW w:w="3688" w:type="dxa"/>
                <w:vAlign w:val="center"/>
              </w:tcPr>
              <w:p w:rsidR="00F6024A" w:rsidRDefault="00F04FF7">
                <w:pPr>
                  <w:jc w:val="center"/>
                  <w:rPr>
                    <w:i/>
                    <w:iCs/>
                    <w:szCs w:val="24"/>
                  </w:rPr>
                </w:pPr>
                <w:r>
                  <w:rPr>
                    <w:szCs w:val="24"/>
                  </w:rPr>
                  <w:t>Pateiktos patentų paraiškos</w:t>
                </w:r>
              </w:p>
            </w:tc>
            <w:tc>
              <w:tcPr>
                <w:tcW w:w="3688" w:type="dxa"/>
                <w:vAlign w:val="center"/>
              </w:tcPr>
              <w:p w:rsidR="00F6024A" w:rsidRDefault="00F04FF7">
                <w:pPr>
                  <w:jc w:val="center"/>
                  <w:rPr>
                    <w:szCs w:val="24"/>
                  </w:rPr>
                </w:pPr>
                <w:r>
                  <w:rPr>
                    <w:szCs w:val="24"/>
                  </w:rPr>
                  <w:t>R-12-001-01-02-01-04</w:t>
                </w:r>
              </w:p>
              <w:p w:rsidR="00F6024A" w:rsidRDefault="00F04FF7">
                <w:pPr>
                  <w:jc w:val="center"/>
                  <w:rPr>
                    <w:color w:val="000000"/>
                    <w:szCs w:val="24"/>
                    <w:lang w:eastAsia="lt-LT"/>
                  </w:rPr>
                </w:pPr>
                <w:r>
                  <w:rPr>
                    <w:color w:val="000000"/>
                    <w:szCs w:val="24"/>
                    <w:lang w:eastAsia="lt-LT"/>
                  </w:rPr>
                  <w:t>R.B.2.2006</w:t>
                </w:r>
              </w:p>
            </w:tc>
            <w:tc>
              <w:tcPr>
                <w:tcW w:w="3688" w:type="dxa"/>
                <w:vAlign w:val="center"/>
              </w:tcPr>
              <w:p w:rsidR="00F6024A" w:rsidRDefault="00F04FF7">
                <w:pPr>
                  <w:jc w:val="center"/>
                  <w:rPr>
                    <w:i/>
                    <w:iCs/>
                    <w:szCs w:val="24"/>
                  </w:rPr>
                </w:pPr>
                <w:r>
                  <w:rPr>
                    <w:color w:val="000000"/>
                    <w:szCs w:val="24"/>
                    <w:shd w:val="clear" w:color="auto" w:fill="FFFFFF"/>
                  </w:rPr>
                  <w:t>Patentų paraiškos </w:t>
                </w:r>
              </w:p>
            </w:tc>
            <w:tc>
              <w:tcPr>
                <w:tcW w:w="3688" w:type="dxa"/>
                <w:vAlign w:val="center"/>
              </w:tcPr>
              <w:p w:rsidR="00F6024A" w:rsidRDefault="00F04FF7">
                <w:pPr>
                  <w:jc w:val="center"/>
                  <w:rPr>
                    <w:szCs w:val="24"/>
                  </w:rPr>
                </w:pPr>
                <w:r>
                  <w:rPr>
                    <w:szCs w:val="24"/>
                  </w:rPr>
                  <w:t>7</w:t>
                </w:r>
              </w:p>
            </w:tc>
          </w:tr>
          <w:tr w:rsidR="00F6024A">
            <w:trPr>
              <w:trHeight w:val="725"/>
            </w:trPr>
            <w:tc>
              <w:tcPr>
                <w:tcW w:w="3688" w:type="dxa"/>
                <w:vAlign w:val="center"/>
              </w:tcPr>
              <w:p w:rsidR="00F6024A" w:rsidRDefault="00F04FF7">
                <w:pPr>
                  <w:jc w:val="center"/>
                  <w:rPr>
                    <w:i/>
                    <w:iCs/>
                    <w:szCs w:val="24"/>
                  </w:rPr>
                </w:pPr>
                <w:r>
                  <w:rPr>
                    <w:szCs w:val="24"/>
                  </w:rPr>
                  <w:t>Remiamų projektų leidiniai</w:t>
                </w:r>
                <w:r>
                  <w:rPr>
                    <w:strike/>
                    <w:szCs w:val="24"/>
                  </w:rPr>
                  <w:t xml:space="preserve"> </w:t>
                </w:r>
              </w:p>
            </w:tc>
            <w:tc>
              <w:tcPr>
                <w:tcW w:w="3688" w:type="dxa"/>
                <w:vAlign w:val="center"/>
              </w:tcPr>
              <w:p w:rsidR="00F6024A" w:rsidRDefault="00F04FF7">
                <w:pPr>
                  <w:jc w:val="center"/>
                  <w:rPr>
                    <w:szCs w:val="24"/>
                  </w:rPr>
                </w:pPr>
                <w:r>
                  <w:rPr>
                    <w:szCs w:val="24"/>
                  </w:rPr>
                  <w:t>R-12-001-01-02-01-05</w:t>
                </w:r>
              </w:p>
              <w:p w:rsidR="00F6024A" w:rsidRDefault="00F04FF7">
                <w:pPr>
                  <w:jc w:val="center"/>
                  <w:rPr>
                    <w:color w:val="000000"/>
                    <w:szCs w:val="24"/>
                    <w:lang w:eastAsia="lt-LT"/>
                  </w:rPr>
                </w:pPr>
                <w:r>
                  <w:rPr>
                    <w:color w:val="000000"/>
                    <w:szCs w:val="24"/>
                    <w:lang w:eastAsia="lt-LT"/>
                  </w:rPr>
                  <w:t>R.B.2.2008</w:t>
                </w:r>
              </w:p>
            </w:tc>
            <w:tc>
              <w:tcPr>
                <w:tcW w:w="3688" w:type="dxa"/>
                <w:vAlign w:val="center"/>
              </w:tcPr>
              <w:p w:rsidR="00F6024A" w:rsidRDefault="00F04FF7">
                <w:pPr>
                  <w:jc w:val="center"/>
                  <w:rPr>
                    <w:i/>
                    <w:iCs/>
                    <w:szCs w:val="24"/>
                  </w:rPr>
                </w:pPr>
                <w:r>
                  <w:rPr>
                    <w:szCs w:val="24"/>
                  </w:rPr>
                  <w:t>Leidiniai</w:t>
                </w:r>
              </w:p>
            </w:tc>
            <w:tc>
              <w:tcPr>
                <w:tcW w:w="3688" w:type="dxa"/>
                <w:vAlign w:val="center"/>
              </w:tcPr>
              <w:p w:rsidR="00F6024A" w:rsidRDefault="00F04FF7">
                <w:pPr>
                  <w:jc w:val="center"/>
                  <w:rPr>
                    <w:szCs w:val="24"/>
                  </w:rPr>
                </w:pPr>
                <w:r>
                  <w:rPr>
                    <w:szCs w:val="24"/>
                  </w:rPr>
                  <w:t>12</w:t>
                </w:r>
              </w:p>
            </w:tc>
          </w:tr>
          <w:tr w:rsidR="00F6024A">
            <w:trPr>
              <w:trHeight w:val="725"/>
            </w:trPr>
            <w:tc>
              <w:tcPr>
                <w:tcW w:w="3688" w:type="dxa"/>
                <w:vAlign w:val="center"/>
              </w:tcPr>
              <w:p w:rsidR="00F6024A" w:rsidRDefault="00F04FF7">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688" w:type="dxa"/>
                <w:vAlign w:val="center"/>
              </w:tcPr>
              <w:p w:rsidR="00F6024A" w:rsidRDefault="00F04FF7">
                <w:pPr>
                  <w:jc w:val="center"/>
                  <w:rPr>
                    <w:szCs w:val="24"/>
                  </w:rPr>
                </w:pPr>
                <w:r>
                  <w:rPr>
                    <w:szCs w:val="24"/>
                  </w:rPr>
                  <w:t>R-12-001-01-02-01-06</w:t>
                </w:r>
              </w:p>
              <w:p w:rsidR="00F6024A" w:rsidRDefault="00F04FF7">
                <w:pPr>
                  <w:jc w:val="center"/>
                  <w:rPr>
                    <w:szCs w:val="24"/>
                  </w:rPr>
                </w:pPr>
                <w:r>
                  <w:rPr>
                    <w:color w:val="000000"/>
                    <w:szCs w:val="24"/>
                    <w:lang w:eastAsia="lt-LT"/>
                  </w:rPr>
                  <w:t>R.S.2.3002</w:t>
                </w:r>
              </w:p>
            </w:tc>
            <w:tc>
              <w:tcPr>
                <w:tcW w:w="3688" w:type="dxa"/>
                <w:vAlign w:val="center"/>
              </w:tcPr>
              <w:p w:rsidR="00F6024A" w:rsidRDefault="00F04FF7">
                <w:pPr>
                  <w:jc w:val="center"/>
                  <w:rPr>
                    <w:szCs w:val="24"/>
                  </w:rPr>
                </w:pPr>
                <w:r>
                  <w:rPr>
                    <w:szCs w:val="24"/>
                  </w:rPr>
                  <w:t>Skaičius</w:t>
                </w:r>
              </w:p>
            </w:tc>
            <w:tc>
              <w:tcPr>
                <w:tcW w:w="3688" w:type="dxa"/>
                <w:vAlign w:val="center"/>
              </w:tcPr>
              <w:p w:rsidR="00F6024A" w:rsidRDefault="00F04FF7">
                <w:pPr>
                  <w:jc w:val="center"/>
                  <w:rPr>
                    <w:szCs w:val="24"/>
                  </w:rPr>
                </w:pPr>
                <w:r>
                  <w:rPr>
                    <w:szCs w:val="24"/>
                  </w:rPr>
                  <w:t>14</w:t>
                </w:r>
              </w:p>
            </w:tc>
          </w:tr>
        </w:tbl>
        <w:p w:rsidR="00F6024A" w:rsidRDefault="00F6024A">
          <w:pPr>
            <w:jc w:val="both"/>
            <w:rPr>
              <w:szCs w:val="24"/>
            </w:rPr>
          </w:pPr>
        </w:p>
        <w:p w:rsidR="00F6024A" w:rsidRDefault="00F6024A">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6024A">
            <w:tc>
              <w:tcPr>
                <w:tcW w:w="14709" w:type="dxa"/>
              </w:tcPr>
              <w:p w:rsidR="00F6024A" w:rsidRDefault="00F04FF7">
                <w:pPr>
                  <w:rPr>
                    <w:b/>
                    <w:bCs/>
                    <w:szCs w:val="24"/>
                  </w:rPr>
                </w:pPr>
                <w:r>
                  <w:rPr>
                    <w:b/>
                    <w:bCs/>
                    <w:szCs w:val="24"/>
                  </w:rPr>
                  <w:lastRenderedPageBreak/>
                  <w:t>SPECIALIEJI FINANSAVIMO REIKALAVIMAI</w:t>
                </w:r>
              </w:p>
            </w:tc>
          </w:tr>
          <w:tr w:rsidR="00F6024A">
            <w:tc>
              <w:tcPr>
                <w:tcW w:w="14709" w:type="dxa"/>
              </w:tcPr>
              <w:p w:rsidR="00F6024A" w:rsidRDefault="00F04FF7">
                <w:pPr>
                  <w:rPr>
                    <w:b/>
                    <w:bCs/>
                    <w:szCs w:val="24"/>
                  </w:rPr>
                </w:pPr>
                <w:r>
                  <w:rPr>
                    <w:b/>
                    <w:bCs/>
                    <w:szCs w:val="24"/>
                  </w:rPr>
                  <w:t>1. Taikomi teisės aktai</w:t>
                </w:r>
              </w:p>
            </w:tc>
          </w:tr>
          <w:tr w:rsidR="00F6024A">
            <w:trPr>
              <w:trHeight w:val="3676"/>
            </w:trPr>
            <w:tc>
              <w:tcPr>
                <w:tcW w:w="14709" w:type="dxa"/>
              </w:tcPr>
              <w:p w:rsidR="00F6024A" w:rsidRDefault="00F04FF7">
                <w:pPr>
                  <w:spacing w:line="257" w:lineRule="auto"/>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2022–2030 m. plėtros program</w:t>
                </w:r>
                <w:r>
                  <w:rPr>
                    <w:szCs w:val="24"/>
                  </w:rPr>
                  <w:t xml:space="preserve">os valdytojos Lietuvos Respublikos švietimo, mokslo ir sporto ministerijos mokslo plėtros programos pažangos priemonės Nr. </w:t>
                </w:r>
                <w:r>
                  <w:rPr>
                    <w:color w:val="000000"/>
                    <w:szCs w:val="24"/>
                  </w:rPr>
                  <w:t>12-001-01-02-01 „</w:t>
                </w:r>
                <w:r>
                  <w:t>Stiprinti inovacijų ekosistemas mokslo centruose</w:t>
                </w:r>
                <w:r>
                  <w:rPr>
                    <w:color w:val="000000"/>
                    <w:szCs w:val="24"/>
                  </w:rPr>
                  <w:t xml:space="preserve">“ </w:t>
                </w:r>
                <w:r>
                  <w:rPr>
                    <w:szCs w:val="24"/>
                  </w:rPr>
                  <w:t>projektų finansavimo sąlygų aprašą Nr. 11 (toliau – Aprašas):</w:t>
                </w:r>
              </w:p>
              <w:p w:rsidR="00F6024A" w:rsidRDefault="00F04FF7">
                <w:pPr>
                  <w:jc w:val="both"/>
                  <w:rPr>
                    <w:szCs w:val="24"/>
                  </w:rPr>
                </w:pPr>
                <w:r>
                  <w:rPr>
                    <w:szCs w:val="24"/>
                  </w:rPr>
                  <w:t>1.1.</w:t>
                </w:r>
                <w:r>
                  <w:rPr>
                    <w:szCs w:val="24"/>
                  </w:rPr>
                  <w:t xml:space="preserve"> Aštuonioliktosios Lietuvos Respublikos Vyriausybės programa, kuriai pritarta Lietuvos Respublikos Seimo 2020 m. gruodžio 11 d. nutarimu Nr. XIV-72 „Dėl Aštuonioliktosios Lietuvos Respublikos Vyriausybės programos“;</w:t>
                </w:r>
              </w:p>
              <w:p w:rsidR="00F6024A" w:rsidRDefault="00F04FF7">
                <w:pPr>
                  <w:jc w:val="both"/>
                  <w:rPr>
                    <w:szCs w:val="24"/>
                  </w:rPr>
                </w:pPr>
                <w:r>
                  <w:rPr>
                    <w:szCs w:val="24"/>
                  </w:rPr>
                  <w:t>1.2. 2022–2030 m. plėtros programos vald</w:t>
                </w:r>
                <w:r>
                  <w:rPr>
                    <w:szCs w:val="24"/>
                  </w:rPr>
                  <w:t>ytojos Lietuvos Respublikos švietimo, mokslo ir sporto ministerijos mokslo plėtros programa, patvirtinta Lietuvos Respublikos Vyriausybės 2022 m. sausio 26 d. nutarimu Nr. 67 „Dėl 2022–2030 m. plėtros programos valdytojos Lietuvos Respublikos švietimo, mok</w:t>
                </w:r>
                <w:r>
                  <w:rPr>
                    <w:szCs w:val="24"/>
                  </w:rPr>
                  <w:t xml:space="preserve">slo ir sporto ministerijos mokslo plėtros programos patvirtinimo“; </w:t>
                </w:r>
              </w:p>
              <w:p w:rsidR="00F6024A" w:rsidRDefault="00F04FF7">
                <w:pPr>
                  <w:jc w:val="both"/>
                  <w:rPr>
                    <w:szCs w:val="24"/>
                  </w:rPr>
                </w:pPr>
                <w:r>
                  <w:rPr>
                    <w:szCs w:val="24"/>
                  </w:rPr>
                  <w:t xml:space="preserve">1.3. </w:t>
                </w:r>
                <w:r>
                  <w:rPr>
                    <w:shd w:val="clear" w:color="auto" w:fill="FFFFFF"/>
                  </w:rPr>
                  <w:t xml:space="preserve">2022–2030 m. plėtros programos valdytojos Lietuvos Respublikos švietimo, mokslo ir sporto ministerijos mokslo plėtros programos </w:t>
                </w:r>
                <w:r>
                  <w:t>pažangos priemonės Nr. 12-001-01-02-01 „Stiprinti inova</w:t>
                </w:r>
                <w:r>
                  <w:t xml:space="preserve">cijų ekosistemas mokslo centruose“ aprašas, patvirtintas </w:t>
                </w:r>
                <w:r>
                  <w:rPr>
                    <w:shd w:val="clear" w:color="auto" w:fill="FFFFFF"/>
                  </w:rPr>
                  <w:t xml:space="preserve">Lietuvos Respublikos švietimo, mokslo ir sporto ministro </w:t>
                </w:r>
                <w:r>
                  <w:rPr>
                    <w:szCs w:val="24"/>
                  </w:rPr>
                  <w:t xml:space="preserve"> </w:t>
                </w:r>
                <w:r>
                  <w:t xml:space="preserve">2022 m. rugpjūčio 17 d. įsakymu Nr. V-1250 </w:t>
                </w:r>
                <w:r>
                  <w:rPr>
                    <w:iCs/>
                  </w:rPr>
                  <w:t>„Dėl 2022–2030 m. plėtros programos valdytojos Lietuvos Respublikos švietimo, mokslo ir sporto min</w:t>
                </w:r>
                <w:r>
                  <w:rPr>
                    <w:iCs/>
                  </w:rPr>
                  <w:t>isterijos mokslo plėtros programos pažangos priemonės Nr. 12-001-01-02-01 „Stiprinti inovacijų ekosistemas mokslo centruose“ aprašo patvirtinimo“</w:t>
                </w:r>
                <w:r>
                  <w:t>;</w:t>
                </w:r>
              </w:p>
              <w:p w:rsidR="00F6024A" w:rsidRDefault="00F04FF7">
                <w:pPr>
                  <w:jc w:val="both"/>
                  <w:rPr>
                    <w:szCs w:val="24"/>
                  </w:rPr>
                </w:pPr>
                <w:r>
                  <w:rPr>
                    <w:szCs w:val="24"/>
                  </w:rPr>
                  <w:t>1.4. Projektų administravimo ir finansavimo taisyklės, patvirtintos Lietuvos Respublikos finansų ministro 202</w:t>
                </w:r>
                <w:r>
                  <w:rPr>
                    <w:szCs w:val="24"/>
                  </w:rPr>
                  <w:t>2 m. birželio 22 d. įsakymu Nr. 1K-237 „Dėl 2021–2027 metų Europos Sąjungos fondų investicijų programos ir Ekonomikos gaivinimo ir atsparumo didinimo plano „Naujos kartos Lietuva“ įgyvendinimo“ (toliau – PAFT);</w:t>
                </w:r>
              </w:p>
              <w:p w:rsidR="00F6024A" w:rsidRDefault="00F04FF7">
                <w:pPr>
                  <w:jc w:val="both"/>
                  <w:rPr>
                    <w:szCs w:val="24"/>
                  </w:rPr>
                </w:pPr>
                <w:r>
                  <w:rPr>
                    <w:szCs w:val="24"/>
                  </w:rPr>
                  <w:t>1.5. 2021 m. birželio 24 d. Europos Parlament</w:t>
                </w:r>
                <w:r>
                  <w:rPr>
                    <w:szCs w:val="24"/>
                  </w:rPr>
                  <w:t>o ir Tarybos reglamentas (ES) 2021/1060, kuriuo nustatomos bendros Europos regioninės plėtros fondo, „Europos socialinio fondo +“, Sanglaudos fondo, Teisingos pertvarkos fondo ir Europos jūrų reikalų, žvejybos ir akvakultūros fondo nuostatos ir šių fondų b</w:t>
                </w:r>
                <w:r>
                  <w:rPr>
                    <w:szCs w:val="24"/>
                  </w:rPr>
                  <w:t>ei Prieglobsčio, migracijos ir integracijos fondo, Vidaus saugumo fondo ir Sienų valdymo ir vizų politikos finansinės paramos priemonės taisyklės;</w:t>
                </w:r>
              </w:p>
              <w:p w:rsidR="00F6024A" w:rsidRDefault="00F04FF7">
                <w:pPr>
                  <w:jc w:val="both"/>
                  <w:rPr>
                    <w:szCs w:val="24"/>
                  </w:rPr>
                </w:pPr>
                <w:r>
                  <w:rPr>
                    <w:szCs w:val="24"/>
                  </w:rPr>
                  <w:t>1.6. Lietuvos Respublikos mokslo ir studijų įstatymas;</w:t>
                </w:r>
              </w:p>
              <w:p w:rsidR="00F6024A" w:rsidRDefault="00F04FF7">
                <w:pPr>
                  <w:jc w:val="both"/>
                  <w:rPr>
                    <w:szCs w:val="24"/>
                  </w:rPr>
                </w:pPr>
                <w:r>
                  <w:rPr>
                    <w:iCs/>
                    <w:szCs w:val="24"/>
                  </w:rPr>
                  <w:t>1.7. Lietuvos Respublikos smulkaus ir vidutinio verslo</w:t>
                </w:r>
                <w:r>
                  <w:rPr>
                    <w:iCs/>
                    <w:szCs w:val="24"/>
                  </w:rPr>
                  <w:t xml:space="preserve"> įstatymas;</w:t>
                </w:r>
              </w:p>
              <w:p w:rsidR="00F6024A" w:rsidRDefault="00F04FF7">
                <w:pPr>
                  <w:jc w:val="both"/>
                  <w:rPr>
                    <w:szCs w:val="24"/>
                    <w:lang w:eastAsia="lt-LT"/>
                  </w:rPr>
                </w:pPr>
                <w:r>
                  <w:rPr>
                    <w:szCs w:val="24"/>
                    <w:lang w:eastAsia="lt-LT"/>
                  </w:rPr>
                  <w:t xml:space="preserve">1.8. 2014 m. birželio 17 d. Komisijos reglamentas (ES) Nr. 651/2014, kuriuo tam tikrų kategorijų pagalba skelbiama suderinama su vidaus rinka taikant Sutarties 107 ir 108 straipsnius, </w:t>
                </w:r>
                <w:r>
                  <w:rPr>
                    <w:iCs/>
                    <w:szCs w:val="24"/>
                  </w:rPr>
                  <w:t>su visais pakeitimais</w:t>
                </w:r>
                <w:r>
                  <w:rPr>
                    <w:szCs w:val="24"/>
                    <w:lang w:eastAsia="lt-LT"/>
                  </w:rPr>
                  <w:t xml:space="preserve"> (toliau – BBIR);</w:t>
                </w:r>
              </w:p>
              <w:p w:rsidR="00F6024A" w:rsidRDefault="00F04FF7">
                <w:pPr>
                  <w:jc w:val="both"/>
                  <w:rPr>
                    <w:iCs/>
                    <w:szCs w:val="24"/>
                  </w:rPr>
                </w:pPr>
                <w:r>
                  <w:rPr>
                    <w:szCs w:val="24"/>
                    <w:lang w:eastAsia="lt-LT"/>
                  </w:rPr>
                  <w:t xml:space="preserve">1.9. </w:t>
                </w:r>
                <w:r>
                  <w:rPr>
                    <w:iCs/>
                    <w:szCs w:val="24"/>
                  </w:rPr>
                  <w:t>Europos Komisijo</w:t>
                </w:r>
                <w:r>
                  <w:rPr>
                    <w:iCs/>
                    <w:szCs w:val="24"/>
                  </w:rPr>
                  <w:t>s komunikatas „Valstybės pagalbos moksliniams tyrimams, plėtrai ir inovacijoms sistema“ (2022/C 414/01) (toliau – Komunikatas);</w:t>
                </w:r>
              </w:p>
              <w:p w:rsidR="00F6024A" w:rsidRDefault="00F04FF7">
                <w:pPr>
                  <w:jc w:val="both"/>
                  <w:rPr>
                    <w:szCs w:val="24"/>
                    <w:lang w:eastAsia="lt-LT"/>
                  </w:rPr>
                </w:pPr>
                <w:r>
                  <w:rPr>
                    <w:szCs w:val="24"/>
                    <w:lang w:eastAsia="lt-LT"/>
                  </w:rPr>
                  <w:t>1.10. Projektų, įgyvendinamų pagal 2022–2030 metų plėtros programos valdytojos Lietuvos Respublikos švietimo, mokslo ir sporto m</w:t>
                </w:r>
                <w:r>
                  <w:rPr>
                    <w:szCs w:val="24"/>
                    <w:lang w:eastAsia="lt-LT"/>
                  </w:rPr>
                  <w:t xml:space="preserve">inisterijos mokslo plėtros programos bei švietimo plėtros programos pažangos priemones, partnerių atrankos taisyklės, patvirtintos </w:t>
                </w:r>
                <w:r>
                  <w:rPr>
                    <w:iCs/>
                    <w:szCs w:val="24"/>
                    <w:lang w:eastAsia="lt-LT"/>
                  </w:rPr>
                  <w:t xml:space="preserve">Lietuvos mokslo tarybos pirmininko 2023 m. balandžio 5 d. įsakymu Nr. V-186 „Dėl </w:t>
                </w:r>
                <w:r>
                  <w:rPr>
                    <w:szCs w:val="24"/>
                    <w:lang w:eastAsia="lt-LT"/>
                  </w:rPr>
                  <w:t xml:space="preserve">Projektų, įgyvendinamų pagal 2022–2030 metų </w:t>
                </w:r>
                <w:r>
                  <w:rPr>
                    <w:szCs w:val="24"/>
                    <w:lang w:eastAsia="lt-LT"/>
                  </w:rPr>
                  <w:t>plėtros programos valdytojos Lietuvos Respublikos švietimo, mokslo ir sporto ministerijos mokslo plėtros programos bei švietimo plėtros programos pažangos priemones, partnerių atrankos taisyklių patvirtinimo“</w:t>
                </w:r>
                <w:r>
                  <w:rPr>
                    <w:iCs/>
                    <w:szCs w:val="24"/>
                    <w:lang w:eastAsia="lt-LT"/>
                  </w:rPr>
                  <w:t xml:space="preserve"> </w:t>
                </w:r>
                <w:r>
                  <w:rPr>
                    <w:szCs w:val="24"/>
                    <w:lang w:eastAsia="lt-LT"/>
                  </w:rPr>
                  <w:t>(toliau – Projektų atrankos tvarkos aprašas);</w:t>
                </w:r>
              </w:p>
              <w:p w:rsidR="00F6024A" w:rsidRDefault="00F04FF7">
                <w:pPr>
                  <w:jc w:val="both"/>
                  <w:rPr>
                    <w:szCs w:val="24"/>
                    <w:lang w:eastAsia="lt-LT"/>
                  </w:rPr>
                </w:pPr>
                <w:r>
                  <w:rPr>
                    <w:szCs w:val="24"/>
                    <w:lang w:eastAsia="lt-LT"/>
                  </w:rPr>
                  <w:lastRenderedPageBreak/>
                  <w:t>1.11. Rekomenduojamų mokslinių tyrimų ir eksperimentinės plėtros etapų klasifikacijos aprašas, patvirtintas Lietuvos Respublikos Vyriausybės 2012 m. birželio 6 d. nutarimu Nr. 650 „Dėl Rekomenduojamos mokslinių tyrimų ir eksperimentinės plėtros etapų klasi</w:t>
                </w:r>
                <w:r>
                  <w:rPr>
                    <w:szCs w:val="24"/>
                    <w:lang w:eastAsia="lt-LT"/>
                  </w:rPr>
                  <w:t>fikacijos aprašo patvirtinimo“.</w:t>
                </w:r>
              </w:p>
              <w:p w:rsidR="00F6024A" w:rsidRDefault="00F04FF7">
                <w:pPr>
                  <w:jc w:val="both"/>
                  <w:rPr>
                    <w:szCs w:val="24"/>
                    <w:lang w:eastAsia="lt-LT"/>
                  </w:rPr>
                </w:pPr>
                <w:r>
                  <w:rPr>
                    <w:szCs w:val="24"/>
                    <w:lang w:eastAsia="lt-LT"/>
                  </w:rPr>
                  <w:t>Apraše vartojamos sąvokos:</w:t>
                </w:r>
              </w:p>
              <w:p w:rsidR="00F6024A" w:rsidRDefault="00F04FF7">
                <w:pPr>
                  <w:ind w:firstLine="62"/>
                  <w:jc w:val="both"/>
                  <w:rPr>
                    <w:szCs w:val="24"/>
                    <w:lang w:eastAsia="lt-LT"/>
                  </w:rPr>
                </w:pPr>
                <w:r>
                  <w:rPr>
                    <w:b/>
                    <w:bCs/>
                    <w:szCs w:val="24"/>
                    <w:lang w:eastAsia="lt-LT"/>
                  </w:rPr>
                  <w:t>„</w:t>
                </w:r>
                <w:proofErr w:type="spellStart"/>
                <w:r>
                  <w:rPr>
                    <w:b/>
                    <w:bCs/>
                    <w:szCs w:val="24"/>
                    <w:lang w:eastAsia="lt-LT"/>
                  </w:rPr>
                  <w:t>Eureka</w:t>
                </w:r>
                <w:proofErr w:type="spellEnd"/>
                <w:r>
                  <w:rPr>
                    <w:b/>
                    <w:bCs/>
                    <w:szCs w:val="24"/>
                    <w:lang w:eastAsia="lt-LT"/>
                  </w:rPr>
                  <w:t>“</w:t>
                </w:r>
                <w:r>
                  <w:rPr>
                    <w:szCs w:val="24"/>
                    <w:lang w:eastAsia="lt-LT"/>
                  </w:rPr>
                  <w:t xml:space="preserve"> </w:t>
                </w:r>
                <w:r>
                  <w:rPr>
                    <w:b/>
                    <w:bCs/>
                    <w:szCs w:val="24"/>
                    <w:lang w:eastAsia="lt-LT"/>
                  </w:rPr>
                  <w:t xml:space="preserve">bendradarbiavimo projektas </w:t>
                </w:r>
                <w:r>
                  <w:rPr>
                    <w:szCs w:val="24"/>
                    <w:lang w:eastAsia="lt-LT"/>
                  </w:rPr>
                  <w:t>– tai projektas, įgyvendinamas pagal Europos mokslinių tyrimų, eksperimentinės plėtros ir bendradarbiavimo programos „</w:t>
                </w:r>
                <w:proofErr w:type="spellStart"/>
                <w:r>
                  <w:rPr>
                    <w:szCs w:val="24"/>
                    <w:lang w:eastAsia="lt-LT"/>
                  </w:rPr>
                  <w:t>Eureka</w:t>
                </w:r>
                <w:proofErr w:type="spellEnd"/>
                <w:r>
                  <w:rPr>
                    <w:szCs w:val="24"/>
                    <w:lang w:eastAsia="lt-LT"/>
                  </w:rPr>
                  <w:t>“ (toliau – „</w:t>
                </w:r>
                <w:proofErr w:type="spellStart"/>
                <w:r>
                  <w:rPr>
                    <w:szCs w:val="24"/>
                    <w:lang w:eastAsia="lt-LT"/>
                  </w:rPr>
                  <w:t>Eureka</w:t>
                </w:r>
                <w:proofErr w:type="spellEnd"/>
                <w:r>
                  <w:rPr>
                    <w:szCs w:val="24"/>
                    <w:lang w:eastAsia="lt-LT"/>
                  </w:rPr>
                  <w:t xml:space="preserve">“ programa, </w:t>
                </w:r>
                <w:r>
                  <w:rPr>
                    <w:szCs w:val="24"/>
                    <w:lang w:eastAsia="lt-LT"/>
                  </w:rPr>
                  <w:t>„</w:t>
                </w:r>
                <w:proofErr w:type="spellStart"/>
                <w:r>
                  <w:rPr>
                    <w:szCs w:val="24"/>
                    <w:lang w:eastAsia="lt-LT"/>
                  </w:rPr>
                  <w:t>Eureka</w:t>
                </w:r>
                <w:proofErr w:type="spellEnd"/>
                <w:r>
                  <w:rPr>
                    <w:szCs w:val="24"/>
                    <w:lang w:eastAsia="lt-LT"/>
                  </w:rPr>
                  <w:t>“) bendradarbiavimo priemonę, kuri yra tarpvalstybinė, į rinką orientuota priemonė mokslinių tyrimų ir eksperimentinės plėtros (toliau – MTEP) projektams įgyvendinti.</w:t>
                </w:r>
              </w:p>
              <w:p w:rsidR="00F6024A" w:rsidRDefault="00F04FF7">
                <w:pPr>
                  <w:ind w:firstLine="62"/>
                  <w:jc w:val="both"/>
                  <w:rPr>
                    <w:szCs w:val="24"/>
                    <w:lang w:eastAsia="lt-LT"/>
                  </w:rPr>
                </w:pPr>
                <w:r>
                  <w:rPr>
                    <w:b/>
                    <w:bCs/>
                    <w:szCs w:val="24"/>
                    <w:lang w:eastAsia="lt-LT"/>
                  </w:rPr>
                  <w:t>„</w:t>
                </w:r>
                <w:proofErr w:type="spellStart"/>
                <w:r>
                  <w:rPr>
                    <w:b/>
                    <w:bCs/>
                    <w:szCs w:val="24"/>
                    <w:lang w:eastAsia="lt-LT"/>
                  </w:rPr>
                  <w:t>Eureka</w:t>
                </w:r>
                <w:proofErr w:type="spellEnd"/>
                <w:r>
                  <w:rPr>
                    <w:b/>
                    <w:bCs/>
                    <w:szCs w:val="24"/>
                    <w:lang w:eastAsia="lt-LT"/>
                  </w:rPr>
                  <w:t>“ klasterių projektas</w:t>
                </w:r>
                <w:r>
                  <w:rPr>
                    <w:szCs w:val="24"/>
                    <w:lang w:eastAsia="lt-LT"/>
                  </w:rPr>
                  <w:t xml:space="preserve"> – tai projektas, įgyvendinamas pagal programos „</w:t>
                </w:r>
                <w:proofErr w:type="spellStart"/>
                <w:r>
                  <w:rPr>
                    <w:szCs w:val="24"/>
                    <w:lang w:eastAsia="lt-LT"/>
                  </w:rPr>
                  <w:t>Eurek</w:t>
                </w:r>
                <w:r>
                  <w:rPr>
                    <w:szCs w:val="24"/>
                    <w:lang w:eastAsia="lt-LT"/>
                  </w:rPr>
                  <w:t>a</w:t>
                </w:r>
                <w:proofErr w:type="spellEnd"/>
                <w:r>
                  <w:rPr>
                    <w:szCs w:val="24"/>
                    <w:lang w:eastAsia="lt-LT"/>
                  </w:rPr>
                  <w:t>“ klasterių priemonę, kuri yra ilgalaikė strateginės reikšmės iniciatyva ir kurios tikslas – sukurti pažangias technologijas Europos konkurencingumui didinti.</w:t>
                </w:r>
              </w:p>
              <w:p w:rsidR="00F6024A" w:rsidRDefault="00F04FF7">
                <w:pPr>
                  <w:ind w:firstLine="62"/>
                  <w:jc w:val="both"/>
                  <w:rPr>
                    <w:szCs w:val="24"/>
                    <w:lang w:eastAsia="lt-LT"/>
                  </w:rPr>
                </w:pPr>
                <w:r>
                  <w:rPr>
                    <w:b/>
                    <w:bCs/>
                    <w:szCs w:val="24"/>
                    <w:lang w:eastAsia="lt-LT"/>
                  </w:rPr>
                  <w:t>„</w:t>
                </w:r>
                <w:proofErr w:type="spellStart"/>
                <w:r>
                  <w:rPr>
                    <w:b/>
                    <w:bCs/>
                    <w:szCs w:val="24"/>
                    <w:lang w:eastAsia="lt-LT"/>
                  </w:rPr>
                  <w:t>Eureka</w:t>
                </w:r>
                <w:proofErr w:type="spellEnd"/>
                <w:r>
                  <w:rPr>
                    <w:b/>
                    <w:bCs/>
                    <w:szCs w:val="24"/>
                    <w:lang w:eastAsia="lt-LT"/>
                  </w:rPr>
                  <w:t>“ projekto statusas</w:t>
                </w:r>
                <w:r>
                  <w:rPr>
                    <w:szCs w:val="24"/>
                    <w:lang w:eastAsia="lt-LT"/>
                  </w:rPr>
                  <w:t xml:space="preserve"> – programos „</w:t>
                </w:r>
                <w:proofErr w:type="spellStart"/>
                <w:r>
                  <w:rPr>
                    <w:szCs w:val="24"/>
                    <w:lang w:eastAsia="lt-LT"/>
                  </w:rPr>
                  <w:t>Eureka</w:t>
                </w:r>
                <w:proofErr w:type="spellEnd"/>
                <w:r>
                  <w:rPr>
                    <w:szCs w:val="24"/>
                    <w:lang w:eastAsia="lt-LT"/>
                  </w:rPr>
                  <w:t>“ valstybių narių valstybių institucijų atstovų po</w:t>
                </w:r>
                <w:r>
                  <w:rPr>
                    <w:szCs w:val="24"/>
                    <w:lang w:eastAsia="lt-LT"/>
                  </w:rPr>
                  <w:t>sėdyje arba „</w:t>
                </w:r>
                <w:proofErr w:type="spellStart"/>
                <w:r>
                  <w:rPr>
                    <w:szCs w:val="24"/>
                    <w:lang w:eastAsia="lt-LT"/>
                  </w:rPr>
                  <w:t>Eureka</w:t>
                </w:r>
                <w:proofErr w:type="spellEnd"/>
                <w:r>
                  <w:rPr>
                    <w:szCs w:val="24"/>
                    <w:lang w:eastAsia="lt-LT"/>
                  </w:rPr>
                  <w:t>“ klasterio valdymo organo projektui suteiktas statusas. „</w:t>
                </w:r>
                <w:proofErr w:type="spellStart"/>
                <w:r>
                  <w:rPr>
                    <w:szCs w:val="24"/>
                    <w:lang w:eastAsia="lt-LT"/>
                  </w:rPr>
                  <w:t>Eureka</w:t>
                </w:r>
                <w:proofErr w:type="spellEnd"/>
                <w:r>
                  <w:rPr>
                    <w:szCs w:val="24"/>
                    <w:lang w:eastAsia="lt-LT"/>
                  </w:rPr>
                  <w:t>“ projekto statuso suteikimo data laikoma valstybių institucijų atstovų posėdžio arba klasterio ženklo suteikimo data.</w:t>
                </w:r>
              </w:p>
              <w:p w:rsidR="00F6024A" w:rsidRDefault="00F04FF7">
                <w:pPr>
                  <w:ind w:firstLine="62"/>
                  <w:jc w:val="both"/>
                  <w:rPr>
                    <w:szCs w:val="24"/>
                    <w:lang w:eastAsia="lt-LT"/>
                  </w:rPr>
                </w:pPr>
                <w:r>
                  <w:rPr>
                    <w:b/>
                    <w:bCs/>
                    <w:szCs w:val="24"/>
                    <w:lang w:eastAsia="lt-LT"/>
                  </w:rPr>
                  <w:t>Tarptautinis partneris</w:t>
                </w:r>
                <w:r>
                  <w:rPr>
                    <w:szCs w:val="24"/>
                    <w:lang w:eastAsia="lt-LT"/>
                  </w:rPr>
                  <w:t xml:space="preserve"> – Apraše suprantamas kaip partn</w:t>
                </w:r>
                <w:r>
                  <w:rPr>
                    <w:szCs w:val="24"/>
                    <w:lang w:eastAsia="lt-LT"/>
                  </w:rPr>
                  <w:t>eris, priklausantis tarpvalstybiniam tinklui ir atitinkantis „</w:t>
                </w:r>
                <w:proofErr w:type="spellStart"/>
                <w:r>
                  <w:rPr>
                    <w:szCs w:val="24"/>
                    <w:lang w:eastAsia="lt-LT"/>
                  </w:rPr>
                  <w:t>Eureka</w:t>
                </w:r>
                <w:proofErr w:type="spellEnd"/>
                <w:r>
                  <w:rPr>
                    <w:szCs w:val="24"/>
                    <w:lang w:eastAsia="lt-LT"/>
                  </w:rPr>
                  <w:t>“ programos reikalavimus, skelbiamus „</w:t>
                </w:r>
                <w:proofErr w:type="spellStart"/>
                <w:r>
                  <w:rPr>
                    <w:szCs w:val="24"/>
                    <w:lang w:eastAsia="lt-LT"/>
                  </w:rPr>
                  <w:t>Eureka</w:t>
                </w:r>
                <w:proofErr w:type="spellEnd"/>
                <w:r>
                  <w:rPr>
                    <w:szCs w:val="24"/>
                    <w:lang w:eastAsia="lt-LT"/>
                  </w:rPr>
                  <w:t>“ programos svetainėje http://www.eurekanetwork.org.</w:t>
                </w:r>
              </w:p>
              <w:p w:rsidR="00F6024A" w:rsidRDefault="00F04FF7">
                <w:pPr>
                  <w:jc w:val="both"/>
                  <w:rPr>
                    <w:szCs w:val="24"/>
                  </w:rPr>
                </w:pPr>
                <w:r>
                  <w:rPr>
                    <w:iCs/>
                    <w:szCs w:val="24"/>
                  </w:rPr>
                  <w:t xml:space="preserve">Kitos Apraše vartojamos sąvokos suprantamos taip, kaip jos apibrėžtos </w:t>
                </w:r>
                <w:r>
                  <w:rPr>
                    <w:szCs w:val="24"/>
                  </w:rPr>
                  <w:t xml:space="preserve">PAFT, </w:t>
                </w:r>
                <w:r>
                  <w:rPr>
                    <w:iCs/>
                    <w:szCs w:val="24"/>
                  </w:rPr>
                  <w:t>Lietuvos Respub</w:t>
                </w:r>
                <w:r>
                  <w:rPr>
                    <w:iCs/>
                    <w:szCs w:val="24"/>
                  </w:rPr>
                  <w:t>likos mokslo ir studijų įstatyme ir anksčiau paminėtuose teisės aktuose.</w:t>
                </w:r>
                <w:r>
                  <w:rPr>
                    <w:szCs w:val="24"/>
                    <w:lang w:eastAsia="lt-LT"/>
                  </w:rPr>
                  <w:t xml:space="preserve"> </w:t>
                </w:r>
              </w:p>
            </w:tc>
          </w:tr>
          <w:tr w:rsidR="00F6024A">
            <w:tc>
              <w:tcPr>
                <w:tcW w:w="14709" w:type="dxa"/>
              </w:tcPr>
              <w:p w:rsidR="00F6024A" w:rsidRDefault="00F04FF7">
                <w:pPr>
                  <w:rPr>
                    <w:b/>
                    <w:bCs/>
                    <w:szCs w:val="24"/>
                  </w:rPr>
                </w:pPr>
                <w:r>
                  <w:rPr>
                    <w:b/>
                    <w:bCs/>
                    <w:szCs w:val="24"/>
                  </w:rPr>
                  <w:lastRenderedPageBreak/>
                  <w:t>2. Reikalavimai projektams</w:t>
                </w:r>
              </w:p>
            </w:tc>
          </w:tr>
          <w:tr w:rsidR="00F6024A">
            <w:tc>
              <w:tcPr>
                <w:tcW w:w="14709" w:type="dxa"/>
              </w:tcPr>
              <w:p w:rsidR="00F6024A" w:rsidRDefault="00F04FF7">
                <w:pPr>
                  <w:tabs>
                    <w:tab w:val="left" w:pos="495"/>
                  </w:tabs>
                  <w:jc w:val="both"/>
                  <w:rPr>
                    <w:szCs w:val="24"/>
                  </w:rPr>
                </w:pPr>
                <w:r>
                  <w:rPr>
                    <w:szCs w:val="24"/>
                  </w:rPr>
                  <w:t>2.1. Galimas pareiškėjas – Lietuvos mokslo taryba (toliau – Pareiškėjas, Projekto vykdytojas).</w:t>
                </w:r>
              </w:p>
              <w:p w:rsidR="00F6024A" w:rsidRDefault="00F04FF7">
                <w:pPr>
                  <w:jc w:val="both"/>
                  <w:rPr>
                    <w:szCs w:val="24"/>
                    <w:lang w:eastAsia="lt-LT"/>
                  </w:rPr>
                </w:pPr>
                <w:r>
                  <w:rPr>
                    <w:szCs w:val="24"/>
                    <w:lang w:eastAsia="lt-LT"/>
                  </w:rPr>
                  <w:t xml:space="preserve">2.2. Galimi projekto partneriai – mokslo ir studijų </w:t>
                </w:r>
                <w:r>
                  <w:rPr>
                    <w:szCs w:val="24"/>
                    <w:lang w:eastAsia="lt-LT"/>
                  </w:rPr>
                  <w:t>institucijos (toliau – MSI), įtrauktos į Atvirtos informavimo, konsultavimo ir orientavimo sistemos registrą (toliau – Partneriai).</w:t>
                </w:r>
              </w:p>
              <w:p w:rsidR="00F6024A" w:rsidRDefault="00F04FF7">
                <w:pPr>
                  <w:jc w:val="both"/>
                  <w:rPr>
                    <w:szCs w:val="24"/>
                    <w:lang w:eastAsia="lt-LT"/>
                  </w:rPr>
                </w:pPr>
                <w:r>
                  <w:rPr>
                    <w:szCs w:val="24"/>
                    <w:lang w:eastAsia="lt-LT"/>
                  </w:rPr>
                  <w:t>2.3. Galimi Partnerio partneriai – mažos ir vidutinės įmonės (privaloma), MSI (toliau – Partnerio partneris).</w:t>
                </w:r>
              </w:p>
              <w:p w:rsidR="00F6024A" w:rsidRDefault="00F04FF7">
                <w:pPr>
                  <w:jc w:val="both"/>
                  <w:rPr>
                    <w:szCs w:val="24"/>
                    <w:lang w:eastAsia="lt-LT"/>
                  </w:rPr>
                </w:pPr>
                <w:r>
                  <w:rPr>
                    <w:szCs w:val="24"/>
                    <w:lang w:eastAsia="lt-LT"/>
                  </w:rPr>
                  <w:t xml:space="preserve">2.4. Tikslinė </w:t>
                </w:r>
                <w:r>
                  <w:rPr>
                    <w:szCs w:val="24"/>
                    <w:lang w:eastAsia="lt-LT"/>
                  </w:rPr>
                  <w:t>grupė – MSI, mažos ir vidutinės įmonės.</w:t>
                </w:r>
              </w:p>
              <w:p w:rsidR="00F6024A" w:rsidRDefault="00F04FF7">
                <w:pPr>
                  <w:jc w:val="both"/>
                  <w:rPr>
                    <w:szCs w:val="24"/>
                    <w:lang w:eastAsia="lt-LT"/>
                  </w:rPr>
                </w:pPr>
                <w:r>
                  <w:rPr>
                    <w:iCs/>
                    <w:szCs w:val="24"/>
                    <w:lang w:eastAsia="lt-LT"/>
                  </w:rPr>
                  <w:t>2.5. Pagal Aprašą teikiamo finansavimo forma – dotacija, p</w:t>
                </w:r>
                <w:r>
                  <w:rPr>
                    <w:szCs w:val="24"/>
                    <w:lang w:eastAsia="lt-LT"/>
                  </w:rPr>
                  <w:t>rojekto atrankos būdas – planavimas.</w:t>
                </w:r>
              </w:p>
              <w:p w:rsidR="00F6024A" w:rsidRDefault="00F04FF7">
                <w:pPr>
                  <w:jc w:val="both"/>
                  <w:rPr>
                    <w:iCs/>
                    <w:szCs w:val="24"/>
                  </w:rPr>
                </w:pPr>
                <w:r>
                  <w:rPr>
                    <w:iCs/>
                    <w:szCs w:val="24"/>
                  </w:rPr>
                  <w:t xml:space="preserve">2.6. Pagal Aprašą remiamos veiklos: </w:t>
                </w:r>
              </w:p>
              <w:p w:rsidR="00F6024A" w:rsidRDefault="00F04FF7">
                <w:pPr>
                  <w:jc w:val="both"/>
                  <w:rPr>
                    <w:iCs/>
                    <w:szCs w:val="24"/>
                  </w:rPr>
                </w:pPr>
                <w:r>
                  <w:rPr>
                    <w:iCs/>
                    <w:szCs w:val="24"/>
                  </w:rPr>
                  <w:t xml:space="preserve">2.6.1. </w:t>
                </w:r>
                <w:r>
                  <w:t>Partnerių kartu su Partnerio partneriais ir tarptautiniais partneriais vykdom</w:t>
                </w:r>
                <w:r>
                  <w:t>i „</w:t>
                </w:r>
                <w:proofErr w:type="spellStart"/>
                <w:r>
                  <w:t>Eureka</w:t>
                </w:r>
                <w:proofErr w:type="spellEnd"/>
                <w:r>
                  <w:t>“ bendradarbiavimo projektai ir „</w:t>
                </w:r>
                <w:proofErr w:type="spellStart"/>
                <w:r>
                  <w:t>Eureka</w:t>
                </w:r>
                <w:proofErr w:type="spellEnd"/>
                <w:r>
                  <w:t>“ klasterių projektai (toliau – „</w:t>
                </w:r>
                <w:proofErr w:type="spellStart"/>
                <w:r>
                  <w:t>Eureka</w:t>
                </w:r>
                <w:proofErr w:type="spellEnd"/>
                <w:r>
                  <w:t>“ projektai), turintys „</w:t>
                </w:r>
                <w:proofErr w:type="spellStart"/>
                <w:r>
                  <w:t>Eureka</w:t>
                </w:r>
                <w:proofErr w:type="spellEnd"/>
                <w:r>
                  <w:t xml:space="preserve">“ projekto statusą, kuriais siekiama MSI skatinti MTEP rezultatų pagrindu kuriamų </w:t>
                </w:r>
                <w:proofErr w:type="spellStart"/>
                <w:r>
                  <w:t>inovatyvių</w:t>
                </w:r>
                <w:proofErr w:type="spellEnd"/>
                <w:r>
                  <w:t xml:space="preserve"> produktų plėtojimą versle nuo maketo (modelio)</w:t>
                </w:r>
                <w:r>
                  <w:t xml:space="preserve"> patikrinimo (5-asis MTEP etapas) iki sukurto naujo produkto įvertinimo (9-asis MTEP etapas) </w:t>
                </w:r>
                <w:r>
                  <w:rPr>
                    <w:color w:val="000000"/>
                  </w:rPr>
                  <w:t>, motyvuojant mokslo ir verslo tarptautinį bendradarbiavimą bei įsijungimą į programos „</w:t>
                </w:r>
                <w:proofErr w:type="spellStart"/>
                <w:r>
                  <w:rPr>
                    <w:color w:val="000000"/>
                  </w:rPr>
                  <w:t>Eureka</w:t>
                </w:r>
                <w:proofErr w:type="spellEnd"/>
                <w:r>
                  <w:rPr>
                    <w:color w:val="000000"/>
                  </w:rPr>
                  <w:t>“ iniciatyvas;</w:t>
                </w:r>
              </w:p>
              <w:p w:rsidR="00F6024A" w:rsidRDefault="00F04FF7">
                <w:pPr>
                  <w:jc w:val="both"/>
                </w:pPr>
                <w:r>
                  <w:rPr>
                    <w:iCs/>
                    <w:szCs w:val="24"/>
                  </w:rPr>
                  <w:t xml:space="preserve">2.6.2. </w:t>
                </w:r>
                <w:r>
                  <w:t>Pareiškėjo, Projekto vykdytojo „</w:t>
                </w:r>
                <w:proofErr w:type="spellStart"/>
                <w:r>
                  <w:t>Eureka</w:t>
                </w:r>
                <w:proofErr w:type="spellEnd"/>
                <w:r>
                  <w:t xml:space="preserve">“ </w:t>
                </w:r>
                <w:proofErr w:type="spellStart"/>
                <w:r>
                  <w:t>tinklav</w:t>
                </w:r>
                <w:r>
                  <w:t>eikai</w:t>
                </w:r>
                <w:proofErr w:type="spellEnd"/>
                <w:r>
                  <w:t xml:space="preserve"> skatinti skirtos veiklos (Partnerių pritraukimo ir paieškos veiklos); </w:t>
                </w:r>
                <w:r>
                  <w:rPr>
                    <w:color w:val="000000"/>
                  </w:rPr>
                  <w:t xml:space="preserve">žinių perdavimo </w:t>
                </w:r>
                <w:proofErr w:type="spellStart"/>
                <w:r>
                  <w:rPr>
                    <w:color w:val="000000"/>
                  </w:rPr>
                  <w:t>pajėgumų</w:t>
                </w:r>
                <w:proofErr w:type="spellEnd"/>
                <w:r>
                  <w:rPr>
                    <w:color w:val="000000"/>
                  </w:rPr>
                  <w:t xml:space="preserve"> stiprinimas (ekspertinės sesijos, grupiniai seminarai intelektinės nuosavybės, sertifikavimo ir kitomis aktualiomis temomis, MTEP produkto komercinio poten</w:t>
                </w:r>
                <w:r>
                  <w:rPr>
                    <w:color w:val="000000"/>
                  </w:rPr>
                  <w:t xml:space="preserve">cialo vertinimo veiklos); žinių </w:t>
                </w:r>
                <w:proofErr w:type="spellStart"/>
                <w:r>
                  <w:rPr>
                    <w:color w:val="000000"/>
                  </w:rPr>
                  <w:t>komercinimo</w:t>
                </w:r>
                <w:proofErr w:type="spellEnd"/>
                <w:r>
                  <w:rPr>
                    <w:color w:val="000000"/>
                  </w:rPr>
                  <w:t xml:space="preserve"> populiarinimo renginiai (</w:t>
                </w:r>
                <w:r>
                  <w:t>komunikacinės veiklos MSI sukurtiems MTEP produktams pristatyti, gerosios patirties dalinimasis ir kiti komunikacijos veiksmai).</w:t>
                </w:r>
              </w:p>
              <w:p w:rsidR="00F6024A" w:rsidRDefault="00F04FF7">
                <w:pPr>
                  <w:jc w:val="both"/>
                  <w:rPr>
                    <w:color w:val="000000"/>
                  </w:rPr>
                </w:pPr>
                <w:r>
                  <w:rPr>
                    <w:color w:val="000000"/>
                  </w:rPr>
                  <w:t>2.7. Remiami taikomieji MTEP nuo 5-ojo MTEP etapo iki 9 MT</w:t>
                </w:r>
                <w:r>
                  <w:rPr>
                    <w:color w:val="000000"/>
                  </w:rPr>
                  <w:t xml:space="preserve">EP etapo. </w:t>
                </w:r>
              </w:p>
              <w:p w:rsidR="00F6024A" w:rsidRDefault="00F04FF7">
                <w:pPr>
                  <w:jc w:val="both"/>
                  <w:rPr>
                    <w:szCs w:val="24"/>
                    <w:lang w:eastAsia="lt-LT"/>
                  </w:rPr>
                </w:pPr>
                <w:r>
                  <w:rPr>
                    <w:szCs w:val="24"/>
                    <w:lang w:eastAsia="lt-LT"/>
                  </w:rPr>
                  <w:t xml:space="preserve">2.8. Partnerių projektų </w:t>
                </w:r>
                <w:proofErr w:type="spellStart"/>
                <w:r>
                  <w:rPr>
                    <w:szCs w:val="24"/>
                    <w:lang w:eastAsia="lt-LT"/>
                  </w:rPr>
                  <w:t>parengtumo</w:t>
                </w:r>
                <w:proofErr w:type="spellEnd"/>
                <w:r>
                  <w:rPr>
                    <w:szCs w:val="24"/>
                    <w:lang w:eastAsia="lt-LT"/>
                  </w:rPr>
                  <w:t xml:space="preserve"> reikalavimai:</w:t>
                </w:r>
              </w:p>
              <w:p w:rsidR="00F6024A" w:rsidRDefault="00F04FF7">
                <w:pPr>
                  <w:jc w:val="both"/>
                  <w:rPr>
                    <w:color w:val="000000"/>
                  </w:rPr>
                </w:pPr>
                <w:r>
                  <w:rPr>
                    <w:szCs w:val="24"/>
                    <w:lang w:eastAsia="lt-LT"/>
                  </w:rPr>
                  <w:t xml:space="preserve">2.8.1. Partneris turi turėti </w:t>
                </w:r>
                <w:r>
                  <w:rPr>
                    <w:color w:val="000000"/>
                  </w:rPr>
                  <w:t>bent vieną tarptautinį partnerį, kuris turi savo valstybės pritarimą „</w:t>
                </w:r>
                <w:proofErr w:type="spellStart"/>
                <w:r>
                  <w:rPr>
                    <w:color w:val="000000"/>
                  </w:rPr>
                  <w:t>Eureka</w:t>
                </w:r>
                <w:proofErr w:type="spellEnd"/>
                <w:r>
                  <w:rPr>
                    <w:color w:val="000000"/>
                  </w:rPr>
                  <w:t>“ projektiniam pasiūlymui;</w:t>
                </w:r>
              </w:p>
              <w:p w:rsidR="00F6024A" w:rsidRDefault="00F04FF7">
                <w:pPr>
                  <w:jc w:val="both"/>
                  <w:rPr>
                    <w:szCs w:val="24"/>
                    <w:lang w:eastAsia="lt-LT"/>
                  </w:rPr>
                </w:pPr>
                <w:r>
                  <w:rPr>
                    <w:szCs w:val="24"/>
                    <w:lang w:eastAsia="lt-LT"/>
                  </w:rPr>
                  <w:t>2.8.2. Partneris turi turėti bent vieną Partnerio partnerį – maž</w:t>
                </w:r>
                <w:r>
                  <w:rPr>
                    <w:szCs w:val="24"/>
                    <w:lang w:eastAsia="lt-LT"/>
                  </w:rPr>
                  <w:t>ą arba vidutinę įmonę;</w:t>
                </w:r>
              </w:p>
              <w:p w:rsidR="00F6024A" w:rsidRDefault="00F04FF7">
                <w:pPr>
                  <w:jc w:val="both"/>
                  <w:rPr>
                    <w:szCs w:val="24"/>
                    <w:lang w:eastAsia="lt-LT"/>
                  </w:rPr>
                </w:pPr>
                <w:r>
                  <w:rPr>
                    <w:color w:val="000000"/>
                  </w:rPr>
                  <w:lastRenderedPageBreak/>
                  <w:t>2.8.3. Partnerių vykdomas „</w:t>
                </w:r>
                <w:proofErr w:type="spellStart"/>
                <w:r>
                  <w:rPr>
                    <w:color w:val="000000"/>
                  </w:rPr>
                  <w:t>Eureka</w:t>
                </w:r>
                <w:proofErr w:type="spellEnd"/>
                <w:r>
                  <w:rPr>
                    <w:color w:val="000000"/>
                  </w:rPr>
                  <w:t>“ projektas turi turėti „</w:t>
                </w:r>
                <w:proofErr w:type="spellStart"/>
                <w:r>
                  <w:rPr>
                    <w:color w:val="000000"/>
                  </w:rPr>
                  <w:t>Eureka</w:t>
                </w:r>
                <w:proofErr w:type="spellEnd"/>
                <w:r>
                  <w:rPr>
                    <w:color w:val="000000"/>
                  </w:rPr>
                  <w:t xml:space="preserve">“ projekto statusą. </w:t>
                </w:r>
              </w:p>
              <w:p w:rsidR="00F6024A" w:rsidRDefault="00F04FF7">
                <w:pPr>
                  <w:jc w:val="both"/>
                  <w:rPr>
                    <w:iCs/>
                    <w:szCs w:val="24"/>
                  </w:rPr>
                </w:pPr>
                <w:r>
                  <w:rPr>
                    <w:iCs/>
                    <w:szCs w:val="24"/>
                  </w:rPr>
                  <w:t xml:space="preserve">2.9. Pagal Aprašą projektams įgyvendinti skiriama iki 16 200 000 </w:t>
                </w:r>
                <w:proofErr w:type="spellStart"/>
                <w:r>
                  <w:rPr>
                    <w:iCs/>
                    <w:szCs w:val="24"/>
                  </w:rPr>
                  <w:t>Eur</w:t>
                </w:r>
                <w:proofErr w:type="spellEnd"/>
                <w:r>
                  <w:rPr>
                    <w:iCs/>
                    <w:szCs w:val="24"/>
                  </w:rPr>
                  <w:t xml:space="preserve"> (šešiolikos milijonų dviejų šimtų tūkstančių eurų). Iš kurių:</w:t>
                </w:r>
              </w:p>
              <w:p w:rsidR="00F6024A" w:rsidRDefault="00F04FF7">
                <w:pPr>
                  <w:jc w:val="both"/>
                  <w:rPr>
                    <w:iCs/>
                    <w:szCs w:val="24"/>
                  </w:rPr>
                </w:pPr>
                <w:r>
                  <w:rPr>
                    <w:iCs/>
                    <w:szCs w:val="24"/>
                  </w:rPr>
                  <w:t>2.9.1. investicij</w:t>
                </w:r>
                <w:r>
                  <w:rPr>
                    <w:iCs/>
                    <w:szCs w:val="24"/>
                  </w:rPr>
                  <w:t xml:space="preserve">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 sudaro iki 13 499 410 </w:t>
                </w:r>
                <w:proofErr w:type="spellStart"/>
                <w:r>
                  <w:rPr>
                    <w:iCs/>
                    <w:szCs w:val="24"/>
                  </w:rPr>
                  <w:t>Eur</w:t>
                </w:r>
                <w:proofErr w:type="spellEnd"/>
                <w:r>
                  <w:rPr>
                    <w:iCs/>
                    <w:szCs w:val="24"/>
                  </w:rPr>
                  <w:t xml:space="preserve"> (trylikos milijonų</w:t>
                </w:r>
                <w:r>
                  <w:rPr>
                    <w:iCs/>
                    <w:szCs w:val="24"/>
                  </w:rPr>
                  <w:t xml:space="preserve"> keturių šimtų devyniasdešimt devynių tūkstančių keturių šimtų dešimt eurų), iš kurių:</w:t>
                </w:r>
              </w:p>
              <w:p w:rsidR="00F6024A" w:rsidRDefault="00F04FF7">
                <w:pPr>
                  <w:jc w:val="both"/>
                  <w:rPr>
                    <w:iCs/>
                    <w:szCs w:val="24"/>
                  </w:rPr>
                </w:pPr>
                <w:r>
                  <w:rPr>
                    <w:iCs/>
                    <w:szCs w:val="24"/>
                  </w:rPr>
                  <w:t xml:space="preserve">- iki 7 459 182 </w:t>
                </w:r>
                <w:proofErr w:type="spellStart"/>
                <w:r>
                  <w:rPr>
                    <w:iCs/>
                    <w:szCs w:val="24"/>
                  </w:rPr>
                  <w:t>Eur</w:t>
                </w:r>
                <w:proofErr w:type="spellEnd"/>
                <w:r>
                  <w:rPr>
                    <w:iCs/>
                    <w:szCs w:val="24"/>
                  </w:rPr>
                  <w:t xml:space="preserve"> (septynių milijonų keturių šimtų penkiasdešimt devynių tūkstančių šimto aštuoniasdešimt dviejų eurų) </w:t>
                </w:r>
                <w:r>
                  <w:rPr>
                    <w:szCs w:val="24"/>
                  </w:rPr>
                  <w:t xml:space="preserve">Europos Sąjungos fondų </w:t>
                </w:r>
                <w:r>
                  <w:rPr>
                    <w:iCs/>
                    <w:szCs w:val="24"/>
                  </w:rPr>
                  <w:t xml:space="preserve">lėšų, iš kurių iki </w:t>
                </w:r>
                <w:r>
                  <w:rPr>
                    <w:color w:val="000000"/>
                    <w:szCs w:val="24"/>
                  </w:rPr>
                  <w:t xml:space="preserve">2 549 </w:t>
                </w:r>
                <w:r>
                  <w:rPr>
                    <w:color w:val="000000"/>
                    <w:szCs w:val="24"/>
                  </w:rPr>
                  <w:t>140</w:t>
                </w:r>
                <w:r>
                  <w:rPr>
                    <w:szCs w:val="24"/>
                  </w:rPr>
                  <w:t xml:space="preserve"> </w:t>
                </w:r>
                <w:proofErr w:type="spellStart"/>
                <w:r>
                  <w:rPr>
                    <w:iCs/>
                    <w:szCs w:val="24"/>
                  </w:rPr>
                  <w:t>Eur</w:t>
                </w:r>
                <w:proofErr w:type="spellEnd"/>
                <w:r>
                  <w:rPr>
                    <w:iCs/>
                    <w:szCs w:val="24"/>
                  </w:rPr>
                  <w:t xml:space="preserve"> (dviejų milijonų penkių šimtų keturiasdešimt devynių tūkstančių šimto keturiasdešimt eurų) Sostinės regionui ir iki</w:t>
                </w:r>
                <w:r>
                  <w:rPr>
                    <w:szCs w:val="24"/>
                  </w:rPr>
                  <w:t xml:space="preserve"> </w:t>
                </w:r>
                <w:r>
                  <w:t>4 910 042 </w:t>
                </w:r>
                <w:proofErr w:type="spellStart"/>
                <w:r>
                  <w:rPr>
                    <w:iCs/>
                    <w:szCs w:val="24"/>
                  </w:rPr>
                  <w:t>Eur</w:t>
                </w:r>
                <w:proofErr w:type="spellEnd"/>
                <w:r>
                  <w:rPr>
                    <w:iCs/>
                    <w:szCs w:val="24"/>
                  </w:rPr>
                  <w:t xml:space="preserve"> (keturių milijonų devynių šimtų dešimt tūkstančių keturiasdešimt dviejų eurų) Vidurio ir vakarų Lietuvos regionui;</w:t>
                </w:r>
              </w:p>
              <w:p w:rsidR="00F6024A" w:rsidRDefault="00F04FF7">
                <w:pPr>
                  <w:jc w:val="both"/>
                  <w:rPr>
                    <w:iCs/>
                    <w:szCs w:val="24"/>
                  </w:rPr>
                </w:pPr>
                <w:r>
                  <w:rPr>
                    <w:iCs/>
                    <w:szCs w:val="24"/>
                  </w:rPr>
                  <w:t>- i</w:t>
                </w:r>
                <w:r>
                  <w:rPr>
                    <w:iCs/>
                    <w:szCs w:val="24"/>
                  </w:rPr>
                  <w:t xml:space="preserve">ki </w:t>
                </w:r>
                <w:r>
                  <w:t>6 040 228</w:t>
                </w:r>
                <w:r>
                  <w:rPr>
                    <w:color w:val="000000"/>
                    <w:szCs w:val="24"/>
                  </w:rPr>
                  <w:t xml:space="preserve"> </w:t>
                </w:r>
                <w:proofErr w:type="spellStart"/>
                <w:r>
                  <w:rPr>
                    <w:iCs/>
                    <w:szCs w:val="24"/>
                  </w:rPr>
                  <w:t>Eur</w:t>
                </w:r>
                <w:proofErr w:type="spellEnd"/>
                <w:r>
                  <w:rPr>
                    <w:iCs/>
                    <w:szCs w:val="24"/>
                  </w:rPr>
                  <w:t xml:space="preserve"> (šešių milijonų keturiasdešimt tūkstančių dviejų šimtų dvidešimt aštuonių eurų) Europos Sąjungos bendrojo finansavimo lėšų Sostinės regionui;</w:t>
                </w:r>
              </w:p>
              <w:p w:rsidR="00F6024A" w:rsidRDefault="00F04FF7">
                <w:pPr>
                  <w:jc w:val="both"/>
                  <w:rPr>
                    <w:iCs/>
                    <w:szCs w:val="24"/>
                  </w:rPr>
                </w:pPr>
                <w:r>
                  <w:rPr>
                    <w:iCs/>
                    <w:szCs w:val="24"/>
                  </w:rPr>
                  <w:t xml:space="preserve">2.9.2. investicijos pagal </w:t>
                </w:r>
                <w:r>
                  <w:rPr>
                    <w:color w:val="000000"/>
                    <w:szCs w:val="24"/>
                    <w:bdr w:val="none" w:sz="0" w:space="0" w:color="auto" w:frame="1"/>
                  </w:rPr>
                  <w:t xml:space="preserve">intervencinės priemonės sritį </w:t>
                </w:r>
                <w:r>
                  <w:rPr>
                    <w:iCs/>
                    <w:szCs w:val="24"/>
                  </w:rPr>
                  <w:t>029 „Įmonių, mokslinių tyrimų centrų ir u</w:t>
                </w:r>
                <w:r>
                  <w:rPr>
                    <w:iCs/>
                    <w:szCs w:val="24"/>
                  </w:rPr>
                  <w:t>niversitetų vykdomi mokslinių tyrimų ir inovacijų diegimo procesai, technologijų perdavimas ir bendradarbiavimas, daugiausia dėmesio skiriant mažo anglies dioksido kiekio technologijų ekonomikai ir atsparumui klimato kaitai bei prisitaikymui prie jos“ suda</w:t>
                </w:r>
                <w:r>
                  <w:rPr>
                    <w:iCs/>
                    <w:szCs w:val="24"/>
                  </w:rPr>
                  <w:t xml:space="preserve">ro iki 2 700 590 </w:t>
                </w:r>
                <w:proofErr w:type="spellStart"/>
                <w:r>
                  <w:rPr>
                    <w:iCs/>
                    <w:szCs w:val="24"/>
                  </w:rPr>
                  <w:t>Eur</w:t>
                </w:r>
                <w:proofErr w:type="spellEnd"/>
                <w:r>
                  <w:rPr>
                    <w:iCs/>
                    <w:szCs w:val="24"/>
                  </w:rPr>
                  <w:t xml:space="preserve"> (dviejų milijonų septynių šimtų tūkstančių penkių šimtų devyniasdešimt eurų), iš kurių:</w:t>
                </w:r>
              </w:p>
              <w:p w:rsidR="00F6024A" w:rsidRDefault="00F04FF7">
                <w:pPr>
                  <w:jc w:val="both"/>
                  <w:rPr>
                    <w:iCs/>
                    <w:szCs w:val="24"/>
                  </w:rPr>
                </w:pPr>
                <w:r>
                  <w:rPr>
                    <w:iCs/>
                    <w:szCs w:val="24"/>
                  </w:rPr>
                  <w:t xml:space="preserve">- iki 2 135 274 </w:t>
                </w:r>
                <w:proofErr w:type="spellStart"/>
                <w:r>
                  <w:rPr>
                    <w:iCs/>
                    <w:szCs w:val="24"/>
                  </w:rPr>
                  <w:t>Eur</w:t>
                </w:r>
                <w:proofErr w:type="spellEnd"/>
                <w:r>
                  <w:rPr>
                    <w:iCs/>
                    <w:szCs w:val="24"/>
                  </w:rPr>
                  <w:t xml:space="preserve"> (dviejų milijonų šimto trisdešimt penkių tūkstančių dviejų šimtų septyniasdešimt keturių eurų) </w:t>
                </w:r>
                <w:r>
                  <w:rPr>
                    <w:szCs w:val="24"/>
                  </w:rPr>
                  <w:t xml:space="preserve">Europos Sąjungos fondų </w:t>
                </w:r>
                <w:r>
                  <w:rPr>
                    <w:iCs/>
                    <w:szCs w:val="24"/>
                  </w:rPr>
                  <w:t xml:space="preserve">lėšų, iš </w:t>
                </w:r>
                <w:r>
                  <w:rPr>
                    <w:iCs/>
                    <w:szCs w:val="24"/>
                  </w:rPr>
                  <w:t xml:space="preserve">kurių iki </w:t>
                </w:r>
                <w:r>
                  <w:rPr>
                    <w:szCs w:val="24"/>
                  </w:rPr>
                  <w:t xml:space="preserve">565 316 </w:t>
                </w:r>
                <w:proofErr w:type="spellStart"/>
                <w:r>
                  <w:rPr>
                    <w:iCs/>
                    <w:szCs w:val="24"/>
                  </w:rPr>
                  <w:t>Eur</w:t>
                </w:r>
                <w:proofErr w:type="spellEnd"/>
                <w:r>
                  <w:rPr>
                    <w:iCs/>
                    <w:szCs w:val="24"/>
                  </w:rPr>
                  <w:t xml:space="preserve"> (penkių šimtų šešiasdešimt penkių tūkstančių trijų šimtų šešiolikos eurų) Sostinės regionui ir iki</w:t>
                </w:r>
                <w:r>
                  <w:rPr>
                    <w:szCs w:val="24"/>
                  </w:rPr>
                  <w:t xml:space="preserve"> 1 569 958 </w:t>
                </w:r>
                <w:proofErr w:type="spellStart"/>
                <w:r>
                  <w:rPr>
                    <w:iCs/>
                    <w:szCs w:val="24"/>
                  </w:rPr>
                  <w:t>Eur</w:t>
                </w:r>
                <w:proofErr w:type="spellEnd"/>
                <w:r>
                  <w:rPr>
                    <w:iCs/>
                    <w:szCs w:val="24"/>
                  </w:rPr>
                  <w:t xml:space="preserve"> (vieno milijono penkių šimtų šešiasdešimt devynių tūkstančių devynių šimtų penkiasdešimt aštuonių eurų) Vidurio ir vakarų</w:t>
                </w:r>
                <w:r>
                  <w:rPr>
                    <w:iCs/>
                    <w:szCs w:val="24"/>
                  </w:rPr>
                  <w:t xml:space="preserve"> Lietuvos regionui;</w:t>
                </w:r>
              </w:p>
              <w:p w:rsidR="00F6024A" w:rsidRDefault="00F04FF7">
                <w:pPr>
                  <w:jc w:val="both"/>
                  <w:rPr>
                    <w:iCs/>
                    <w:szCs w:val="24"/>
                  </w:rPr>
                </w:pPr>
                <w:r>
                  <w:rPr>
                    <w:iCs/>
                    <w:szCs w:val="24"/>
                  </w:rPr>
                  <w:t xml:space="preserve">- iki </w:t>
                </w:r>
                <w:r>
                  <w:rPr>
                    <w:szCs w:val="24"/>
                  </w:rPr>
                  <w:t>565 316</w:t>
                </w:r>
                <w:r>
                  <w:rPr>
                    <w:color w:val="000000"/>
                    <w:szCs w:val="24"/>
                  </w:rPr>
                  <w:t xml:space="preserve"> </w:t>
                </w:r>
                <w:proofErr w:type="spellStart"/>
                <w:r>
                  <w:rPr>
                    <w:iCs/>
                    <w:szCs w:val="24"/>
                  </w:rPr>
                  <w:t>Eur</w:t>
                </w:r>
                <w:proofErr w:type="spellEnd"/>
                <w:r>
                  <w:rPr>
                    <w:iCs/>
                    <w:szCs w:val="24"/>
                  </w:rPr>
                  <w:t xml:space="preserve"> (penkių šimtų šešiasdešimt penkių tūkstančių trijų šimtų šešiolikos eurų) Europos Sąjungos bendrojo finansavimo lėšų Sostinės regionui.</w:t>
                </w:r>
              </w:p>
              <w:p w:rsidR="00F6024A" w:rsidRDefault="00F04FF7">
                <w:pPr>
                  <w:jc w:val="both"/>
                  <w:rPr>
                    <w:iCs/>
                    <w:szCs w:val="24"/>
                  </w:rPr>
                </w:pPr>
                <w:r>
                  <w:rPr>
                    <w:iCs/>
                    <w:szCs w:val="24"/>
                  </w:rPr>
                  <w:t xml:space="preserve">2.10. Didžiausia pagal Aprašą Pareiškėjo projektui vienam kvietimui skiriama suma </w:t>
                </w:r>
                <w:r>
                  <w:rPr>
                    <w:iCs/>
                    <w:szCs w:val="24"/>
                  </w:rPr>
                  <w:t xml:space="preserve">negali viršyti 4 000 000 </w:t>
                </w:r>
                <w:proofErr w:type="spellStart"/>
                <w:r>
                  <w:rPr>
                    <w:iCs/>
                    <w:szCs w:val="24"/>
                  </w:rPr>
                  <w:t>Eur</w:t>
                </w:r>
                <w:proofErr w:type="spellEnd"/>
                <w:r>
                  <w:rPr>
                    <w:iCs/>
                    <w:szCs w:val="24"/>
                  </w:rPr>
                  <w:t xml:space="preserve"> (keturių milijonų eurų). </w:t>
                </w:r>
              </w:p>
              <w:p w:rsidR="00F6024A" w:rsidRDefault="00F04FF7">
                <w:pPr>
                  <w:jc w:val="both"/>
                  <w:rPr>
                    <w:iCs/>
                    <w:szCs w:val="24"/>
                  </w:rPr>
                </w:pPr>
                <w:r>
                  <w:rPr>
                    <w:iCs/>
                    <w:szCs w:val="24"/>
                  </w:rPr>
                  <w:t>2.11. Didžiausia galima Partnerio su Partnerio partneriu vykdomo „</w:t>
                </w:r>
                <w:proofErr w:type="spellStart"/>
                <w:r>
                  <w:rPr>
                    <w:iCs/>
                    <w:szCs w:val="24"/>
                  </w:rPr>
                  <w:t>Eureka</w:t>
                </w:r>
                <w:proofErr w:type="spellEnd"/>
                <w:r>
                  <w:rPr>
                    <w:iCs/>
                    <w:szCs w:val="24"/>
                  </w:rPr>
                  <w:t>“ bendradarbiavimo vieno projekto arba „</w:t>
                </w:r>
                <w:proofErr w:type="spellStart"/>
                <w:r>
                  <w:rPr>
                    <w:iCs/>
                    <w:szCs w:val="24"/>
                  </w:rPr>
                  <w:t>Eureka</w:t>
                </w:r>
                <w:proofErr w:type="spellEnd"/>
                <w:r>
                  <w:rPr>
                    <w:iCs/>
                    <w:szCs w:val="24"/>
                  </w:rPr>
                  <w:t xml:space="preserve">“ klasterio projekto tinkamų finansuoti išlaidų suma yra 300 000 </w:t>
                </w:r>
                <w:proofErr w:type="spellStart"/>
                <w:r>
                  <w:rPr>
                    <w:iCs/>
                    <w:szCs w:val="24"/>
                  </w:rPr>
                  <w:t>Eur</w:t>
                </w:r>
                <w:proofErr w:type="spellEnd"/>
                <w:r>
                  <w:rPr>
                    <w:iCs/>
                    <w:szCs w:val="24"/>
                  </w:rPr>
                  <w:t xml:space="preserve"> (trys šimtai t</w:t>
                </w:r>
                <w:r>
                  <w:rPr>
                    <w:iCs/>
                    <w:szCs w:val="24"/>
                  </w:rPr>
                  <w:t>ūkstančių eurų).</w:t>
                </w:r>
              </w:p>
              <w:p w:rsidR="00F6024A" w:rsidRDefault="00F04FF7">
                <w:pPr>
                  <w:jc w:val="both"/>
                  <w:rPr>
                    <w:iCs/>
                    <w:szCs w:val="24"/>
                  </w:rPr>
                </w:pPr>
                <w:r>
                  <w:rPr>
                    <w:iCs/>
                    <w:szCs w:val="24"/>
                  </w:rPr>
                  <w:t>2.12. Veiklos pagalbos intensyvumas kiekvienam Partneriui ir Partnerio partneriui nustatomas atskirai, vadovaujantis Aprašo 5 skyriaus nuostatomis.</w:t>
                </w:r>
              </w:p>
              <w:p w:rsidR="00F6024A" w:rsidRDefault="00F04FF7">
                <w:pPr>
                  <w:jc w:val="both"/>
                  <w:rPr>
                    <w:iCs/>
                    <w:szCs w:val="24"/>
                  </w:rPr>
                </w:pPr>
                <w:r>
                  <w:rPr>
                    <w:iCs/>
                    <w:szCs w:val="24"/>
                  </w:rPr>
                  <w:t xml:space="preserve">2.13. </w:t>
                </w:r>
                <w:r>
                  <w:rPr>
                    <w:szCs w:val="24"/>
                  </w:rPr>
                  <w:t>Teikiamų paraiškų skaičius vienam Partneriui ir Partnerio partneriui neribojamas.</w:t>
                </w:r>
              </w:p>
              <w:p w:rsidR="00F6024A" w:rsidRDefault="00F04FF7">
                <w:pPr>
                  <w:jc w:val="both"/>
                  <w:rPr>
                    <w:iCs/>
                    <w:szCs w:val="24"/>
                  </w:rPr>
                </w:pPr>
                <w:r>
                  <w:rPr>
                    <w:iCs/>
                    <w:szCs w:val="24"/>
                  </w:rPr>
                  <w:t>2.1</w:t>
                </w:r>
                <w:r>
                  <w:rPr>
                    <w:iCs/>
                    <w:szCs w:val="24"/>
                  </w:rPr>
                  <w:t xml:space="preserve">4. Projektas turi atitikti projekto bendruosius atrankos kriterijus, nustatytus PAFT 2 priede. </w:t>
                </w:r>
              </w:p>
              <w:p w:rsidR="00F6024A" w:rsidRDefault="00F04FF7">
                <w:pPr>
                  <w:jc w:val="both"/>
                  <w:rPr>
                    <w:iCs/>
                    <w:szCs w:val="24"/>
                  </w:rPr>
                </w:pPr>
                <w:r>
                  <w:rPr>
                    <w:iCs/>
                    <w:szCs w:val="24"/>
                  </w:rPr>
                  <w:t>2.15. Projekto veiklos turi būti įgyvendintos per 42 mėnesius nuo projekto sutarties įsigaliojimo. Prireikus projekto veiklos gali būti pratęstos pagrįstam laik</w:t>
                </w:r>
                <w:r>
                  <w:rPr>
                    <w:iCs/>
                    <w:szCs w:val="24"/>
                  </w:rPr>
                  <w:t>otarpiui, bet ne vėliau kaip iki 2029 m. rugpjūčio 31 d.</w:t>
                </w:r>
              </w:p>
              <w:p w:rsidR="00F6024A" w:rsidRDefault="00F04FF7">
                <w:pPr>
                  <w:jc w:val="both"/>
                  <w:rPr>
                    <w:iCs/>
                    <w:szCs w:val="24"/>
                  </w:rPr>
                </w:pPr>
                <w:r>
                  <w:rPr>
                    <w:iCs/>
                    <w:szCs w:val="24"/>
                  </w:rPr>
                  <w:t xml:space="preserve">2.16. Pareiškėjo projektas gali būti įgyvendinamas Sostinės regione ir Vidurio ir vakarų Lietuvos regione. Jei reikia, dalis veiklų gali būti įgyvendinamos </w:t>
                </w:r>
                <w:r>
                  <w:rPr>
                    <w:szCs w:val="24"/>
                  </w:rPr>
                  <w:t>ne Lietuvos Respublikoje (ir ne Europos Sąj</w:t>
                </w:r>
                <w:r>
                  <w:rPr>
                    <w:szCs w:val="24"/>
                  </w:rPr>
                  <w:t>ungos valstybių narių teritorijoje, išskyrus Rusijos Federaciją ir Baltarusijos Respubliką), jei jas vykdant siekiama Investicijų programos tikslų.</w:t>
                </w:r>
              </w:p>
              <w:p w:rsidR="00F6024A" w:rsidRDefault="00F04FF7">
                <w:pPr>
                  <w:jc w:val="both"/>
                  <w:rPr>
                    <w:iCs/>
                    <w:szCs w:val="24"/>
                  </w:rPr>
                </w:pPr>
                <w:r>
                  <w:rPr>
                    <w:iCs/>
                    <w:szCs w:val="24"/>
                  </w:rPr>
                  <w:t xml:space="preserve">2.17. </w:t>
                </w:r>
                <w:r>
                  <w:t>Iki PĮP pateikimo Administruojančiajai institucijai Pareiškėjo projektinis pasiūlymas turi būti suderi</w:t>
                </w:r>
                <w:r>
                  <w:t xml:space="preserve">ntas su </w:t>
                </w:r>
                <w:r>
                  <w:rPr>
                    <w:iCs/>
                    <w:szCs w:val="24"/>
                  </w:rPr>
                  <w:t xml:space="preserve">Lietuvos Respublikos švietimo, mokslo ir sporto ministerija, vadovaujantis Lietuvos Respublikos švietimo, mokslo ir sporto ministerijos 2021–2027 metų Europos Sąjungos fondų investicijų programos ir ekonomikos gaivinimo ir atsparumo didinimo plano </w:t>
                </w:r>
                <w:r>
                  <w:rPr>
                    <w:iCs/>
                    <w:szCs w:val="24"/>
                  </w:rPr>
                  <w:t xml:space="preserve">„Naujos kartos Lietuva“ administravimo procedūrų apraše, patvirtintame Lietuvos Respublikos švietimo, mokslo ir sporto ministro 2023 m. sausio 4 d. įsakymu Nr. V-22 „Dėl Lietuvos Respublikos švietimo, mokslo ir sporto ministerijos </w:t>
                </w:r>
                <w:r>
                  <w:rPr>
                    <w:iCs/>
                    <w:szCs w:val="24"/>
                  </w:rPr>
                  <w:lastRenderedPageBreak/>
                  <w:t>2021–2027 metų Europos Są</w:t>
                </w:r>
                <w:r>
                  <w:rPr>
                    <w:iCs/>
                    <w:szCs w:val="24"/>
                  </w:rPr>
                  <w:t>jungos fondų investicijų programos ir Ekonomikos gaivinimo ir atsparumo didinimo plano „Naujos kartos Lietuva“ administravimo procedūrų aprašo patvirtinimo“, nustatyta tvarka.</w:t>
                </w:r>
              </w:p>
              <w:p w:rsidR="00F6024A" w:rsidRDefault="00F04FF7">
                <w:pPr>
                  <w:jc w:val="both"/>
                  <w:rPr>
                    <w:iCs/>
                    <w:szCs w:val="24"/>
                  </w:rPr>
                </w:pPr>
                <w:r>
                  <w:rPr>
                    <w:szCs w:val="24"/>
                  </w:rPr>
                  <w:t>2.18. Projekto veiklos gali būti pradėtos įgyvendinti ne anksčiau nei po PĮP reg</w:t>
                </w:r>
                <w:r>
                  <w:rPr>
                    <w:szCs w:val="24"/>
                  </w:rPr>
                  <w:t>istravimo Administruojančiojoje institucijoje dienos, tačiau projekto išlaidos nuo PĮP registravimo Administruojančiojoje institucijoje dienos iki projekto sutarties pasirašymo yra patiriamos Pareiškėjo ir (ar) Partnerio (-</w:t>
                </w:r>
                <w:proofErr w:type="spellStart"/>
                <w:r>
                  <w:rPr>
                    <w:szCs w:val="24"/>
                  </w:rPr>
                  <w:t>ių</w:t>
                </w:r>
                <w:proofErr w:type="spellEnd"/>
                <w:r>
                  <w:rPr>
                    <w:szCs w:val="24"/>
                  </w:rPr>
                  <w:t>) rizika.</w:t>
                </w:r>
              </w:p>
              <w:p w:rsidR="00F6024A" w:rsidRDefault="00F04FF7">
                <w:pPr>
                  <w:jc w:val="both"/>
                  <w:rPr>
                    <w:iCs/>
                    <w:szCs w:val="24"/>
                  </w:rPr>
                </w:pPr>
                <w:r>
                  <w:rPr>
                    <w:iCs/>
                    <w:szCs w:val="24"/>
                  </w:rPr>
                  <w:t xml:space="preserve">2.19. Projekto </w:t>
                </w:r>
                <w:r>
                  <w:rPr>
                    <w:iCs/>
                    <w:szCs w:val="24"/>
                  </w:rPr>
                  <w:t>vykdytojas privalo įgyvendinti privalomas matomumo ir informavimo apie projektą veiksmų priemones, nustatytas PAFT.</w:t>
                </w:r>
              </w:p>
              <w:p w:rsidR="00F6024A" w:rsidRDefault="00F04FF7">
                <w:pPr>
                  <w:jc w:val="both"/>
                  <w:rPr>
                    <w:iCs/>
                    <w:szCs w:val="24"/>
                  </w:rPr>
                </w:pPr>
                <w:r>
                  <w:rPr>
                    <w:iCs/>
                    <w:szCs w:val="24"/>
                  </w:rPr>
                  <w:t xml:space="preserve">2.20. Kartu su PĮP Administruojančiai institucijai turi būti pateikta: </w:t>
                </w:r>
              </w:p>
              <w:p w:rsidR="00F6024A" w:rsidRDefault="00F04FF7">
                <w:pPr>
                  <w:jc w:val="both"/>
                  <w:rPr>
                    <w:iCs/>
                    <w:szCs w:val="24"/>
                  </w:rPr>
                </w:pPr>
                <w:r>
                  <w:rPr>
                    <w:iCs/>
                    <w:szCs w:val="24"/>
                  </w:rPr>
                  <w:t>2.20.1. Partnerių deklaracijos pagal PAFT 1 priedo 1 priedą.</w:t>
                </w:r>
              </w:p>
              <w:p w:rsidR="00F6024A" w:rsidRDefault="00F04FF7">
                <w:pPr>
                  <w:jc w:val="both"/>
                  <w:rPr>
                    <w:iCs/>
                    <w:szCs w:val="24"/>
                  </w:rPr>
                </w:pPr>
                <w:r>
                  <w:rPr>
                    <w:iCs/>
                    <w:szCs w:val="24"/>
                  </w:rPr>
                  <w:t>2.20.2.</w:t>
                </w:r>
                <w:r>
                  <w:rPr>
                    <w:iCs/>
                    <w:szCs w:val="24"/>
                  </w:rPr>
                  <w:t xml:space="preserve"> Informacija apie projekto biudžeto paskirstymą Pareiškėjui ir jo Partneriams pagal PAFT 1 priedo 2 priedą.</w:t>
                </w:r>
              </w:p>
              <w:p w:rsidR="00F6024A" w:rsidRDefault="00F04FF7">
                <w:pPr>
                  <w:jc w:val="both"/>
                  <w:rPr>
                    <w:iCs/>
                    <w:szCs w:val="24"/>
                  </w:rPr>
                </w:pPr>
                <w:r>
                  <w:rPr>
                    <w:iCs/>
                    <w:szCs w:val="24"/>
                  </w:rPr>
                  <w:t>2.20.3. Projekto atitiktį bendriesiems projektų atrankos kriterijams, nurodytiems PAFT 2 priede, patvirtinantys dokumentai.</w:t>
                </w:r>
              </w:p>
              <w:p w:rsidR="00F6024A" w:rsidRDefault="00F04FF7">
                <w:pPr>
                  <w:jc w:val="both"/>
                  <w:rPr>
                    <w:iCs/>
                    <w:szCs w:val="24"/>
                  </w:rPr>
                </w:pPr>
                <w:r>
                  <w:rPr>
                    <w:iCs/>
                    <w:szCs w:val="24"/>
                  </w:rPr>
                  <w:t>2.20.4. Partnerių užpild</w:t>
                </w:r>
                <w:r>
                  <w:rPr>
                    <w:iCs/>
                    <w:szCs w:val="24"/>
                  </w:rPr>
                  <w:t>ytos Informacijos, reikalingos projekto atitikčiai sumaniosios specializacijos koncepcijai įvertinti, formos.</w:t>
                </w:r>
              </w:p>
              <w:p w:rsidR="00F6024A" w:rsidRDefault="00F04FF7">
                <w:pPr>
                  <w:tabs>
                    <w:tab w:val="left" w:pos="318"/>
                  </w:tabs>
                  <w:jc w:val="both"/>
                  <w:rPr>
                    <w:iCs/>
                    <w:szCs w:val="24"/>
                  </w:rPr>
                </w:pPr>
                <w:r>
                  <w:rPr>
                    <w:iCs/>
                    <w:szCs w:val="24"/>
                  </w:rPr>
                  <w:t>2.20.5. Dokumentai, pagrindžiantys „</w:t>
                </w:r>
                <w:proofErr w:type="spellStart"/>
                <w:r>
                  <w:rPr>
                    <w:iCs/>
                    <w:szCs w:val="24"/>
                  </w:rPr>
                  <w:t>Eureka</w:t>
                </w:r>
                <w:proofErr w:type="spellEnd"/>
                <w:r>
                  <w:rPr>
                    <w:iCs/>
                    <w:szCs w:val="24"/>
                  </w:rPr>
                  <w:t>“ projekto statusą („</w:t>
                </w:r>
                <w:proofErr w:type="spellStart"/>
                <w:r>
                  <w:rPr>
                    <w:iCs/>
                    <w:szCs w:val="24"/>
                  </w:rPr>
                  <w:t>Eureka</w:t>
                </w:r>
                <w:proofErr w:type="spellEnd"/>
                <w:r>
                  <w:rPr>
                    <w:iCs/>
                    <w:szCs w:val="24"/>
                  </w:rPr>
                  <w:t xml:space="preserve">“ projektas ar paraiška). </w:t>
                </w:r>
              </w:p>
              <w:p w:rsidR="00F6024A" w:rsidRDefault="00F6024A">
                <w:pPr>
                  <w:tabs>
                    <w:tab w:val="left" w:pos="318"/>
                  </w:tabs>
                  <w:jc w:val="both"/>
                  <w:rPr>
                    <w:szCs w:val="24"/>
                  </w:rPr>
                </w:pPr>
              </w:p>
            </w:tc>
          </w:tr>
          <w:tr w:rsidR="00F6024A">
            <w:trPr>
              <w:trHeight w:val="285"/>
            </w:trPr>
            <w:tc>
              <w:tcPr>
                <w:tcW w:w="14709" w:type="dxa"/>
              </w:tcPr>
              <w:p w:rsidR="00F6024A" w:rsidRDefault="00F04FF7">
                <w:pPr>
                  <w:rPr>
                    <w:szCs w:val="24"/>
                  </w:rPr>
                </w:pPr>
                <w:r>
                  <w:rPr>
                    <w:b/>
                    <w:bCs/>
                    <w:szCs w:val="24"/>
                  </w:rPr>
                  <w:lastRenderedPageBreak/>
                  <w:t xml:space="preserve">3. Horizontaliųjų principų reikalavimai </w:t>
                </w:r>
              </w:p>
            </w:tc>
          </w:tr>
          <w:tr w:rsidR="00F6024A">
            <w:tc>
              <w:tcPr>
                <w:tcW w:w="14709" w:type="dxa"/>
              </w:tcPr>
              <w:p w:rsidR="00F6024A" w:rsidRDefault="00F04FF7">
                <w:pPr>
                  <w:jc w:val="both"/>
                  <w:textAlignment w:val="baseline"/>
                  <w:rPr>
                    <w:rFonts w:ascii="Segoe UI" w:hAnsi="Segoe UI" w:cs="Segoe UI"/>
                    <w:szCs w:val="24"/>
                    <w:lang w:eastAsia="lt-LT"/>
                  </w:rPr>
                </w:pPr>
                <w:r>
                  <w:rPr>
                    <w:szCs w:val="24"/>
                    <w:lang w:eastAsia="lt-LT"/>
                  </w:rPr>
                  <w:t>Projektas turi atitikti tris horizontaliuosius principus: </w:t>
                </w:r>
              </w:p>
              <w:p w:rsidR="00F6024A" w:rsidRDefault="00F04FF7">
                <w:pPr>
                  <w:jc w:val="both"/>
                  <w:textAlignment w:val="baseline"/>
                  <w:rPr>
                    <w:szCs w:val="24"/>
                    <w:lang w:eastAsia="lt-LT"/>
                  </w:rPr>
                </w:pPr>
                <w:r>
                  <w:rPr>
                    <w:b/>
                    <w:bCs/>
                    <w:szCs w:val="24"/>
                    <w:lang w:eastAsia="lt-LT"/>
                  </w:rPr>
                  <w:t>Darnaus vystymosi</w:t>
                </w:r>
                <w:r>
                  <w:rPr>
                    <w:szCs w:val="24"/>
                    <w:lang w:eastAsia="lt-LT"/>
                  </w:rPr>
                  <w:t xml:space="preserve"> horizontalusis principas suprantamas kaip ekonominio, socialinio ir aplinkos sričių vystymosi balansas. Projektas turi prisidėti prie darnaus vystymosi tikslų – nelygybės mažinima</w:t>
                </w:r>
                <w:r>
                  <w:rPr>
                    <w:szCs w:val="24"/>
                    <w:lang w:eastAsia="lt-LT"/>
                  </w:rPr>
                  <w:t>s, klimato kaitos švelninimas, partnerystės stiprinimas. Siekiant didinti viešojo sektoriaus indėlį skatinant darnų vystymąsi, įgyvendinant projektines veiklas bus siekiama, kad dalis pirkimų būtų atliekami kaip žalieji viešieji pirkimai. </w:t>
                </w:r>
              </w:p>
              <w:p w:rsidR="00F6024A" w:rsidRDefault="00F04FF7">
                <w:pPr>
                  <w:jc w:val="both"/>
                  <w:textAlignment w:val="baseline"/>
                  <w:rPr>
                    <w:szCs w:val="24"/>
                    <w:lang w:eastAsia="lt-LT"/>
                  </w:rPr>
                </w:pPr>
                <w:proofErr w:type="spellStart"/>
                <w:r>
                  <w:rPr>
                    <w:b/>
                    <w:bCs/>
                    <w:szCs w:val="24"/>
                    <w:lang w:eastAsia="lt-LT"/>
                  </w:rPr>
                  <w:t>Inovatyvumo</w:t>
                </w:r>
                <w:proofErr w:type="spellEnd"/>
                <w:r>
                  <w:rPr>
                    <w:szCs w:val="24"/>
                    <w:lang w:eastAsia="lt-LT"/>
                  </w:rPr>
                  <w:t xml:space="preserve"> hori</w:t>
                </w:r>
                <w:r>
                  <w:rPr>
                    <w:szCs w:val="24"/>
                    <w:lang w:eastAsia="lt-LT"/>
                  </w:rPr>
                  <w:t xml:space="preserve">zontalusis principas suvokiamas kaip </w:t>
                </w:r>
                <w:proofErr w:type="spellStart"/>
                <w:r>
                  <w:rPr>
                    <w:szCs w:val="24"/>
                    <w:lang w:eastAsia="lt-LT"/>
                  </w:rPr>
                  <w:t>inovatyvių</w:t>
                </w:r>
                <w:proofErr w:type="spellEnd"/>
                <w:r>
                  <w:rPr>
                    <w:szCs w:val="24"/>
                    <w:lang w:eastAsia="lt-LT"/>
                  </w:rPr>
                  <w:t xml:space="preserve"> ir veiksmingiausių veikimo būdų paieška ir taikymas, mokslinių tyrimų ir mokslo pažangos rezultatų taikymas, sprendžiant šaliai aktualius iššūkius, kuriant didesnės vertės, geresnės kokybės paslaugas ir produ</w:t>
                </w:r>
                <w:r>
                  <w:rPr>
                    <w:szCs w:val="24"/>
                    <w:lang w:eastAsia="lt-LT"/>
                  </w:rPr>
                  <w:t>ktus visose valstybės veiklos srityse. Projektas turi tiesiogiai prisidėti prie sisteminės inovacijų ekosistemos problemų, ribojančių inovacijomis grįstos ekonomikos kūrimą ir visuomenės pažangą, sprendimo. Taip pat projektas turi prisidėti prie MTEP ir in</w:t>
                </w:r>
                <w:r>
                  <w:rPr>
                    <w:szCs w:val="24"/>
                    <w:lang w:eastAsia="lt-LT"/>
                  </w:rPr>
                  <w:t>ovacijų veikloms vykdyti skiriamų viešojo sektoriaus investicijų dalies nuoseklaus didėjimo. </w:t>
                </w:r>
              </w:p>
              <w:p w:rsidR="00F6024A" w:rsidRDefault="00F04FF7">
                <w:pPr>
                  <w:jc w:val="both"/>
                  <w:textAlignment w:val="baseline"/>
                  <w:rPr>
                    <w:szCs w:val="24"/>
                    <w:lang w:eastAsia="lt-LT"/>
                  </w:rPr>
                </w:pPr>
                <w:r>
                  <w:rPr>
                    <w:b/>
                    <w:bCs/>
                    <w:szCs w:val="24"/>
                    <w:lang w:eastAsia="lt-LT"/>
                  </w:rPr>
                  <w:t>Lygių galimybių</w:t>
                </w:r>
                <w:r>
                  <w:rPr>
                    <w:szCs w:val="24"/>
                    <w:lang w:eastAsia="lt-LT"/>
                  </w:rPr>
                  <w:t xml:space="preserve"> visiems horizontaliojo principo taikymas užtikrina, kad nevaržomos žmogaus teisės ar neteikiamos asmeniui privilegijos dėl jo lyties, tautybės, ra</w:t>
                </w:r>
                <w:r>
                  <w:rPr>
                    <w:szCs w:val="24"/>
                    <w:lang w:eastAsia="lt-LT"/>
                  </w:rPr>
                  <w:t>sinės ar etninės kilmės, kalbos, religijos, tikėjimo, įsitikinimų ar pažiūrų, negalios, socialinės padėties, amžiaus arba seksualinės orientacijos bei nevaržomos galimybės tokiomis pačiomis kaip ir kitų asmenų sąlygomis naudotis paslaugomis, infrastruktūra</w:t>
                </w:r>
                <w:r>
                  <w:rPr>
                    <w:szCs w:val="24"/>
                    <w:lang w:eastAsia="lt-LT"/>
                  </w:rPr>
                  <w:t>, transportu ir kitomis priemonėmis. Įgyvendinant projektą privaloma atsižvelgti į neįgaliųjų, moterų ir vyrų, skirtingų amžiaus grupių, tautinių mažumų ir kitų diskriminaciją patiriančių grupių poreikius ir numatyti lygių galimybių principą įgyvendinančia</w:t>
                </w:r>
                <w:r>
                  <w:rPr>
                    <w:szCs w:val="24"/>
                    <w:lang w:eastAsia="lt-LT"/>
                  </w:rPr>
                  <w:t xml:space="preserve">s priemones bei rodiklius. </w:t>
                </w:r>
              </w:p>
              <w:p w:rsidR="00F6024A" w:rsidRDefault="00F6024A">
                <w:pPr>
                  <w:jc w:val="both"/>
                  <w:rPr>
                    <w:i/>
                    <w:iCs/>
                    <w:szCs w:val="24"/>
                  </w:rPr>
                </w:pPr>
              </w:p>
            </w:tc>
          </w:tr>
          <w:tr w:rsidR="00F6024A">
            <w:tc>
              <w:tcPr>
                <w:tcW w:w="14709" w:type="dxa"/>
              </w:tcPr>
              <w:p w:rsidR="00F6024A" w:rsidRDefault="00F04FF7">
                <w:pPr>
                  <w:jc w:val="both"/>
                  <w:rPr>
                    <w:szCs w:val="24"/>
                  </w:rPr>
                </w:pPr>
                <w:r>
                  <w:rPr>
                    <w:b/>
                    <w:bCs/>
                    <w:szCs w:val="24"/>
                  </w:rPr>
                  <w:t>3.1. Europos Sąjungos pagrindinių teisių chartijos reikalavimai</w:t>
                </w:r>
              </w:p>
            </w:tc>
          </w:tr>
          <w:tr w:rsidR="00F6024A">
            <w:tc>
              <w:tcPr>
                <w:tcW w:w="14709" w:type="dxa"/>
              </w:tcPr>
              <w:p w:rsidR="00F6024A" w:rsidRDefault="00F04FF7">
                <w:pPr>
                  <w:jc w:val="both"/>
                  <w:rPr>
                    <w:color w:val="242424"/>
                    <w:szCs w:val="24"/>
                  </w:rPr>
                </w:pPr>
                <w:r>
                  <w:rPr>
                    <w:color w:val="242424"/>
                    <w:szCs w:val="24"/>
                  </w:rPr>
                  <w:t>Projekto veiklos turi nepažeisti Europos Sąjungos pagrindinių teisių chartijoje numatytų žmogaus orumo, asmenų, privataus ir šeimos gyvenimo, sąžinės ir saviraiš</w:t>
                </w:r>
                <w:r>
                  <w:rPr>
                    <w:color w:val="242424"/>
                    <w:szCs w:val="24"/>
                  </w:rPr>
                  <w:t>kos laisvės; asmens duomenų; prieglobsčio ir apsaugos perkėlimo, išsiuntimo ar išdavimo atvejų; teisių į nuosavybę ir teisių užsiimti verslu; lyčių lygybės, vienodo požiūrio ir lygių galimybių, nediskriminavimo ir neįgaliųjų teisių; vaiko teisių; gero admi</w:t>
                </w:r>
                <w:r>
                  <w:rPr>
                    <w:color w:val="242424"/>
                    <w:szCs w:val="24"/>
                  </w:rPr>
                  <w:t>nistravimo, veiksmingo teisinės gynybos, teisingumo; solidarumo ir darbuotojų teisių; aplinkos apsaugos reikalavimų.</w:t>
                </w:r>
              </w:p>
              <w:p w:rsidR="00F6024A" w:rsidRDefault="00F6024A">
                <w:pPr>
                  <w:jc w:val="both"/>
                  <w:rPr>
                    <w:szCs w:val="24"/>
                  </w:rPr>
                </w:pPr>
              </w:p>
            </w:tc>
          </w:tr>
          <w:tr w:rsidR="00F6024A">
            <w:tc>
              <w:tcPr>
                <w:tcW w:w="14709" w:type="dxa"/>
              </w:tcPr>
              <w:p w:rsidR="00F6024A" w:rsidRDefault="00F04FF7">
                <w:pPr>
                  <w:rPr>
                    <w:b/>
                    <w:bCs/>
                    <w:szCs w:val="24"/>
                  </w:rPr>
                </w:pPr>
                <w:r>
                  <w:rPr>
                    <w:b/>
                    <w:bCs/>
                    <w:szCs w:val="24"/>
                  </w:rPr>
                  <w:lastRenderedPageBreak/>
                  <w:t>4. Apskritis, kurioje gali būti įgyvendinami projektai</w:t>
                </w:r>
              </w:p>
            </w:tc>
          </w:tr>
          <w:tr w:rsidR="00F6024A">
            <w:tc>
              <w:tcPr>
                <w:tcW w:w="14709" w:type="dxa"/>
              </w:tcPr>
              <w:p w:rsidR="00F6024A" w:rsidRDefault="00F04FF7">
                <w:pPr>
                  <w:jc w:val="both"/>
                  <w:rPr>
                    <w:szCs w:val="24"/>
                  </w:rPr>
                </w:pPr>
                <w:r>
                  <w:rPr>
                    <w:szCs w:val="24"/>
                  </w:rPr>
                  <w:t>Netaikoma.</w:t>
                </w:r>
              </w:p>
              <w:p w:rsidR="00F6024A" w:rsidRDefault="00F6024A">
                <w:pPr>
                  <w:jc w:val="both"/>
                  <w:rPr>
                    <w:szCs w:val="24"/>
                  </w:rPr>
                </w:pPr>
              </w:p>
            </w:tc>
          </w:tr>
          <w:tr w:rsidR="00F6024A">
            <w:tc>
              <w:tcPr>
                <w:tcW w:w="14709" w:type="dxa"/>
              </w:tcPr>
              <w:p w:rsidR="00F6024A" w:rsidRDefault="00F04FF7">
                <w:pPr>
                  <w:jc w:val="both"/>
                  <w:rPr>
                    <w:b/>
                    <w:bCs/>
                    <w:szCs w:val="24"/>
                  </w:rPr>
                </w:pPr>
                <w:r>
                  <w:rPr>
                    <w:b/>
                    <w:bCs/>
                    <w:szCs w:val="24"/>
                  </w:rPr>
                  <w:t xml:space="preserve">5. Reikalavimai valstybės pagalbai </w:t>
                </w:r>
              </w:p>
            </w:tc>
          </w:tr>
          <w:tr w:rsidR="00F6024A">
            <w:tc>
              <w:tcPr>
                <w:tcW w:w="14709" w:type="dxa"/>
              </w:tcPr>
              <w:p w:rsidR="00F6024A" w:rsidRDefault="00F04FF7">
                <w:pPr>
                  <w:jc w:val="both"/>
                  <w:rPr>
                    <w:szCs w:val="24"/>
                  </w:rPr>
                </w:pPr>
                <w:r>
                  <w:rPr>
                    <w:szCs w:val="24"/>
                  </w:rPr>
                  <w:t xml:space="preserve">5.1. </w:t>
                </w:r>
                <w:r>
                  <w:t xml:space="preserve">Pagal Aprašą valstybės pagalba, kaip ji apibrėžta Sutarties dėl Europos Sąjungos veikimo (OL 2010 C 83, p. 47) 107 straipsnyje, ir </w:t>
                </w:r>
                <w:r>
                  <w:rPr>
                    <w:i/>
                    <w:iCs/>
                  </w:rPr>
                  <w:t xml:space="preserve">de </w:t>
                </w:r>
                <w:proofErr w:type="spellStart"/>
                <w:r>
                  <w:rPr>
                    <w:i/>
                    <w:iCs/>
                  </w:rPr>
                  <w:t>minimis</w:t>
                </w:r>
                <w:proofErr w:type="spellEnd"/>
                <w:r>
                  <w:t xml:space="preserve"> pagalba, kuri atitinka 2013 m. gruodžio 18 d. Komisijos reglamento (ES) Nr. 1407/2013 dėl Sutarties dėl Europos Są</w:t>
                </w:r>
                <w:r>
                  <w:t xml:space="preserve">jungos veikimo 107 ir 108 straipsnių taikymo </w:t>
                </w:r>
                <w:r>
                  <w:rPr>
                    <w:i/>
                    <w:iCs/>
                  </w:rPr>
                  <w:t xml:space="preserve">de </w:t>
                </w:r>
                <w:proofErr w:type="spellStart"/>
                <w:r>
                  <w:rPr>
                    <w:i/>
                    <w:iCs/>
                  </w:rPr>
                  <w:t>minimis</w:t>
                </w:r>
                <w:proofErr w:type="spellEnd"/>
                <w:r>
                  <w:t xml:space="preserve"> pagalbai (OL 2013 L 352, p. 1) nuostatas, Pareiškėjui neteikiama.</w:t>
                </w:r>
              </w:p>
              <w:p w:rsidR="00F6024A" w:rsidRDefault="00F04FF7">
                <w:pPr>
                  <w:jc w:val="both"/>
                  <w:rPr>
                    <w:szCs w:val="24"/>
                  </w:rPr>
                </w:pPr>
                <w:r>
                  <w:rPr>
                    <w:szCs w:val="24"/>
                  </w:rPr>
                  <w:t>5.2. S</w:t>
                </w:r>
                <w:r>
                  <w:rPr>
                    <w:color w:val="000000"/>
                    <w:szCs w:val="24"/>
                  </w:rPr>
                  <w:t xml:space="preserve">iekiant nustatyti, ar Partneriui ir Partnerio partneriui teikiama parama yra valstybės pagalba, kiekvienu konkrečiu atveju turi </w:t>
                </w:r>
                <w:r>
                  <w:rPr>
                    <w:color w:val="000000"/>
                    <w:szCs w:val="24"/>
                  </w:rPr>
                  <w:t>būti įvertinta, ar tenkinamos Sutarties dėl Europos Sąjungos veikimo 107 straipsnio 1 dalyje nustatytos sąlygos.</w:t>
                </w:r>
                <w:r>
                  <w:rPr>
                    <w:szCs w:val="24"/>
                  </w:rPr>
                  <w:t xml:space="preserve"> Pagal Aprašą finansuojami projektai turi atitikti BBIR 25 straipsnio nuostatas.</w:t>
                </w:r>
              </w:p>
              <w:p w:rsidR="00F6024A" w:rsidRDefault="00F04FF7">
                <w:pPr>
                  <w:jc w:val="both"/>
                  <w:rPr>
                    <w:szCs w:val="24"/>
                  </w:rPr>
                </w:pPr>
                <w:r>
                  <w:rPr>
                    <w:szCs w:val="24"/>
                  </w:rPr>
                  <w:t>5.3. „</w:t>
                </w:r>
                <w:proofErr w:type="spellStart"/>
                <w:r>
                  <w:rPr>
                    <w:szCs w:val="24"/>
                  </w:rPr>
                  <w:t>Eureka</w:t>
                </w:r>
                <w:proofErr w:type="spellEnd"/>
                <w:r>
                  <w:rPr>
                    <w:szCs w:val="24"/>
                  </w:rPr>
                  <w:t>“ projekto veiklai teikiamas finansavimas nėra vals</w:t>
                </w:r>
                <w:r>
                  <w:rPr>
                    <w:szCs w:val="24"/>
                  </w:rPr>
                  <w:t>tybės pagalba, kai ją vykdo MSI</w:t>
                </w:r>
                <w:r>
                  <w:rPr>
                    <w:rFonts w:eastAsia="Calibri"/>
                    <w:szCs w:val="24"/>
                  </w:rPr>
                  <w:t xml:space="preserve"> </w:t>
                </w:r>
                <w:r>
                  <w:rPr>
                    <w:szCs w:val="24"/>
                  </w:rPr>
                  <w:t xml:space="preserve">ir kai ši veikla atitinka neekonominės veiklos sampratą, apibrėžtą </w:t>
                </w:r>
                <w:proofErr w:type="spellStart"/>
                <w:r>
                  <w:rPr>
                    <w:lang w:val="lt"/>
                  </w:rPr>
                  <w:t>apibrėžtą</w:t>
                </w:r>
                <w:proofErr w:type="spellEnd"/>
                <w:r>
                  <w:rPr>
                    <w:lang w:val="lt"/>
                  </w:rPr>
                  <w:t xml:space="preserve"> Europos Komisijos pranešime dėl valstybės pagalbos sąvokos (angl. </w:t>
                </w:r>
                <w:proofErr w:type="spellStart"/>
                <w:r>
                  <w:rPr>
                    <w:i/>
                    <w:lang w:val="lt"/>
                  </w:rPr>
                  <w:t>Commission</w:t>
                </w:r>
                <w:proofErr w:type="spellEnd"/>
                <w:r>
                  <w:rPr>
                    <w:i/>
                    <w:lang w:val="lt"/>
                  </w:rPr>
                  <w:t xml:space="preserve"> </w:t>
                </w:r>
                <w:proofErr w:type="spellStart"/>
                <w:r>
                  <w:rPr>
                    <w:i/>
                    <w:lang w:val="lt"/>
                  </w:rPr>
                  <w:t>Notice</w:t>
                </w:r>
                <w:proofErr w:type="spellEnd"/>
                <w:r>
                  <w:rPr>
                    <w:i/>
                    <w:lang w:val="lt"/>
                  </w:rPr>
                  <w:t xml:space="preserve"> </w:t>
                </w:r>
                <w:proofErr w:type="spellStart"/>
                <w:r>
                  <w:rPr>
                    <w:i/>
                    <w:lang w:val="lt"/>
                  </w:rPr>
                  <w:t>on</w:t>
                </w:r>
                <w:proofErr w:type="spellEnd"/>
                <w:r>
                  <w:rPr>
                    <w:i/>
                    <w:lang w:val="lt"/>
                  </w:rPr>
                  <w:t xml:space="preserve"> </w:t>
                </w:r>
                <w:proofErr w:type="spellStart"/>
                <w:r>
                  <w:rPr>
                    <w:i/>
                    <w:lang w:val="lt"/>
                  </w:rPr>
                  <w:t>the</w:t>
                </w:r>
                <w:proofErr w:type="spellEnd"/>
                <w:r>
                  <w:rPr>
                    <w:i/>
                    <w:lang w:val="lt"/>
                  </w:rPr>
                  <w:t xml:space="preserve"> </w:t>
                </w:r>
                <w:proofErr w:type="spellStart"/>
                <w:r>
                  <w:rPr>
                    <w:i/>
                    <w:lang w:val="lt"/>
                  </w:rPr>
                  <w:t>notion</w:t>
                </w:r>
                <w:proofErr w:type="spellEnd"/>
                <w:r>
                  <w:rPr>
                    <w:i/>
                    <w:lang w:val="lt"/>
                  </w:rPr>
                  <w:t xml:space="preserve"> </w:t>
                </w:r>
                <w:proofErr w:type="spellStart"/>
                <w:r>
                  <w:rPr>
                    <w:i/>
                    <w:lang w:val="lt"/>
                  </w:rPr>
                  <w:t>of</w:t>
                </w:r>
                <w:proofErr w:type="spellEnd"/>
                <w:r>
                  <w:rPr>
                    <w:i/>
                    <w:lang w:val="lt"/>
                  </w:rPr>
                  <w:t xml:space="preserve"> </w:t>
                </w:r>
                <w:proofErr w:type="spellStart"/>
                <w:r>
                  <w:rPr>
                    <w:i/>
                    <w:lang w:val="lt"/>
                  </w:rPr>
                  <w:t>State</w:t>
                </w:r>
                <w:proofErr w:type="spellEnd"/>
                <w:r>
                  <w:rPr>
                    <w:i/>
                    <w:lang w:val="lt"/>
                  </w:rPr>
                  <w:t xml:space="preserve"> </w:t>
                </w:r>
                <w:proofErr w:type="spellStart"/>
                <w:r>
                  <w:rPr>
                    <w:i/>
                    <w:lang w:val="lt"/>
                  </w:rPr>
                  <w:t>aid</w:t>
                </w:r>
                <w:proofErr w:type="spellEnd"/>
                <w:r>
                  <w:rPr>
                    <w:i/>
                    <w:lang w:val="lt"/>
                  </w:rPr>
                  <w:t xml:space="preserve"> </w:t>
                </w:r>
                <w:proofErr w:type="spellStart"/>
                <w:r>
                  <w:rPr>
                    <w:i/>
                    <w:lang w:val="lt"/>
                  </w:rPr>
                  <w:t>pursuant</w:t>
                </w:r>
                <w:proofErr w:type="spellEnd"/>
                <w:r>
                  <w:rPr>
                    <w:i/>
                    <w:lang w:val="lt"/>
                  </w:rPr>
                  <w:t xml:space="preserve"> to </w:t>
                </w:r>
                <w:proofErr w:type="spellStart"/>
                <w:r>
                  <w:rPr>
                    <w:i/>
                    <w:lang w:val="lt"/>
                  </w:rPr>
                  <w:t>Article</w:t>
                </w:r>
                <w:proofErr w:type="spellEnd"/>
                <w:r>
                  <w:rPr>
                    <w:lang w:val="lt"/>
                  </w:rPr>
                  <w:t xml:space="preserve"> 107(1) TFEU)</w:t>
                </w:r>
                <w:r>
                  <w:rPr>
                    <w:szCs w:val="24"/>
                  </w:rPr>
                  <w:t>, be</w:t>
                </w:r>
                <w:r>
                  <w:rPr>
                    <w:szCs w:val="24"/>
                  </w:rPr>
                  <w:t xml:space="preserve">i atitinka Komunikato 20 punkto nuostatas. </w:t>
                </w:r>
              </w:p>
              <w:p w:rsidR="00F6024A" w:rsidRDefault="00F04FF7">
                <w:pPr>
                  <w:jc w:val="both"/>
                </w:pPr>
                <w:r>
                  <w:rPr>
                    <w:szCs w:val="24"/>
                  </w:rPr>
                  <w:t xml:space="preserve">5.4. </w:t>
                </w:r>
                <w:r>
                  <w:t xml:space="preserve">PĮP vertinimo metu nustačius, kad </w:t>
                </w:r>
                <w:r>
                  <w:rPr>
                    <w:szCs w:val="24"/>
                  </w:rPr>
                  <w:t>„</w:t>
                </w:r>
                <w:proofErr w:type="spellStart"/>
                <w:r>
                  <w:rPr>
                    <w:szCs w:val="24"/>
                  </w:rPr>
                  <w:t>Eureka</w:t>
                </w:r>
                <w:proofErr w:type="spellEnd"/>
                <w:r>
                  <w:rPr>
                    <w:szCs w:val="24"/>
                  </w:rPr>
                  <w:t xml:space="preserve">“ projekto </w:t>
                </w:r>
                <w:r>
                  <w:t>veikla neatitinka Aprašo 5.2 papunktyje nurodytų sąlygų, „</w:t>
                </w:r>
                <w:proofErr w:type="spellStart"/>
                <w:r>
                  <w:t>Eureka</w:t>
                </w:r>
                <w:proofErr w:type="spellEnd"/>
                <w:r>
                  <w:t>“ projekto veiklų finansavimas yra valstybės pagalba, kaip ji apibrėžta Sutarties dėl Europ</w:t>
                </w:r>
                <w:r>
                  <w:t>os Sąjungos veikimo 107 straipsnyje, kuri teikiama taikant BBIR I skyriaus ir III skyriaus 25 straipsnio nuostatas.</w:t>
                </w:r>
              </w:p>
              <w:p w:rsidR="00F6024A" w:rsidRDefault="00F04FF7">
                <w:pPr>
                  <w:jc w:val="both"/>
                  <w:rPr>
                    <w:szCs w:val="24"/>
                  </w:rPr>
                </w:pPr>
                <w:r>
                  <w:rPr>
                    <w:szCs w:val="24"/>
                  </w:rPr>
                  <w:t>5.5. Didžiausia galima „</w:t>
                </w:r>
                <w:proofErr w:type="spellStart"/>
                <w:r>
                  <w:rPr>
                    <w:szCs w:val="24"/>
                  </w:rPr>
                  <w:t>Eureka</w:t>
                </w:r>
                <w:proofErr w:type="spellEnd"/>
                <w:r>
                  <w:rPr>
                    <w:szCs w:val="24"/>
                  </w:rPr>
                  <w:t>“ projekto finansuojamoji dalis, kuri apskaičiuojama pagal BBIR 25 straipsnio 5 dalies b ir c punktus ir 6 dal</w:t>
                </w:r>
                <w:r>
                  <w:rPr>
                    <w:szCs w:val="24"/>
                  </w:rPr>
                  <w:t xml:space="preserve">į, </w:t>
                </w:r>
                <w:r>
                  <w:rPr>
                    <w:szCs w:val="24"/>
                    <w:lang w:eastAsia="lt-LT"/>
                  </w:rPr>
                  <w:t>nurodyta 1 lentelėje</w:t>
                </w:r>
                <w:r>
                  <w:rPr>
                    <w:szCs w:val="24"/>
                  </w:rPr>
                  <w:t>.</w:t>
                </w:r>
              </w:p>
              <w:p w:rsidR="00F6024A" w:rsidRDefault="00F04FF7">
                <w:pPr>
                  <w:jc w:val="both"/>
                  <w:rPr>
                    <w:szCs w:val="24"/>
                    <w:lang w:eastAsia="lt-LT"/>
                  </w:rPr>
                </w:pPr>
                <w:r>
                  <w:rPr>
                    <w:szCs w:val="24"/>
                    <w:lang w:eastAsia="lt-LT"/>
                  </w:rPr>
                  <w:t xml:space="preserve">1 lentelė. Projekto finansuojamoji dalis. </w:t>
                </w:r>
              </w:p>
              <w:tbl>
                <w:tblPr>
                  <w:tblW w:w="14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610"/>
                  <w:gridCol w:w="1418"/>
                  <w:gridCol w:w="1275"/>
                  <w:gridCol w:w="1701"/>
                  <w:gridCol w:w="2268"/>
                  <w:gridCol w:w="2552"/>
                  <w:gridCol w:w="1984"/>
                  <w:gridCol w:w="560"/>
                  <w:gridCol w:w="7"/>
                </w:tblGrid>
                <w:tr w:rsidR="00F6024A">
                  <w:trPr>
                    <w:gridAfter w:val="1"/>
                    <w:wAfter w:w="7" w:type="dxa"/>
                    <w:trHeight w:val="412"/>
                  </w:trPr>
                  <w:tc>
                    <w:tcPr>
                      <w:tcW w:w="675" w:type="dxa"/>
                      <w:vMerge w:val="restart"/>
                      <w:tcBorders>
                        <w:top w:val="single" w:sz="4" w:space="0" w:color="auto"/>
                        <w:left w:val="single" w:sz="4" w:space="0" w:color="auto"/>
                        <w:right w:val="single" w:sz="4" w:space="0" w:color="auto"/>
                      </w:tcBorders>
                      <w:shd w:val="clear" w:color="auto" w:fill="E7E6E6" w:themeFill="background2"/>
                      <w:vAlign w:val="center"/>
                    </w:tcPr>
                    <w:p w:rsidR="00F6024A" w:rsidRDefault="00F04FF7">
                      <w:pPr>
                        <w:tabs>
                          <w:tab w:val="left" w:pos="318"/>
                        </w:tabs>
                        <w:rPr>
                          <w:iCs/>
                          <w:szCs w:val="24"/>
                        </w:rPr>
                      </w:pPr>
                      <w:proofErr w:type="spellStart"/>
                      <w:r>
                        <w:rPr>
                          <w:iCs/>
                          <w:szCs w:val="24"/>
                        </w:rPr>
                        <w:t>Eil.Nr</w:t>
                      </w:r>
                      <w:proofErr w:type="spellEnd"/>
                      <w:r>
                        <w:rPr>
                          <w:iCs/>
                          <w:szCs w:val="24"/>
                        </w:rPr>
                        <w:t>.</w:t>
                      </w:r>
                    </w:p>
                  </w:tc>
                  <w:tc>
                    <w:tcPr>
                      <w:tcW w:w="1610" w:type="dxa"/>
                      <w:vMerge w:val="restart"/>
                      <w:tcBorders>
                        <w:top w:val="single" w:sz="4" w:space="0" w:color="auto"/>
                        <w:left w:val="single" w:sz="4" w:space="0" w:color="auto"/>
                        <w:right w:val="single" w:sz="4" w:space="0" w:color="auto"/>
                      </w:tcBorders>
                      <w:shd w:val="clear" w:color="auto" w:fill="E7E6E6" w:themeFill="background2"/>
                    </w:tcPr>
                    <w:p w:rsidR="00F6024A" w:rsidRDefault="00F04FF7">
                      <w:pPr>
                        <w:tabs>
                          <w:tab w:val="left" w:pos="426"/>
                        </w:tabs>
                        <w:jc w:val="both"/>
                        <w:rPr>
                          <w:iCs/>
                          <w:szCs w:val="24"/>
                        </w:rPr>
                      </w:pPr>
                      <w:r>
                        <w:rPr>
                          <w:iCs/>
                          <w:szCs w:val="24"/>
                        </w:rPr>
                        <w:t>MTEP veikla</w:t>
                      </w:r>
                    </w:p>
                  </w:tc>
                  <w:tc>
                    <w:tcPr>
                      <w:tcW w:w="1418" w:type="dxa"/>
                      <w:vMerge w:val="restart"/>
                      <w:tcBorders>
                        <w:top w:val="single" w:sz="4" w:space="0" w:color="auto"/>
                        <w:left w:val="single" w:sz="4" w:space="0" w:color="auto"/>
                        <w:right w:val="single" w:sz="4" w:space="0" w:color="auto"/>
                      </w:tcBorders>
                      <w:shd w:val="clear" w:color="auto" w:fill="E7E6E6" w:themeFill="background2"/>
                    </w:tcPr>
                    <w:p w:rsidR="00F6024A" w:rsidRDefault="00F04FF7">
                      <w:pPr>
                        <w:rPr>
                          <w:b/>
                          <w:iCs/>
                          <w:color w:val="FF0000"/>
                          <w:szCs w:val="24"/>
                          <w:u w:val="single"/>
                        </w:rPr>
                      </w:pPr>
                      <w:r>
                        <w:rPr>
                          <w:iCs/>
                          <w:szCs w:val="24"/>
                        </w:rPr>
                        <w:t>Bazinė finansuoja-moji dalis</w:t>
                      </w:r>
                    </w:p>
                  </w:tc>
                  <w:tc>
                    <w:tcPr>
                      <w:tcW w:w="5244" w:type="dxa"/>
                      <w:gridSpan w:val="3"/>
                      <w:tcBorders>
                        <w:top w:val="single" w:sz="4" w:space="0" w:color="auto"/>
                        <w:left w:val="single" w:sz="4" w:space="0" w:color="auto"/>
                        <w:right w:val="single" w:sz="4" w:space="0" w:color="auto"/>
                      </w:tcBorders>
                      <w:shd w:val="clear" w:color="auto" w:fill="E7E6E6" w:themeFill="background2"/>
                    </w:tcPr>
                    <w:p w:rsidR="00F6024A" w:rsidRDefault="00F04FF7">
                      <w:pPr>
                        <w:tabs>
                          <w:tab w:val="left" w:pos="426"/>
                        </w:tabs>
                        <w:jc w:val="center"/>
                        <w:rPr>
                          <w:iCs/>
                          <w:szCs w:val="24"/>
                        </w:rPr>
                      </w:pPr>
                      <w:r>
                        <w:rPr>
                          <w:iCs/>
                          <w:szCs w:val="24"/>
                        </w:rPr>
                        <w:t>Galimas bazinės finansuojamosios dalies padidinimas, bet ne daugiau nei iki 80 procentų tinkamų finansuoti išlaidų</w:t>
                      </w:r>
                    </w:p>
                  </w:tc>
                  <w:tc>
                    <w:tcPr>
                      <w:tcW w:w="5096" w:type="dxa"/>
                      <w:gridSpan w:val="3"/>
                      <w:tcBorders>
                        <w:top w:val="single" w:sz="4" w:space="0" w:color="auto"/>
                        <w:left w:val="single" w:sz="4" w:space="0" w:color="auto"/>
                        <w:right w:val="single" w:sz="4" w:space="0" w:color="auto"/>
                      </w:tcBorders>
                      <w:shd w:val="clear" w:color="auto" w:fill="E7E6E6" w:themeFill="background2"/>
                      <w:vAlign w:val="center"/>
                    </w:tcPr>
                    <w:p w:rsidR="00F6024A" w:rsidRDefault="00F04FF7">
                      <w:pPr>
                        <w:tabs>
                          <w:tab w:val="left" w:pos="426"/>
                        </w:tabs>
                        <w:jc w:val="center"/>
                        <w:rPr>
                          <w:iCs/>
                          <w:szCs w:val="24"/>
                        </w:rPr>
                      </w:pPr>
                      <w:r>
                        <w:rPr>
                          <w:iCs/>
                          <w:szCs w:val="24"/>
                        </w:rPr>
                        <w:t xml:space="preserve">Didžiausia galima finansuojamoji dalis atsižvelgiant į valstybės pagalbos gavėjo statusą </w:t>
                      </w:r>
                    </w:p>
                  </w:tc>
                </w:tr>
                <w:tr w:rsidR="00F6024A">
                  <w:trPr>
                    <w:trHeight w:val="270"/>
                  </w:trPr>
                  <w:tc>
                    <w:tcPr>
                      <w:tcW w:w="675" w:type="dxa"/>
                      <w:vMerge/>
                      <w:tcBorders>
                        <w:left w:val="single" w:sz="4" w:space="0" w:color="auto"/>
                        <w:bottom w:val="single" w:sz="4" w:space="0" w:color="auto"/>
                        <w:right w:val="single" w:sz="4" w:space="0" w:color="auto"/>
                      </w:tcBorders>
                      <w:shd w:val="clear" w:color="auto" w:fill="E7E6E6" w:themeFill="background2"/>
                    </w:tcPr>
                    <w:p w:rsidR="00F6024A" w:rsidRDefault="00F6024A">
                      <w:pPr>
                        <w:rPr>
                          <w:iCs/>
                          <w:szCs w:val="24"/>
                        </w:rPr>
                      </w:pPr>
                    </w:p>
                  </w:tc>
                  <w:tc>
                    <w:tcPr>
                      <w:tcW w:w="1610" w:type="dxa"/>
                      <w:vMerge/>
                      <w:tcBorders>
                        <w:left w:val="single" w:sz="4" w:space="0" w:color="auto"/>
                        <w:bottom w:val="single" w:sz="4" w:space="0" w:color="auto"/>
                        <w:right w:val="single" w:sz="4" w:space="0" w:color="auto"/>
                      </w:tcBorders>
                      <w:shd w:val="clear" w:color="auto" w:fill="E7E6E6" w:themeFill="background2"/>
                      <w:vAlign w:val="center"/>
                      <w:hideMark/>
                    </w:tcPr>
                    <w:p w:rsidR="00F6024A" w:rsidRDefault="00F6024A">
                      <w:pPr>
                        <w:rPr>
                          <w:iCs/>
                          <w:szCs w:val="24"/>
                        </w:rPr>
                      </w:pPr>
                    </w:p>
                  </w:tc>
                  <w:tc>
                    <w:tcPr>
                      <w:tcW w:w="1418" w:type="dxa"/>
                      <w:vMerge/>
                      <w:tcBorders>
                        <w:left w:val="single" w:sz="4" w:space="0" w:color="auto"/>
                        <w:bottom w:val="single" w:sz="4" w:space="0" w:color="auto"/>
                        <w:right w:val="single" w:sz="4" w:space="0" w:color="auto"/>
                      </w:tcBorders>
                      <w:shd w:val="clear" w:color="auto" w:fill="E7E6E6" w:themeFill="background2"/>
                      <w:vAlign w:val="center"/>
                      <w:hideMark/>
                    </w:tcPr>
                    <w:p w:rsidR="00F6024A" w:rsidRDefault="00F6024A">
                      <w:pPr>
                        <w:rPr>
                          <w:iCs/>
                          <w:szCs w:val="24"/>
                        </w:rPr>
                      </w:pP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6024A" w:rsidRDefault="00F04FF7">
                      <w:pPr>
                        <w:tabs>
                          <w:tab w:val="left" w:pos="426"/>
                        </w:tabs>
                        <w:jc w:val="both"/>
                        <w:rPr>
                          <w:iCs/>
                          <w:szCs w:val="24"/>
                        </w:rPr>
                      </w:pPr>
                      <w:proofErr w:type="spellStart"/>
                      <w:r>
                        <w:rPr>
                          <w:iCs/>
                          <w:szCs w:val="24"/>
                        </w:rPr>
                        <w:t>Padidi-nama</w:t>
                      </w:r>
                      <w:proofErr w:type="spellEnd"/>
                      <w:r>
                        <w:rPr>
                          <w:iCs/>
                          <w:szCs w:val="24"/>
                        </w:rPr>
                        <w:t xml:space="preserve"> viduti-</w:t>
                      </w:r>
                      <w:proofErr w:type="spellStart"/>
                      <w:r>
                        <w:rPr>
                          <w:iCs/>
                          <w:szCs w:val="24"/>
                        </w:rPr>
                        <w:t>nėms</w:t>
                      </w:r>
                      <w:proofErr w:type="spellEnd"/>
                      <w:r>
                        <w:rPr>
                          <w:iCs/>
                          <w:szCs w:val="24"/>
                        </w:rPr>
                        <w:t xml:space="preserve"> įmonėms </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6024A" w:rsidRDefault="00F04FF7">
                      <w:pPr>
                        <w:tabs>
                          <w:tab w:val="left" w:pos="426"/>
                        </w:tabs>
                        <w:rPr>
                          <w:iCs/>
                          <w:szCs w:val="24"/>
                        </w:rPr>
                      </w:pPr>
                      <w:r>
                        <w:rPr>
                          <w:iCs/>
                          <w:szCs w:val="24"/>
                        </w:rPr>
                        <w:t xml:space="preserve">Padidinama labai mažoms įmonėms ir mažoms įmonėms </w:t>
                      </w: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6024A" w:rsidRDefault="00F04FF7">
                      <w:pPr>
                        <w:tabs>
                          <w:tab w:val="left" w:pos="426"/>
                        </w:tabs>
                        <w:rPr>
                          <w:iCs/>
                          <w:szCs w:val="24"/>
                        </w:rPr>
                      </w:pPr>
                      <w:r>
                        <w:rPr>
                          <w:iCs/>
                          <w:szCs w:val="24"/>
                        </w:rPr>
                        <w:t xml:space="preserve">Padidinama už veiksmingą bendradarbiavimą, jei atitinka </w:t>
                      </w:r>
                    </w:p>
                    <w:p w:rsidR="00F6024A" w:rsidRDefault="00F04FF7">
                      <w:pPr>
                        <w:tabs>
                          <w:tab w:val="left" w:pos="426"/>
                        </w:tabs>
                        <w:rPr>
                          <w:iCs/>
                          <w:szCs w:val="24"/>
                        </w:rPr>
                      </w:pPr>
                      <w:r>
                        <w:rPr>
                          <w:iCs/>
                          <w:szCs w:val="24"/>
                        </w:rPr>
                        <w:t xml:space="preserve">BBIR 25 straipsnio </w:t>
                      </w:r>
                      <w:r>
                        <w:rPr>
                          <w:iCs/>
                          <w:szCs w:val="24"/>
                        </w:rPr>
                        <w:t>6 dalies b punkto i papunktyje nurodytas sąlygas</w:t>
                      </w:r>
                    </w:p>
                  </w:tc>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tcPr>
                    <w:p w:rsidR="00F6024A" w:rsidRDefault="00F04FF7">
                      <w:pPr>
                        <w:tabs>
                          <w:tab w:val="left" w:pos="426"/>
                        </w:tabs>
                        <w:rPr>
                          <w:iCs/>
                          <w:szCs w:val="24"/>
                        </w:rPr>
                      </w:pPr>
                      <w:r>
                        <w:rPr>
                          <w:iCs/>
                          <w:szCs w:val="24"/>
                        </w:rPr>
                        <w:t xml:space="preserve">Vidutinė įmonė </w:t>
                      </w:r>
                    </w:p>
                  </w:tc>
                  <w:tc>
                    <w:tcPr>
                      <w:tcW w:w="1984" w:type="dxa"/>
                      <w:tcBorders>
                        <w:top w:val="single" w:sz="4" w:space="0" w:color="auto"/>
                        <w:left w:val="single" w:sz="4" w:space="0" w:color="auto"/>
                        <w:bottom w:val="single" w:sz="4" w:space="0" w:color="auto"/>
                        <w:right w:val="nil"/>
                      </w:tcBorders>
                      <w:shd w:val="clear" w:color="auto" w:fill="E7E6E6" w:themeFill="background2"/>
                    </w:tcPr>
                    <w:p w:rsidR="00F6024A" w:rsidRDefault="00F04FF7">
                      <w:pPr>
                        <w:tabs>
                          <w:tab w:val="left" w:pos="426"/>
                        </w:tabs>
                        <w:rPr>
                          <w:iCs/>
                          <w:szCs w:val="24"/>
                        </w:rPr>
                      </w:pPr>
                      <w:r>
                        <w:rPr>
                          <w:iCs/>
                          <w:szCs w:val="24"/>
                        </w:rPr>
                        <w:t xml:space="preserve">Labai maža įmonė ir maža įmonė </w:t>
                      </w:r>
                    </w:p>
                  </w:tc>
                  <w:tc>
                    <w:tcPr>
                      <w:tcW w:w="567" w:type="dxa"/>
                      <w:gridSpan w:val="2"/>
                      <w:tcBorders>
                        <w:top w:val="single" w:sz="4" w:space="0" w:color="auto"/>
                        <w:left w:val="nil"/>
                        <w:bottom w:val="single" w:sz="4" w:space="0" w:color="auto"/>
                        <w:right w:val="single" w:sz="4" w:space="0" w:color="auto"/>
                      </w:tcBorders>
                      <w:shd w:val="clear" w:color="auto" w:fill="E7E6E6" w:themeFill="background2"/>
                    </w:tcPr>
                    <w:p w:rsidR="00F6024A" w:rsidRDefault="00F6024A">
                      <w:pPr>
                        <w:tabs>
                          <w:tab w:val="left" w:pos="426"/>
                        </w:tabs>
                        <w:rPr>
                          <w:iCs/>
                          <w:szCs w:val="24"/>
                        </w:rPr>
                      </w:pPr>
                    </w:p>
                  </w:tc>
                </w:tr>
                <w:tr w:rsidR="00F6024A">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tcPr>
                    <w:p w:rsidR="00F6024A" w:rsidRDefault="00F04FF7">
                      <w:pPr>
                        <w:tabs>
                          <w:tab w:val="left" w:pos="426"/>
                        </w:tabs>
                        <w:jc w:val="both"/>
                        <w:rPr>
                          <w:iCs/>
                          <w:szCs w:val="24"/>
                        </w:rPr>
                      </w:pPr>
                      <w:r>
                        <w:rPr>
                          <w:iCs/>
                          <w:szCs w:val="24"/>
                        </w:rPr>
                        <w:t>1.</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6024A" w:rsidRDefault="00F04FF7">
                      <w:pPr>
                        <w:tabs>
                          <w:tab w:val="left" w:pos="426"/>
                        </w:tabs>
                        <w:jc w:val="both"/>
                        <w:rPr>
                          <w:iCs/>
                          <w:szCs w:val="24"/>
                        </w:rPr>
                      </w:pPr>
                      <w:r>
                        <w:rPr>
                          <w:iCs/>
                          <w:szCs w:val="24"/>
                        </w:rPr>
                        <w:t>Taikomieji moksliniai tyrimai</w:t>
                      </w:r>
                    </w:p>
                  </w:tc>
                  <w:tc>
                    <w:tcPr>
                      <w:tcW w:w="1418" w:type="dxa"/>
                      <w:tcBorders>
                        <w:top w:val="single" w:sz="4" w:space="0" w:color="auto"/>
                        <w:left w:val="single" w:sz="4" w:space="0" w:color="auto"/>
                        <w:bottom w:val="single" w:sz="4" w:space="0" w:color="auto"/>
                        <w:right w:val="single" w:sz="4" w:space="0" w:color="auto"/>
                      </w:tcBorders>
                      <w:hideMark/>
                    </w:tcPr>
                    <w:p w:rsidR="00F6024A" w:rsidRDefault="00F04FF7">
                      <w:pPr>
                        <w:tabs>
                          <w:tab w:val="left" w:pos="426"/>
                        </w:tabs>
                        <w:jc w:val="both"/>
                        <w:rPr>
                          <w:iCs/>
                          <w:szCs w:val="24"/>
                        </w:rPr>
                      </w:pPr>
                      <w:r>
                        <w:rPr>
                          <w:iCs/>
                          <w:szCs w:val="24"/>
                        </w:rPr>
                        <w:t>50 proc.</w:t>
                      </w:r>
                    </w:p>
                  </w:tc>
                  <w:tc>
                    <w:tcPr>
                      <w:tcW w:w="1275" w:type="dxa"/>
                      <w:tcBorders>
                        <w:top w:val="single" w:sz="4" w:space="0" w:color="auto"/>
                        <w:left w:val="single" w:sz="4" w:space="0" w:color="auto"/>
                        <w:bottom w:val="single" w:sz="4" w:space="0" w:color="auto"/>
                        <w:right w:val="single" w:sz="4" w:space="0" w:color="auto"/>
                      </w:tcBorders>
                      <w:hideMark/>
                    </w:tcPr>
                    <w:p w:rsidR="00F6024A" w:rsidRDefault="00F04FF7">
                      <w:pPr>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rsidR="00F6024A" w:rsidRDefault="00F04FF7">
                      <w:pPr>
                        <w:rPr>
                          <w:iCs/>
                          <w:szCs w:val="24"/>
                        </w:rPr>
                      </w:pPr>
                      <w:r>
                        <w:rPr>
                          <w:iCs/>
                          <w:szCs w:val="24"/>
                        </w:rPr>
                        <w:t>20 procentinių punktų</w:t>
                      </w:r>
                    </w:p>
                  </w:tc>
                  <w:tc>
                    <w:tcPr>
                      <w:tcW w:w="2268" w:type="dxa"/>
                      <w:tcBorders>
                        <w:top w:val="single" w:sz="4" w:space="0" w:color="auto"/>
                        <w:left w:val="single" w:sz="4" w:space="0" w:color="auto"/>
                        <w:bottom w:val="single" w:sz="4" w:space="0" w:color="auto"/>
                        <w:right w:val="single" w:sz="4" w:space="0" w:color="auto"/>
                      </w:tcBorders>
                      <w:hideMark/>
                    </w:tcPr>
                    <w:p w:rsidR="00F6024A" w:rsidRDefault="00F04FF7">
                      <w:pPr>
                        <w:rPr>
                          <w:iCs/>
                          <w:szCs w:val="24"/>
                        </w:rPr>
                      </w:pPr>
                      <w:r>
                        <w:rPr>
                          <w:iCs/>
                          <w:szCs w:val="24"/>
                        </w:rPr>
                        <w:t xml:space="preserve">15 procentinių punktų </w:t>
                      </w:r>
                    </w:p>
                  </w:tc>
                  <w:tc>
                    <w:tcPr>
                      <w:tcW w:w="2552" w:type="dxa"/>
                      <w:tcBorders>
                        <w:top w:val="single" w:sz="4" w:space="0" w:color="auto"/>
                        <w:left w:val="single" w:sz="4" w:space="0" w:color="auto"/>
                        <w:bottom w:val="single" w:sz="4" w:space="0" w:color="auto"/>
                        <w:right w:val="single" w:sz="4" w:space="0" w:color="auto"/>
                      </w:tcBorders>
                    </w:tcPr>
                    <w:p w:rsidR="00F6024A" w:rsidRDefault="00F04FF7">
                      <w:pPr>
                        <w:tabs>
                          <w:tab w:val="left" w:pos="426"/>
                        </w:tabs>
                        <w:jc w:val="both"/>
                        <w:rPr>
                          <w:iCs/>
                          <w:szCs w:val="24"/>
                        </w:rPr>
                      </w:pPr>
                      <w:r>
                        <w:rPr>
                          <w:iCs/>
                          <w:szCs w:val="24"/>
                        </w:rPr>
                        <w:t>75 proc.</w:t>
                      </w:r>
                    </w:p>
                  </w:tc>
                  <w:tc>
                    <w:tcPr>
                      <w:tcW w:w="1984" w:type="dxa"/>
                      <w:tcBorders>
                        <w:top w:val="single" w:sz="4" w:space="0" w:color="auto"/>
                        <w:left w:val="single" w:sz="4" w:space="0" w:color="auto"/>
                        <w:bottom w:val="single" w:sz="4" w:space="0" w:color="auto"/>
                        <w:right w:val="nil"/>
                      </w:tcBorders>
                    </w:tcPr>
                    <w:p w:rsidR="00F6024A" w:rsidRDefault="00F04FF7">
                      <w:pPr>
                        <w:tabs>
                          <w:tab w:val="left" w:pos="426"/>
                        </w:tabs>
                        <w:jc w:val="both"/>
                        <w:rPr>
                          <w:iCs/>
                          <w:szCs w:val="24"/>
                        </w:rPr>
                      </w:pPr>
                      <w:r>
                        <w:rPr>
                          <w:iCs/>
                          <w:szCs w:val="24"/>
                        </w:rPr>
                        <w:t>80 proc.</w:t>
                      </w:r>
                    </w:p>
                  </w:tc>
                  <w:tc>
                    <w:tcPr>
                      <w:tcW w:w="567" w:type="dxa"/>
                      <w:gridSpan w:val="2"/>
                      <w:tcBorders>
                        <w:top w:val="single" w:sz="4" w:space="0" w:color="auto"/>
                        <w:left w:val="nil"/>
                        <w:bottom w:val="single" w:sz="4" w:space="0" w:color="auto"/>
                        <w:right w:val="single" w:sz="4" w:space="0" w:color="auto"/>
                      </w:tcBorders>
                    </w:tcPr>
                    <w:p w:rsidR="00F6024A" w:rsidRDefault="00F6024A">
                      <w:pPr>
                        <w:tabs>
                          <w:tab w:val="left" w:pos="426"/>
                        </w:tabs>
                        <w:jc w:val="both"/>
                        <w:rPr>
                          <w:iCs/>
                          <w:szCs w:val="24"/>
                        </w:rPr>
                      </w:pPr>
                    </w:p>
                  </w:tc>
                </w:tr>
                <w:tr w:rsidR="00F6024A">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tcPr>
                    <w:p w:rsidR="00F6024A" w:rsidRDefault="00F04FF7">
                      <w:pPr>
                        <w:tabs>
                          <w:tab w:val="left" w:pos="426"/>
                        </w:tabs>
                        <w:jc w:val="both"/>
                        <w:rPr>
                          <w:iCs/>
                          <w:szCs w:val="24"/>
                        </w:rPr>
                      </w:pPr>
                      <w:r>
                        <w:rPr>
                          <w:iCs/>
                          <w:szCs w:val="24"/>
                        </w:rPr>
                        <w:lastRenderedPageBreak/>
                        <w:t>2.</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F6024A" w:rsidRDefault="00F04FF7">
                      <w:pPr>
                        <w:tabs>
                          <w:tab w:val="left" w:pos="426"/>
                        </w:tabs>
                        <w:jc w:val="both"/>
                        <w:rPr>
                          <w:iCs/>
                          <w:szCs w:val="24"/>
                        </w:rPr>
                      </w:pPr>
                      <w:proofErr w:type="spellStart"/>
                      <w:r>
                        <w:rPr>
                          <w:iCs/>
                          <w:szCs w:val="24"/>
                        </w:rPr>
                        <w:t>Eksperi-mentinė</w:t>
                      </w:r>
                      <w:proofErr w:type="spellEnd"/>
                      <w:r>
                        <w:rPr>
                          <w:iCs/>
                          <w:szCs w:val="24"/>
                        </w:rPr>
                        <w:t xml:space="preserve"> plėtra </w:t>
                      </w:r>
                    </w:p>
                  </w:tc>
                  <w:tc>
                    <w:tcPr>
                      <w:tcW w:w="1418" w:type="dxa"/>
                      <w:tcBorders>
                        <w:top w:val="single" w:sz="4" w:space="0" w:color="auto"/>
                        <w:left w:val="single" w:sz="4" w:space="0" w:color="auto"/>
                        <w:bottom w:val="single" w:sz="4" w:space="0" w:color="auto"/>
                        <w:right w:val="single" w:sz="4" w:space="0" w:color="auto"/>
                      </w:tcBorders>
                      <w:hideMark/>
                    </w:tcPr>
                    <w:p w:rsidR="00F6024A" w:rsidRDefault="00F04FF7">
                      <w:pPr>
                        <w:tabs>
                          <w:tab w:val="left" w:pos="426"/>
                        </w:tabs>
                        <w:jc w:val="both"/>
                        <w:rPr>
                          <w:iCs/>
                          <w:szCs w:val="24"/>
                        </w:rPr>
                      </w:pPr>
                      <w:r>
                        <w:rPr>
                          <w:iCs/>
                          <w:szCs w:val="24"/>
                        </w:rPr>
                        <w:t>25 proc.</w:t>
                      </w:r>
                    </w:p>
                  </w:tc>
                  <w:tc>
                    <w:tcPr>
                      <w:tcW w:w="1275" w:type="dxa"/>
                      <w:tcBorders>
                        <w:top w:val="single" w:sz="4" w:space="0" w:color="auto"/>
                        <w:left w:val="single" w:sz="4" w:space="0" w:color="auto"/>
                        <w:bottom w:val="single" w:sz="4" w:space="0" w:color="auto"/>
                        <w:right w:val="single" w:sz="4" w:space="0" w:color="auto"/>
                      </w:tcBorders>
                      <w:hideMark/>
                    </w:tcPr>
                    <w:p w:rsidR="00F6024A" w:rsidRDefault="00F04FF7">
                      <w:pPr>
                        <w:tabs>
                          <w:tab w:val="left" w:pos="426"/>
                        </w:tabs>
                        <w:jc w:val="both"/>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rsidR="00F6024A" w:rsidRDefault="00F04FF7">
                      <w:pPr>
                        <w:tabs>
                          <w:tab w:val="left" w:pos="426"/>
                        </w:tabs>
                        <w:jc w:val="both"/>
                        <w:rPr>
                          <w:iCs/>
                          <w:szCs w:val="24"/>
                        </w:rPr>
                      </w:pPr>
                      <w:r>
                        <w:rPr>
                          <w:iCs/>
                          <w:szCs w:val="24"/>
                        </w:rPr>
                        <w:t xml:space="preserve">20 procentinių punktų </w:t>
                      </w:r>
                    </w:p>
                  </w:tc>
                  <w:tc>
                    <w:tcPr>
                      <w:tcW w:w="2268" w:type="dxa"/>
                      <w:tcBorders>
                        <w:top w:val="single" w:sz="4" w:space="0" w:color="auto"/>
                        <w:left w:val="single" w:sz="4" w:space="0" w:color="auto"/>
                        <w:bottom w:val="single" w:sz="4" w:space="0" w:color="auto"/>
                        <w:right w:val="single" w:sz="4" w:space="0" w:color="auto"/>
                      </w:tcBorders>
                      <w:hideMark/>
                    </w:tcPr>
                    <w:p w:rsidR="00F6024A" w:rsidRDefault="00F04FF7">
                      <w:pPr>
                        <w:tabs>
                          <w:tab w:val="left" w:pos="426"/>
                        </w:tabs>
                        <w:jc w:val="both"/>
                        <w:rPr>
                          <w:iCs/>
                          <w:szCs w:val="24"/>
                        </w:rPr>
                      </w:pPr>
                      <w:r>
                        <w:rPr>
                          <w:iCs/>
                          <w:szCs w:val="24"/>
                        </w:rPr>
                        <w:t xml:space="preserve">15 procentinių punktų </w:t>
                      </w:r>
                    </w:p>
                  </w:tc>
                  <w:tc>
                    <w:tcPr>
                      <w:tcW w:w="2552" w:type="dxa"/>
                      <w:tcBorders>
                        <w:top w:val="single" w:sz="4" w:space="0" w:color="auto"/>
                        <w:left w:val="single" w:sz="4" w:space="0" w:color="auto"/>
                        <w:bottom w:val="single" w:sz="4" w:space="0" w:color="auto"/>
                        <w:right w:val="single" w:sz="4" w:space="0" w:color="auto"/>
                      </w:tcBorders>
                    </w:tcPr>
                    <w:p w:rsidR="00F6024A" w:rsidRDefault="00F04FF7">
                      <w:pPr>
                        <w:tabs>
                          <w:tab w:val="left" w:pos="426"/>
                        </w:tabs>
                        <w:jc w:val="both"/>
                        <w:rPr>
                          <w:iCs/>
                          <w:szCs w:val="24"/>
                        </w:rPr>
                      </w:pPr>
                      <w:r>
                        <w:rPr>
                          <w:iCs/>
                          <w:szCs w:val="24"/>
                        </w:rPr>
                        <w:t>50 proc.</w:t>
                      </w:r>
                    </w:p>
                  </w:tc>
                  <w:tc>
                    <w:tcPr>
                      <w:tcW w:w="1984" w:type="dxa"/>
                      <w:tcBorders>
                        <w:top w:val="single" w:sz="4" w:space="0" w:color="auto"/>
                        <w:left w:val="single" w:sz="4" w:space="0" w:color="auto"/>
                        <w:bottom w:val="single" w:sz="4" w:space="0" w:color="auto"/>
                        <w:right w:val="nil"/>
                      </w:tcBorders>
                    </w:tcPr>
                    <w:p w:rsidR="00F6024A" w:rsidRDefault="00F04FF7">
                      <w:pPr>
                        <w:tabs>
                          <w:tab w:val="left" w:pos="426"/>
                        </w:tabs>
                        <w:jc w:val="both"/>
                        <w:rPr>
                          <w:iCs/>
                          <w:szCs w:val="24"/>
                        </w:rPr>
                      </w:pPr>
                      <w:r>
                        <w:rPr>
                          <w:iCs/>
                          <w:szCs w:val="24"/>
                        </w:rPr>
                        <w:t>60 proc.</w:t>
                      </w:r>
                    </w:p>
                  </w:tc>
                  <w:tc>
                    <w:tcPr>
                      <w:tcW w:w="567" w:type="dxa"/>
                      <w:gridSpan w:val="2"/>
                      <w:tcBorders>
                        <w:top w:val="single" w:sz="4" w:space="0" w:color="auto"/>
                        <w:left w:val="nil"/>
                        <w:bottom w:val="single" w:sz="4" w:space="0" w:color="auto"/>
                        <w:right w:val="single" w:sz="4" w:space="0" w:color="auto"/>
                      </w:tcBorders>
                    </w:tcPr>
                    <w:p w:rsidR="00F6024A" w:rsidRDefault="00F6024A">
                      <w:pPr>
                        <w:tabs>
                          <w:tab w:val="left" w:pos="426"/>
                        </w:tabs>
                        <w:jc w:val="both"/>
                        <w:rPr>
                          <w:iCs/>
                          <w:szCs w:val="24"/>
                        </w:rPr>
                      </w:pPr>
                    </w:p>
                  </w:tc>
                </w:tr>
              </w:tbl>
              <w:p w:rsidR="00F6024A" w:rsidRDefault="00F04FF7">
                <w:pPr>
                  <w:jc w:val="both"/>
                </w:pPr>
                <w:r>
                  <w:t xml:space="preserve">5.6. Nustačius, kad teikiamas finansavimas yra valstybės pagalba, Administruojančioji institucija pildo </w:t>
                </w:r>
                <w:r>
                  <w:rPr>
                    <w:color w:val="000000"/>
                  </w:rPr>
                  <w:t xml:space="preserve">Atitikties valstybės pagalbos taisyklėms patikros </w:t>
                </w:r>
                <w:r>
                  <w:rPr>
                    <w:color w:val="000000"/>
                  </w:rPr>
                  <w:t>lapą, kurio forma patvirtinta Aprašo 3 priede</w:t>
                </w:r>
                <w:r>
                  <w:t>.</w:t>
                </w:r>
              </w:p>
              <w:p w:rsidR="00F6024A" w:rsidRDefault="00F04FF7">
                <w:pPr>
                  <w:jc w:val="both"/>
                  <w:rPr>
                    <w:szCs w:val="24"/>
                  </w:rPr>
                </w:pPr>
                <w:r>
                  <w:rPr>
                    <w:szCs w:val="24"/>
                  </w:rPr>
                  <w:t>5.7. Valstybės pagalba neteikiama:</w:t>
                </w:r>
              </w:p>
              <w:p w:rsidR="00F6024A" w:rsidRDefault="00F04FF7">
                <w:pPr>
                  <w:jc w:val="both"/>
                  <w:rPr>
                    <w:szCs w:val="24"/>
                  </w:rPr>
                </w:pPr>
                <w:r>
                  <w:rPr>
                    <w:szCs w:val="24"/>
                  </w:rPr>
                  <w:t>5.7.1. sunkumus patiriančioms įmonėms, kaip apibrėžta BBIR I skyriaus 2 straipsnio 18 punkte;</w:t>
                </w:r>
              </w:p>
              <w:p w:rsidR="00F6024A" w:rsidRDefault="00F04FF7">
                <w:pPr>
                  <w:jc w:val="both"/>
                  <w:rPr>
                    <w:szCs w:val="24"/>
                  </w:rPr>
                </w:pPr>
                <w:r>
                  <w:rPr>
                    <w:szCs w:val="24"/>
                  </w:rPr>
                  <w:t>5.7.2. ūkio subjektams, kuriems išduotas vykdomasis raštas sumoms išieškoti paga</w:t>
                </w:r>
                <w:r>
                  <w:rPr>
                    <w:szCs w:val="24"/>
                  </w:rPr>
                  <w:t>l ankstesnį Europos Komisijos sprendimą, kuriame pagalba skelbiama neteisėta ir nesuderinama su vidaus rinka. Nauja valstybės pagalba negali būti teikiama iki nebus sugrąžinta neteisėta ir nesuderinama su vidaus rinka gauta valstybės pagalba;</w:t>
                </w:r>
              </w:p>
              <w:p w:rsidR="00F6024A" w:rsidRDefault="00F04FF7">
                <w:pPr>
                  <w:jc w:val="both"/>
                  <w:rPr>
                    <w:szCs w:val="24"/>
                  </w:rPr>
                </w:pPr>
                <w:r>
                  <w:rPr>
                    <w:szCs w:val="24"/>
                  </w:rPr>
                  <w:t>5.7.3. jei ji</w:t>
                </w:r>
                <w:r>
                  <w:rPr>
                    <w:szCs w:val="24"/>
                  </w:rPr>
                  <w:t xml:space="preserve"> neturi skatinamojo poveikio, nustatyto BBIR 6 straipsnyje.</w:t>
                </w:r>
              </w:p>
              <w:p w:rsidR="00F6024A" w:rsidRDefault="00F04FF7">
                <w:pPr>
                  <w:jc w:val="both"/>
                  <w:rPr>
                    <w:szCs w:val="24"/>
                  </w:rPr>
                </w:pPr>
                <w:r>
                  <w:rPr>
                    <w:szCs w:val="24"/>
                  </w:rPr>
                  <w:t>5.8. Valstybės pagalba, kurios tinkamas finansuoti išlaidas galima nustatyti ir kuriai pagal BBIR taikoma išimtis, gali būti sumuojama su:</w:t>
                </w:r>
              </w:p>
              <w:p w:rsidR="00F6024A" w:rsidRDefault="00F04FF7">
                <w:pPr>
                  <w:jc w:val="both"/>
                  <w:rPr>
                    <w:szCs w:val="24"/>
                  </w:rPr>
                </w:pPr>
                <w:r>
                  <w:rPr>
                    <w:szCs w:val="24"/>
                  </w:rPr>
                  <w:t xml:space="preserve">5.8.1. bet kokia kita valstybės pagalba, jei tos veiklos </w:t>
                </w:r>
                <w:r>
                  <w:rPr>
                    <w:szCs w:val="24"/>
                  </w:rPr>
                  <w:t>yra susijusios su skirtingomis tinkamomis finansuoti išlaidomis, kurias galima nustatyti;</w:t>
                </w:r>
              </w:p>
              <w:p w:rsidR="00F6024A" w:rsidRDefault="00F04FF7">
                <w:pPr>
                  <w:jc w:val="both"/>
                  <w:rPr>
                    <w:szCs w:val="24"/>
                  </w:rPr>
                </w:pPr>
                <w:r>
                  <w:rPr>
                    <w:szCs w:val="24"/>
                  </w:rPr>
                  <w:t>5.8.2. bet kokia kita valstybės pagalba, susijusia su tomis pačiomis tinkamomis finansuoti išlaidomis, kurios iš dalies arba visiškai sutampa, tik jeigu taip susumavu</w:t>
                </w:r>
                <w:r>
                  <w:rPr>
                    <w:szCs w:val="24"/>
                  </w:rPr>
                  <w:t>s neviršijamas didžiausias pagalbos intensyvumas ar pagalbos suma pagal BBIR, taikoma tai valstybės pagalbai.</w:t>
                </w:r>
              </w:p>
              <w:p w:rsidR="00F6024A" w:rsidRDefault="00F04FF7">
                <w:pPr>
                  <w:jc w:val="both"/>
                  <w:rPr>
                    <w:szCs w:val="24"/>
                  </w:rPr>
                </w:pPr>
                <w:r>
                  <w:rPr>
                    <w:szCs w:val="24"/>
                  </w:rPr>
                  <w:t xml:space="preserve">5.9.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w:t>
                </w:r>
                <w:r>
                  <w:rPr>
                    <w:szCs w:val="24"/>
                  </w:rPr>
                  <w:t>oti išlaidomis, jei susumavus būtų viršytas pagalbos intensyvumas, kaip nustatyta BBIR 8 straipsnio 5 dalyje.</w:t>
                </w:r>
              </w:p>
              <w:p w:rsidR="00F6024A" w:rsidRDefault="00F04FF7">
                <w:pPr>
                  <w:jc w:val="both"/>
                  <w:rPr>
                    <w:szCs w:val="24"/>
                  </w:rPr>
                </w:pPr>
                <w:r>
                  <w:rPr>
                    <w:szCs w:val="24"/>
                  </w:rPr>
                  <w:t>5.10. Administruojančioji institucija PĮP vertinimo metu patikrina Pareiškėjo teisę gauti valstybės pagalbą pagal BBIR ir, priėmusi sprendimą fina</w:t>
                </w:r>
                <w:r>
                  <w:rPr>
                    <w:szCs w:val="24"/>
                  </w:rPr>
                  <w:t>nsuoti projektą, per 20 (dvidešimt) darbo dienų registruoja suteiktos valstybės pagalbos sumą Suteiktos valstybės pagalbos ir nereikšmingos (</w:t>
                </w:r>
                <w:r>
                  <w:rPr>
                    <w:i/>
                    <w:iCs/>
                    <w:szCs w:val="24"/>
                  </w:rPr>
                  <w:t xml:space="preserve">de </w:t>
                </w:r>
                <w:proofErr w:type="spellStart"/>
                <w:r>
                  <w:rPr>
                    <w:i/>
                    <w:iCs/>
                    <w:szCs w:val="24"/>
                  </w:rPr>
                  <w:t>minimis</w:t>
                </w:r>
                <w:proofErr w:type="spellEnd"/>
                <w:r>
                  <w:rPr>
                    <w:szCs w:val="24"/>
                  </w:rPr>
                  <w:t>) pagalbos registre, kurio nuostatai patvirtinti Lietuvos Respublikos Vyriausybės 2005 m. sausio 19 d. nu</w:t>
                </w:r>
                <w:r>
                  <w:rPr>
                    <w:szCs w:val="24"/>
                  </w:rPr>
                  <w:t>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w:t>
                </w:r>
              </w:p>
              <w:p w:rsidR="00F6024A" w:rsidRDefault="00F04FF7">
                <w:pPr>
                  <w:jc w:val="both"/>
                  <w:rPr>
                    <w:szCs w:val="24"/>
                  </w:rPr>
                </w:pPr>
                <w:r>
                  <w:rPr>
                    <w:szCs w:val="24"/>
                  </w:rPr>
                  <w:t>5.11. Projekto vykdytojas ir Partneriai turi užtikrinti, kad projekto įgyvendinimo metu ir naudojant projekto metu sukurtus rezultatus n</w:t>
                </w:r>
                <w:r>
                  <w:rPr>
                    <w:szCs w:val="24"/>
                  </w:rPr>
                  <w:t>ebus teikiama netiesioginė valstybės pagalba kitiems juridiniams asmenims.</w:t>
                </w:r>
              </w:p>
              <w:p w:rsidR="00F6024A" w:rsidRDefault="00F04FF7">
                <w:pPr>
                  <w:jc w:val="both"/>
                  <w:rPr>
                    <w:szCs w:val="24"/>
                  </w:rPr>
                </w:pPr>
                <w:r>
                  <w:rPr>
                    <w:szCs w:val="24"/>
                  </w:rPr>
                  <w:t xml:space="preserve">5.12. Laikoma, kad netiesioginė valstybės pagalba kitiems juridiniams asmenims neperduodama, jeigu atitinka bent viena iš šių sąlygų: </w:t>
                </w:r>
              </w:p>
              <w:p w:rsidR="00F6024A" w:rsidRDefault="00F04FF7">
                <w:pPr>
                  <w:jc w:val="both"/>
                  <w:rPr>
                    <w:szCs w:val="24"/>
                  </w:rPr>
                </w:pPr>
                <w:r>
                  <w:rPr>
                    <w:szCs w:val="24"/>
                  </w:rPr>
                  <w:t>5.12.1. visos intelektinės nuosavybės teisės į</w:t>
                </w:r>
                <w:r>
                  <w:rPr>
                    <w:szCs w:val="24"/>
                  </w:rPr>
                  <w:t xml:space="preserve"> MTEP, susijusios su veikla projekte, yra visiškai suteikiamos šiems subjektams, t. y. jie gauna visą šių teisių teikiamą ekonominę naudą ir pasilieka teisę jomis visomis naudotis, ypač nuosavybės teise ir licencijos teise; šios sąlygos taip pat gali būti </w:t>
                </w:r>
                <w:r>
                  <w:rPr>
                    <w:szCs w:val="24"/>
                  </w:rPr>
                  <w:t xml:space="preserve">įvykdytos, jeigu nusprendžia toliau sudaryti sutartis dėl šių teisių, įskaitant jų licencijavimą bendradarbiavimo partneriui (rezultatai, kuriems netaikomos intelektinės nuosavybės teisės, gali būti plačiai skleidžiami); </w:t>
                </w:r>
              </w:p>
              <w:p w:rsidR="00F6024A" w:rsidRDefault="00F04FF7">
                <w:pPr>
                  <w:jc w:val="both"/>
                  <w:rPr>
                    <w:szCs w:val="24"/>
                  </w:rPr>
                </w:pPr>
                <w:r>
                  <w:rPr>
                    <w:szCs w:val="24"/>
                  </w:rPr>
                  <w:t>5.12.2. kai gauna juridinio asmens</w:t>
                </w:r>
                <w:r>
                  <w:rPr>
                    <w:szCs w:val="24"/>
                  </w:rPr>
                  <w:t xml:space="preserve"> kompensaciją, lygią intelektinės nuosavybės teisių, kurios yra susijusios su šių subjektų veikla įgyvendinant projektą ir kurios perduodamos juridiniams asmenims, rinkos kaina, t. y. kompensaciją už visą tų teisių teikiamą ekonominę naudą; vadovaujantis b</w:t>
                </w:r>
                <w:r>
                  <w:rPr>
                    <w:szCs w:val="24"/>
                  </w:rPr>
                  <w:t>endraisiais valstybės pagalbos principais ir atsižvelgiant į tai, kad intelektinės nuosavybės teisių rinkos kainą objektyviai nustatyti sunku, ši sąlyga laikoma įvykdyta, jeigu ne valstybės pagalbos gavėjas, kaip pardavėjas, derėsis, kad gautų didžiausią n</w:t>
                </w:r>
                <w:r>
                  <w:rPr>
                    <w:szCs w:val="24"/>
                  </w:rPr>
                  <w:t xml:space="preserve">audą sutarties sudarymo metu. Bet kuris juridinio asmens įnašas dengiant ne valstybės pagalbos gavėjo sąnaudas yra atimamas iš tokios kompensacijos. </w:t>
                </w:r>
              </w:p>
              <w:p w:rsidR="00F6024A" w:rsidRDefault="00F04FF7">
                <w:pPr>
                  <w:jc w:val="both"/>
                  <w:rPr>
                    <w:szCs w:val="24"/>
                  </w:rPr>
                </w:pPr>
                <w:r>
                  <w:rPr>
                    <w:szCs w:val="24"/>
                  </w:rPr>
                  <w:t>5.13. Visi su projekto ir „</w:t>
                </w:r>
                <w:proofErr w:type="spellStart"/>
                <w:r>
                  <w:rPr>
                    <w:szCs w:val="24"/>
                  </w:rPr>
                  <w:t>Eureka</w:t>
                </w:r>
                <w:proofErr w:type="spellEnd"/>
                <w:r>
                  <w:rPr>
                    <w:szCs w:val="24"/>
                  </w:rPr>
                  <w:t>“ projektų įgyvendinimu susiję dokumentai Pareiškėjo ir Partnerių turi bū</w:t>
                </w:r>
                <w:r>
                  <w:rPr>
                    <w:szCs w:val="24"/>
                  </w:rPr>
                  <w:t>ti saugomi PAFT VIII skyriaus šeštajame skirsnyje nustatyta tvarka ir terminais.</w:t>
                </w:r>
              </w:p>
              <w:p w:rsidR="00F6024A" w:rsidRDefault="00F6024A">
                <w:pPr>
                  <w:jc w:val="both"/>
                  <w:rPr>
                    <w:szCs w:val="24"/>
                  </w:rPr>
                </w:pPr>
              </w:p>
            </w:tc>
          </w:tr>
          <w:tr w:rsidR="00F6024A">
            <w:tc>
              <w:tcPr>
                <w:tcW w:w="14709" w:type="dxa"/>
              </w:tcPr>
              <w:p w:rsidR="00F6024A" w:rsidRDefault="00F04FF7">
                <w:pPr>
                  <w:ind w:left="426" w:hanging="426"/>
                  <w:jc w:val="both"/>
                  <w:rPr>
                    <w:i/>
                    <w:iCs/>
                    <w:szCs w:val="24"/>
                  </w:rPr>
                </w:pPr>
                <w:r>
                  <w:rPr>
                    <w:b/>
                    <w:bCs/>
                    <w:szCs w:val="24"/>
                  </w:rPr>
                  <w:lastRenderedPageBreak/>
                  <w:t>6. Projektų atrankos kriterijai</w:t>
                </w:r>
              </w:p>
            </w:tc>
          </w:tr>
          <w:tr w:rsidR="00F6024A">
            <w:trPr>
              <w:trHeight w:val="676"/>
            </w:trPr>
            <w:tc>
              <w:tcPr>
                <w:tcW w:w="14709" w:type="dxa"/>
              </w:tcPr>
              <w:p w:rsidR="00F6024A" w:rsidRDefault="00F04FF7">
                <w:pPr>
                  <w:jc w:val="both"/>
                  <w:rPr>
                    <w:color w:val="000000"/>
                    <w:szCs w:val="24"/>
                    <w:shd w:val="clear" w:color="auto" w:fill="FFFFFF"/>
                  </w:rPr>
                </w:pPr>
                <w:r>
                  <w:rPr>
                    <w:color w:val="000000"/>
                    <w:szCs w:val="24"/>
                    <w:shd w:val="clear" w:color="auto" w:fill="FFFFFF"/>
                  </w:rPr>
                  <w:t xml:space="preserve">Projekto atranka vykdoma planavimo būdu, todėl </w:t>
                </w:r>
                <w:r>
                  <w:rPr>
                    <w:szCs w:val="24"/>
                  </w:rPr>
                  <w:t>specialieji ir prioritetiniai projektų atrankos kriterijai nėra nustatomi.</w:t>
                </w:r>
              </w:p>
            </w:tc>
          </w:tr>
          <w:tr w:rsidR="00F6024A">
            <w:tc>
              <w:tcPr>
                <w:tcW w:w="14709" w:type="dxa"/>
              </w:tcPr>
              <w:p w:rsidR="00F6024A" w:rsidRDefault="00F04FF7">
                <w:pPr>
                  <w:rPr>
                    <w:b/>
                    <w:bCs/>
                    <w:szCs w:val="24"/>
                  </w:rPr>
                </w:pPr>
                <w:r>
                  <w:rPr>
                    <w:b/>
                    <w:bCs/>
                    <w:szCs w:val="24"/>
                  </w:rPr>
                  <w:t xml:space="preserve">7. Reikalavimai įgyvendinus projektų veiklas </w:t>
                </w:r>
              </w:p>
            </w:tc>
          </w:tr>
          <w:tr w:rsidR="00F6024A">
            <w:tc>
              <w:tcPr>
                <w:tcW w:w="14709" w:type="dxa"/>
              </w:tcPr>
              <w:p w:rsidR="00F6024A" w:rsidRDefault="00F04FF7">
                <w:pPr>
                  <w:rPr>
                    <w:szCs w:val="24"/>
                  </w:rPr>
                </w:pPr>
                <w:r>
                  <w:rPr>
                    <w:szCs w:val="24"/>
                  </w:rPr>
                  <w:t xml:space="preserve">Netaikoma. </w:t>
                </w:r>
              </w:p>
            </w:tc>
          </w:tr>
          <w:tr w:rsidR="00F6024A">
            <w:tc>
              <w:tcPr>
                <w:tcW w:w="14709" w:type="dxa"/>
              </w:tcPr>
              <w:p w:rsidR="00F6024A" w:rsidRDefault="00F04FF7">
                <w:pPr>
                  <w:rPr>
                    <w:b/>
                    <w:bCs/>
                    <w:szCs w:val="24"/>
                  </w:rPr>
                </w:pPr>
                <w:r>
                  <w:rPr>
                    <w:b/>
                    <w:bCs/>
                    <w:szCs w:val="24"/>
                  </w:rPr>
                  <w:t>8. Kiti reikalavimai</w:t>
                </w:r>
              </w:p>
            </w:tc>
          </w:tr>
          <w:tr w:rsidR="00F6024A">
            <w:tc>
              <w:tcPr>
                <w:tcW w:w="14709" w:type="dxa"/>
              </w:tcPr>
              <w:p w:rsidR="00F6024A" w:rsidRDefault="00F04FF7">
                <w:pPr>
                  <w:tabs>
                    <w:tab w:val="left" w:pos="1134"/>
                  </w:tabs>
                  <w:jc w:val="both"/>
                  <w:rPr>
                    <w:szCs w:val="24"/>
                  </w:rPr>
                </w:pPr>
                <w:r>
                  <w:rPr>
                    <w:szCs w:val="24"/>
                  </w:rPr>
                  <w:t>Aprašas gali būti keičiamas PAFT nustatyta tvarka.</w:t>
                </w:r>
              </w:p>
              <w:p w:rsidR="00F6024A" w:rsidRDefault="00F6024A">
                <w:pPr>
                  <w:tabs>
                    <w:tab w:val="left" w:pos="1134"/>
                  </w:tabs>
                  <w:jc w:val="both"/>
                  <w:rPr>
                    <w:szCs w:val="24"/>
                  </w:rPr>
                </w:pPr>
              </w:p>
            </w:tc>
          </w:tr>
          <w:tr w:rsidR="00F6024A">
            <w:tc>
              <w:tcPr>
                <w:tcW w:w="14709" w:type="dxa"/>
              </w:tcPr>
              <w:p w:rsidR="00F6024A" w:rsidRDefault="00F04FF7">
                <w:pPr>
                  <w:rPr>
                    <w:b/>
                    <w:bCs/>
                    <w:szCs w:val="24"/>
                  </w:rPr>
                </w:pPr>
                <w:r>
                  <w:rPr>
                    <w:b/>
                    <w:bCs/>
                    <w:szCs w:val="24"/>
                  </w:rPr>
                  <w:t>IŠLAIDŲ TINKAMUMO FINANSUOTI REIKALAVIMAI</w:t>
                </w:r>
              </w:p>
            </w:tc>
          </w:tr>
          <w:tr w:rsidR="00F6024A">
            <w:tc>
              <w:tcPr>
                <w:tcW w:w="14709" w:type="dxa"/>
              </w:tcPr>
              <w:p w:rsidR="00F6024A" w:rsidRDefault="00F04FF7">
                <w:pPr>
                  <w:jc w:val="both"/>
                  <w:rPr>
                    <w:b/>
                    <w:bCs/>
                    <w:szCs w:val="24"/>
                  </w:rPr>
                </w:pPr>
                <w:r>
                  <w:rPr>
                    <w:b/>
                    <w:bCs/>
                    <w:szCs w:val="24"/>
                  </w:rPr>
                  <w:t>9. Išlaidų tinkamumo finansuoti reikalavimai</w:t>
                </w:r>
              </w:p>
            </w:tc>
          </w:tr>
          <w:tr w:rsidR="00F6024A">
            <w:tc>
              <w:tcPr>
                <w:tcW w:w="14709" w:type="dxa"/>
              </w:tcPr>
              <w:p w:rsidR="00F6024A" w:rsidRDefault="00F6024A">
                <w:pPr>
                  <w:jc w:val="both"/>
                  <w:rPr>
                    <w:i/>
                    <w:iCs/>
                    <w:szCs w:val="24"/>
                  </w:rPr>
                </w:pPr>
              </w:p>
              <w:p w:rsidR="00F6024A" w:rsidRDefault="00F04FF7">
                <w:pPr>
                  <w:jc w:val="both"/>
                  <w:rPr>
                    <w:szCs w:val="24"/>
                  </w:rPr>
                </w:pPr>
                <w:r>
                  <w:rPr>
                    <w:szCs w:val="24"/>
                  </w:rPr>
                  <w:t xml:space="preserve">9.1. Planuojamos išlaidos turi </w:t>
                </w:r>
                <w:r>
                  <w:rPr>
                    <w:szCs w:val="24"/>
                  </w:rPr>
                  <w:t>atitikti PAFT VII skyriuje išdėstytus projektų išlaidoms taikomus reikalavimus.</w:t>
                </w:r>
              </w:p>
              <w:p w:rsidR="00F6024A" w:rsidRDefault="00F04FF7">
                <w:pPr>
                  <w:jc w:val="both"/>
                  <w:rPr>
                    <w:szCs w:val="24"/>
                  </w:rPr>
                </w:pPr>
                <w:r>
                  <w:rPr>
                    <w:szCs w:val="24"/>
                  </w:rPr>
                  <w:t>9.2. PĮP parengimo išlaidos nėra finansuojamos (išskyrus investicijų projekto parengimo išlaidas).</w:t>
                </w:r>
              </w:p>
              <w:p w:rsidR="00F6024A" w:rsidRDefault="00F04FF7">
                <w:pPr>
                  <w:jc w:val="both"/>
                  <w:rPr>
                    <w:szCs w:val="24"/>
                  </w:rPr>
                </w:pPr>
                <w:r>
                  <w:rPr>
                    <w:szCs w:val="24"/>
                  </w:rPr>
                  <w:t>9.3. PVM gali būti finansuojamas valstybės biudžeto lėšomis vadovaujantis PAF</w:t>
                </w:r>
                <w:r>
                  <w:rPr>
                    <w:szCs w:val="24"/>
                  </w:rPr>
                  <w:t>T VII skyriaus ketvirtajame skirsnyje nustatyta tvarka.</w:t>
                </w:r>
              </w:p>
              <w:p w:rsidR="00F6024A" w:rsidRDefault="00F04FF7">
                <w:pPr>
                  <w:jc w:val="both"/>
                  <w:rPr>
                    <w:szCs w:val="24"/>
                  </w:rPr>
                </w:pPr>
                <w:r>
                  <w:rPr>
                    <w:szCs w:val="24"/>
                  </w:rPr>
                  <w:t xml:space="preserve">9.4. Investicijų projekto parengimo išlaidos gali būti patirtos iki projekto sutarties pasirašymo, neprieštaraujant PAFT 294.2.2 papunkčio nuostatoms. </w:t>
                </w:r>
              </w:p>
              <w:p w:rsidR="00F6024A" w:rsidRDefault="00F04FF7">
                <w:pPr>
                  <w:tabs>
                    <w:tab w:val="left" w:pos="459"/>
                  </w:tabs>
                  <w:spacing w:line="256" w:lineRule="auto"/>
                  <w:jc w:val="both"/>
                  <w:rPr>
                    <w:color w:val="000000"/>
                    <w:szCs w:val="24"/>
                  </w:rPr>
                </w:pPr>
                <w:r>
                  <w:rPr>
                    <w:szCs w:val="24"/>
                  </w:rPr>
                  <w:t>9.5.</w:t>
                </w:r>
                <w:r>
                  <w:rPr>
                    <w:color w:val="000000"/>
                    <w:szCs w:val="24"/>
                  </w:rPr>
                  <w:t xml:space="preserve"> Finansavimo intensyvumas, kai teikiamas fin</w:t>
                </w:r>
                <w:r>
                  <w:rPr>
                    <w:color w:val="000000"/>
                    <w:szCs w:val="24"/>
                  </w:rPr>
                  <w:t xml:space="preserve">ansavimas nėra valstybės pagalba, gali sudaryti iki 100 proc. tinkamų finansuoti išlaidų. </w:t>
                </w:r>
              </w:p>
              <w:p w:rsidR="00F6024A" w:rsidRDefault="00F04FF7">
                <w:pPr>
                  <w:tabs>
                    <w:tab w:val="left" w:pos="459"/>
                    <w:tab w:val="left" w:pos="596"/>
                  </w:tabs>
                  <w:spacing w:line="256" w:lineRule="auto"/>
                  <w:jc w:val="both"/>
                  <w:rPr>
                    <w:szCs w:val="24"/>
                  </w:rPr>
                </w:pPr>
                <w:r>
                  <w:rPr>
                    <w:szCs w:val="24"/>
                  </w:rPr>
                  <w:t>9.6. Partneris ir Partnerio partneris savo iniciatyva ir savo ir (arba) kitų šaltinių lėšomis gali prisidėti prie „</w:t>
                </w:r>
                <w:proofErr w:type="spellStart"/>
                <w:r>
                  <w:rPr>
                    <w:szCs w:val="24"/>
                  </w:rPr>
                  <w:t>Eureka</w:t>
                </w:r>
                <w:proofErr w:type="spellEnd"/>
                <w:r>
                  <w:rPr>
                    <w:szCs w:val="24"/>
                  </w:rPr>
                  <w:t>“ projekto įgyvendinimo.</w:t>
                </w:r>
              </w:p>
              <w:p w:rsidR="00F6024A" w:rsidRDefault="00F04FF7">
                <w:pPr>
                  <w:tabs>
                    <w:tab w:val="left" w:pos="459"/>
                    <w:tab w:val="left" w:pos="596"/>
                  </w:tabs>
                  <w:spacing w:line="256" w:lineRule="auto"/>
                  <w:jc w:val="both"/>
                  <w:rPr>
                    <w:szCs w:val="24"/>
                  </w:rPr>
                </w:pPr>
                <w:r>
                  <w:rPr>
                    <w:szCs w:val="24"/>
                  </w:rPr>
                  <w:t xml:space="preserve">9.7. Projekto tinkamų finansuoti išlaidų dalis, kurios nepadengia projektui skiriamo finansavimo lėšos, turi būti finansuojama iš Projekto vykdytojo ar Partnerių, ar Partnerių </w:t>
                </w:r>
                <w:proofErr w:type="spellStart"/>
                <w:r>
                  <w:rPr>
                    <w:szCs w:val="24"/>
                  </w:rPr>
                  <w:t>partnerių</w:t>
                </w:r>
                <w:proofErr w:type="spellEnd"/>
                <w:r>
                  <w:rPr>
                    <w:szCs w:val="24"/>
                  </w:rPr>
                  <w:t xml:space="preserve"> lėšų. </w:t>
                </w:r>
              </w:p>
              <w:p w:rsidR="00F6024A" w:rsidRDefault="00F04FF7">
                <w:pPr>
                  <w:jc w:val="both"/>
                  <w:rPr>
                    <w:szCs w:val="24"/>
                  </w:rPr>
                </w:pPr>
                <w:r>
                  <w:rPr>
                    <w:szCs w:val="24"/>
                  </w:rPr>
                  <w:t>9.8. Projekto vykdytojui gali būti mokamas avansas, vadovaujant</w:t>
                </w:r>
                <w:r>
                  <w:rPr>
                    <w:szCs w:val="24"/>
                  </w:rPr>
                  <w:t>is PAFT numatytomis avanso mokėjimo sąlygomis.</w:t>
                </w:r>
              </w:p>
              <w:p w:rsidR="00F6024A" w:rsidRDefault="00F04FF7">
                <w:pPr>
                  <w:jc w:val="both"/>
                  <w:rPr>
                    <w:szCs w:val="24"/>
                  </w:rPr>
                </w:pPr>
                <w:r>
                  <w:rPr>
                    <w:szCs w:val="24"/>
                  </w:rPr>
                  <w:t>9.9. Kryžminis finansavimas netaikomas.</w:t>
                </w:r>
              </w:p>
              <w:p w:rsidR="00F6024A" w:rsidRDefault="00F04FF7">
                <w:pPr>
                  <w:jc w:val="both"/>
                  <w:rPr>
                    <w:szCs w:val="24"/>
                  </w:rPr>
                </w:pPr>
                <w:r>
                  <w:rPr>
                    <w:szCs w:val="24"/>
                  </w:rPr>
                  <w:t>9.10. Pagal Aprašą tinkamos finansuoti išlaidos yra šios:</w:t>
                </w:r>
              </w:p>
              <w:p w:rsidR="00F6024A" w:rsidRDefault="00F6024A">
                <w:pPr>
                  <w:jc w:val="both"/>
                  <w:rPr>
                    <w:i/>
                    <w:iCs/>
                    <w:szCs w:val="24"/>
                  </w:rPr>
                </w:pPr>
              </w:p>
              <w:tbl>
                <w:tblPr>
                  <w:tblW w:w="1448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1"/>
                  <w:gridCol w:w="2158"/>
                  <w:gridCol w:w="96"/>
                  <w:gridCol w:w="2794"/>
                  <w:gridCol w:w="2890"/>
                  <w:gridCol w:w="2890"/>
                  <w:gridCol w:w="2890"/>
                  <w:gridCol w:w="32"/>
                </w:tblGrid>
                <w:tr w:rsidR="00F6024A">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lang w:eastAsia="lt-LT"/>
                        </w:rPr>
                      </w:pPr>
                      <w:r>
                        <w:rPr>
                          <w:lang w:eastAsia="lt-LT"/>
                        </w:rPr>
                        <w:t>9.10.1</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ind w:firstLine="62"/>
                        <w:jc w:val="both"/>
                        <w:textAlignment w:val="baseline"/>
                        <w:rPr>
                          <w:szCs w:val="24"/>
                          <w:lang w:eastAsia="lt-LT"/>
                        </w:rPr>
                      </w:pPr>
                      <w:r>
                        <w:rPr>
                          <w:szCs w:val="24"/>
                          <w:lang w:eastAsia="lt-LT"/>
                        </w:rPr>
                        <w:t>Paslaugos ir darbo užmokestis</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rPr>
                      </w:pPr>
                      <w:r>
                        <w:rPr>
                          <w:szCs w:val="24"/>
                        </w:rPr>
                        <w:t xml:space="preserve">Partnerio ir Partnerio </w:t>
                      </w:r>
                      <w:proofErr w:type="spellStart"/>
                      <w:r>
                        <w:rPr>
                          <w:szCs w:val="24"/>
                        </w:rPr>
                        <w:t>partnerio</w:t>
                      </w:r>
                      <w:proofErr w:type="spellEnd"/>
                      <w:r>
                        <w:rPr>
                          <w:szCs w:val="24"/>
                        </w:rPr>
                        <w:t xml:space="preserve"> išlaidos:</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color w:val="000000"/>
                          <w:shd w:val="clear" w:color="auto" w:fill="FFFFFF"/>
                        </w:rPr>
                        <w:t xml:space="preserve">MTEP veiklas vykdančio </w:t>
                      </w:r>
                      <w:r>
                        <w:rPr>
                          <w:color w:val="000000"/>
                          <w:shd w:val="clear" w:color="auto" w:fill="FFFFFF"/>
                        </w:rPr>
                        <w:t>personalo darbo užmokesčio ir susijusių darbdavio įsipareigojimų vykdymo išlaidos;</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szCs w:val="24"/>
                        </w:rPr>
                        <w:t>veiklas vykdančio personalo užsienio komandiruočių išlaidos (ne daugiau kaip 2 komandiruotės per projekto įgyvendinimo laikotarpį);</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szCs w:val="24"/>
                        </w:rPr>
                        <w:t>medžiagų ir trumpalaikio turto, reika</w:t>
                      </w:r>
                      <w:r>
                        <w:rPr>
                          <w:szCs w:val="24"/>
                        </w:rPr>
                        <w:t>lingų įgyvendinti projekto veiklas, įsigijimo išlaidos (ne daugiau kaip 20 proc. tinkamų finansuoti išlaidų);</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szCs w:val="24"/>
                        </w:rPr>
                        <w:t>MTEP paslaugų įsigijimo išlaidos (išlaidos gali sudaryti ne daugiau kaip 15 proc. tinkamų finansuoti išlaidų);</w:t>
                      </w:r>
                    </w:p>
                    <w:p w:rsidR="00F6024A" w:rsidRDefault="00F04FF7">
                      <w:pPr>
                        <w:tabs>
                          <w:tab w:val="left" w:pos="237"/>
                        </w:tabs>
                        <w:ind w:left="720" w:hanging="360"/>
                        <w:jc w:val="both"/>
                        <w:textAlignment w:val="baseline"/>
                        <w:rPr>
                          <w:szCs w:val="24"/>
                        </w:rPr>
                      </w:pPr>
                      <w:r>
                        <w:rPr>
                          <w:rFonts w:ascii="Symbol" w:hAnsi="Symbol"/>
                          <w:szCs w:val="24"/>
                        </w:rPr>
                        <w:t></w:t>
                      </w:r>
                      <w:r>
                        <w:rPr>
                          <w:rFonts w:ascii="Symbol" w:hAnsi="Symbol"/>
                          <w:szCs w:val="24"/>
                        </w:rPr>
                        <w:tab/>
                      </w:r>
                      <w:r>
                        <w:rPr>
                          <w:szCs w:val="24"/>
                        </w:rPr>
                        <w:t>patentavimo paslaugos, susijusi</w:t>
                      </w:r>
                      <w:r>
                        <w:rPr>
                          <w:szCs w:val="24"/>
                        </w:rPr>
                        <w:t>os su finansuotu projektu;</w:t>
                      </w:r>
                    </w:p>
                    <w:p w:rsidR="00F6024A" w:rsidRDefault="00F04FF7">
                      <w:pPr>
                        <w:tabs>
                          <w:tab w:val="left" w:pos="237"/>
                        </w:tabs>
                        <w:ind w:left="720" w:hanging="360"/>
                        <w:jc w:val="both"/>
                        <w:textAlignment w:val="baseline"/>
                        <w:rPr>
                          <w:szCs w:val="24"/>
                        </w:rPr>
                      </w:pPr>
                      <w:r>
                        <w:rPr>
                          <w:rFonts w:ascii="Symbol" w:hAnsi="Symbol"/>
                          <w:szCs w:val="24"/>
                        </w:rPr>
                        <w:t></w:t>
                      </w:r>
                      <w:r>
                        <w:rPr>
                          <w:rFonts w:ascii="Symbol" w:hAnsi="Symbol"/>
                          <w:szCs w:val="24"/>
                        </w:rPr>
                        <w:tab/>
                      </w:r>
                      <w:r>
                        <w:rPr>
                          <w:szCs w:val="24"/>
                          <w:lang w:eastAsia="lt-LT"/>
                        </w:rPr>
                        <w:t>pasiruošimas sertifikuoti MTEP produktą ir sertifikavimo išlaidos.</w:t>
                      </w:r>
                    </w:p>
                    <w:p w:rsidR="00F6024A" w:rsidRDefault="00F6024A">
                      <w:pPr>
                        <w:shd w:val="clear" w:color="auto" w:fill="FFFFFF"/>
                        <w:rPr>
                          <w:color w:val="000000"/>
                          <w:szCs w:val="24"/>
                          <w:lang w:eastAsia="lt-LT"/>
                        </w:rPr>
                      </w:pPr>
                    </w:p>
                    <w:p w:rsidR="00F6024A" w:rsidRDefault="00F6024A">
                      <w:pPr>
                        <w:shd w:val="clear" w:color="auto" w:fill="FFFFFF"/>
                        <w:rPr>
                          <w:color w:val="000000"/>
                          <w:szCs w:val="24"/>
                          <w:lang w:eastAsia="lt-LT"/>
                        </w:rPr>
                      </w:pPr>
                    </w:p>
                    <w:p w:rsidR="00F6024A" w:rsidRDefault="00F04FF7">
                      <w:pPr>
                        <w:shd w:val="clear" w:color="auto" w:fill="FFFFFF"/>
                        <w:rPr>
                          <w:color w:val="000000"/>
                          <w:szCs w:val="24"/>
                          <w:lang w:eastAsia="lt-LT"/>
                        </w:rPr>
                      </w:pPr>
                      <w:r>
                        <w:rPr>
                          <w:color w:val="000000"/>
                          <w:szCs w:val="24"/>
                          <w:lang w:eastAsia="lt-LT"/>
                        </w:rPr>
                        <w:t>Projekto vykdytojo išlaidos:</w:t>
                      </w:r>
                    </w:p>
                    <w:p w:rsidR="00F6024A" w:rsidRDefault="00F04FF7">
                      <w:pPr>
                        <w:shd w:val="clear" w:color="auto" w:fill="FFFFFF"/>
                        <w:ind w:left="720" w:hanging="360"/>
                        <w:jc w:val="both"/>
                        <w:rPr>
                          <w:color w:val="000000"/>
                          <w:szCs w:val="24"/>
                          <w:lang w:eastAsia="lt-LT"/>
                        </w:rPr>
                      </w:pPr>
                      <w:r>
                        <w:rPr>
                          <w:rFonts w:ascii="Symbol" w:hAnsi="Symbol"/>
                          <w:color w:val="000000"/>
                          <w:szCs w:val="24"/>
                          <w:lang w:eastAsia="lt-LT"/>
                        </w:rPr>
                        <w:t></w:t>
                      </w:r>
                      <w:r>
                        <w:rPr>
                          <w:rFonts w:ascii="Symbol" w:hAnsi="Symbol"/>
                          <w:color w:val="000000"/>
                          <w:szCs w:val="24"/>
                          <w:lang w:eastAsia="lt-LT"/>
                        </w:rPr>
                        <w:tab/>
                      </w:r>
                      <w:r>
                        <w:t>„</w:t>
                      </w:r>
                      <w:proofErr w:type="spellStart"/>
                      <w:r>
                        <w:t>Eureka</w:t>
                      </w:r>
                      <w:proofErr w:type="spellEnd"/>
                      <w:r>
                        <w:t xml:space="preserve">“ </w:t>
                      </w:r>
                      <w:proofErr w:type="spellStart"/>
                      <w:r>
                        <w:t>tinklaveikos</w:t>
                      </w:r>
                      <w:proofErr w:type="spellEnd"/>
                      <w:r>
                        <w:t xml:space="preserve"> skatinimas (Partnerių pritraukimo ir paieškos veiklos; </w:t>
                      </w:r>
                      <w:r>
                        <w:rPr>
                          <w:color w:val="000000"/>
                        </w:rPr>
                        <w:t>ekspertinės sesijos, grupiniai seminarai intelekti</w:t>
                      </w:r>
                      <w:r>
                        <w:rPr>
                          <w:color w:val="000000"/>
                        </w:rPr>
                        <w:t xml:space="preserve">nės nuosavybės, sertifikavimo ir kitomis aktualiomis temomis, MTEP produkto komercinio potencialo vertinimo veiklos; </w:t>
                      </w:r>
                      <w:r>
                        <w:t>komunikacinės veiklos MSI sukurtiems MTEP produktams pristatyti, dalinimasis gerąja patirtimi ir kiti komunikacijos veiksmai;</w:t>
                      </w:r>
                    </w:p>
                    <w:p w:rsidR="00F6024A" w:rsidRDefault="00F04FF7">
                      <w:pPr>
                        <w:shd w:val="clear" w:color="auto" w:fill="FFFFFF"/>
                        <w:ind w:left="720" w:hanging="360"/>
                        <w:rPr>
                          <w:color w:val="000000"/>
                          <w:szCs w:val="24"/>
                          <w:lang w:eastAsia="lt-LT"/>
                        </w:rPr>
                      </w:pPr>
                      <w:r>
                        <w:rPr>
                          <w:rFonts w:ascii="Symbol" w:hAnsi="Symbol"/>
                          <w:color w:val="000000"/>
                          <w:szCs w:val="24"/>
                          <w:lang w:eastAsia="lt-LT"/>
                        </w:rPr>
                        <w:t></w:t>
                      </w:r>
                      <w:r>
                        <w:rPr>
                          <w:rFonts w:ascii="Symbol" w:hAnsi="Symbol"/>
                          <w:color w:val="000000"/>
                          <w:szCs w:val="24"/>
                          <w:lang w:eastAsia="lt-LT"/>
                        </w:rPr>
                        <w:tab/>
                      </w:r>
                      <w:r>
                        <w:rPr>
                          <w:color w:val="000000"/>
                          <w:szCs w:val="24"/>
                          <w:lang w:eastAsia="lt-LT"/>
                        </w:rPr>
                        <w:t>komandiruotės Lietuvoje ir užsienyje.</w:t>
                      </w:r>
                    </w:p>
                  </w:tc>
                </w:tr>
                <w:tr w:rsidR="00F6024A">
                  <w:tc>
                    <w:tcPr>
                      <w:tcW w:w="731" w:type="dxa"/>
                      <w:tcBorders>
                        <w:top w:val="single" w:sz="6" w:space="0" w:color="auto"/>
                        <w:left w:val="single" w:sz="6" w:space="0" w:color="auto"/>
                        <w:bottom w:val="single" w:sz="6" w:space="0" w:color="auto"/>
                        <w:right w:val="single" w:sz="6" w:space="0" w:color="auto"/>
                      </w:tcBorders>
                      <w:shd w:val="clear" w:color="auto" w:fill="auto"/>
                    </w:tcPr>
                    <w:p w:rsidR="00F6024A" w:rsidRDefault="00F04FF7">
                      <w:pPr>
                        <w:jc w:val="both"/>
                        <w:textAlignment w:val="baseline"/>
                        <w:rPr>
                          <w:szCs w:val="24"/>
                          <w:lang w:eastAsia="lt-LT"/>
                        </w:rPr>
                      </w:pPr>
                      <w:r>
                        <w:rPr>
                          <w:szCs w:val="24"/>
                          <w:lang w:eastAsia="lt-LT"/>
                        </w:rPr>
                        <w:lastRenderedPageBreak/>
                        <w:t>9.10.2.</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tcPr>
                    <w:p w:rsidR="00F6024A" w:rsidRDefault="00F04FF7">
                      <w:pPr>
                        <w:jc w:val="both"/>
                        <w:textAlignment w:val="baseline"/>
                        <w:rPr>
                          <w:szCs w:val="24"/>
                          <w:lang w:eastAsia="lt-LT"/>
                        </w:rPr>
                      </w:pPr>
                      <w:r>
                        <w:rPr>
                          <w:szCs w:val="24"/>
                          <w:lang w:eastAsia="lt-LT"/>
                        </w:rPr>
                        <w:t xml:space="preserve">Įranga, įrenginiai ir kitas turtas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tcPr>
                    <w:p w:rsidR="00F6024A" w:rsidRDefault="00F04FF7">
                      <w:pPr>
                        <w:tabs>
                          <w:tab w:val="left" w:pos="237"/>
                        </w:tabs>
                        <w:jc w:val="both"/>
                        <w:textAlignment w:val="baseline"/>
                        <w:rPr>
                          <w:szCs w:val="24"/>
                        </w:rPr>
                      </w:pPr>
                      <w:r>
                        <w:rPr>
                          <w:szCs w:val="24"/>
                        </w:rPr>
                        <w:t>Šiai išlaidų kategorijai skiriama ne daugiau kaip 20 proc. nuo tinkamų finansuoti išlaidų:</w:t>
                      </w:r>
                    </w:p>
                    <w:p w:rsidR="00F6024A" w:rsidRDefault="00F04FF7">
                      <w:pPr>
                        <w:tabs>
                          <w:tab w:val="left" w:pos="237"/>
                        </w:tabs>
                        <w:ind w:left="720" w:hanging="360"/>
                        <w:jc w:val="both"/>
                        <w:textAlignment w:val="baseline"/>
                        <w:rPr>
                          <w:szCs w:val="24"/>
                        </w:rPr>
                      </w:pPr>
                      <w:r>
                        <w:rPr>
                          <w:szCs w:val="24"/>
                        </w:rPr>
                        <w:t>-</w:t>
                      </w:r>
                      <w:r>
                        <w:rPr>
                          <w:szCs w:val="24"/>
                        </w:rPr>
                        <w:tab/>
                        <w:t>MTEP įrengimai, įranga, prietaisai, įrenginiai ir technologijos;</w:t>
                      </w:r>
                    </w:p>
                    <w:p w:rsidR="00F6024A" w:rsidRDefault="00F04FF7">
                      <w:pPr>
                        <w:tabs>
                          <w:tab w:val="left" w:pos="237"/>
                        </w:tabs>
                        <w:ind w:left="720" w:hanging="360"/>
                        <w:jc w:val="both"/>
                        <w:textAlignment w:val="baseline"/>
                        <w:rPr>
                          <w:szCs w:val="24"/>
                        </w:rPr>
                      </w:pPr>
                      <w:r>
                        <w:rPr>
                          <w:szCs w:val="24"/>
                        </w:rPr>
                        <w:t>-</w:t>
                      </w:r>
                      <w:r>
                        <w:rPr>
                          <w:szCs w:val="24"/>
                        </w:rPr>
                        <w:tab/>
                        <w:t xml:space="preserve">kompiuterinė </w:t>
                      </w:r>
                      <w:r>
                        <w:rPr>
                          <w:szCs w:val="24"/>
                        </w:rPr>
                        <w:t>technika ir programinė įranga (išskyrus esamos programinės įrangos atnaujinimą).</w:t>
                      </w:r>
                    </w:p>
                  </w:tc>
                </w:tr>
                <w:tr w:rsidR="00F6024A">
                  <w:tc>
                    <w:tcPr>
                      <w:tcW w:w="14481" w:type="dxa"/>
                      <w:gridSpan w:val="8"/>
                      <w:tcBorders>
                        <w:top w:val="single" w:sz="6" w:space="0" w:color="auto"/>
                        <w:left w:val="single" w:sz="6" w:space="0" w:color="auto"/>
                        <w:bottom w:val="single" w:sz="6" w:space="0" w:color="auto"/>
                        <w:right w:val="single" w:sz="6" w:space="0" w:color="auto"/>
                      </w:tcBorders>
                      <w:shd w:val="clear" w:color="auto" w:fill="auto"/>
                    </w:tcPr>
                    <w:p w:rsidR="00F6024A" w:rsidRDefault="00F6024A">
                      <w:pPr>
                        <w:jc w:val="center"/>
                        <w:textAlignment w:val="baseline"/>
                        <w:rPr>
                          <w:szCs w:val="24"/>
                        </w:rPr>
                      </w:pPr>
                    </w:p>
                  </w:tc>
                </w:tr>
                <w:tr w:rsidR="00F6024A">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lang w:eastAsia="lt-LT"/>
                        </w:rPr>
                      </w:pPr>
                      <w:r>
                        <w:rPr>
                          <w:lang w:eastAsia="lt-LT"/>
                        </w:rPr>
                        <w:t>9.10.3.</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lang w:eastAsia="lt-LT"/>
                        </w:rPr>
                      </w:pPr>
                      <w:r>
                        <w:rPr>
                          <w:szCs w:val="24"/>
                          <w:lang w:eastAsia="lt-LT"/>
                        </w:rPr>
                        <w:t>Informavimas apie projektą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rPr>
                      </w:pPr>
                      <w:r>
                        <w:rPr>
                          <w:szCs w:val="24"/>
                        </w:rPr>
                        <w:t xml:space="preserve">Tinkama finansuoti: </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szCs w:val="24"/>
                        </w:rPr>
                        <w:t>privalomos projekto matomumo ir informavimo apie projektą priemonės;</w:t>
                      </w:r>
                    </w:p>
                    <w:p w:rsidR="00F6024A" w:rsidRDefault="00F04FF7">
                      <w:pPr>
                        <w:ind w:left="720" w:hanging="360"/>
                        <w:jc w:val="both"/>
                        <w:textAlignment w:val="baseline"/>
                        <w:rPr>
                          <w:szCs w:val="24"/>
                        </w:rPr>
                      </w:pPr>
                      <w:r>
                        <w:rPr>
                          <w:rFonts w:ascii="Symbol" w:hAnsi="Symbol"/>
                          <w:szCs w:val="24"/>
                        </w:rPr>
                        <w:t></w:t>
                      </w:r>
                      <w:r>
                        <w:rPr>
                          <w:rFonts w:ascii="Symbol" w:hAnsi="Symbol"/>
                          <w:szCs w:val="24"/>
                        </w:rPr>
                        <w:tab/>
                      </w:r>
                      <w:r>
                        <w:rPr>
                          <w:szCs w:val="24"/>
                        </w:rPr>
                        <w:t xml:space="preserve">papildomos projekto veiklų sklaidos ir viešinimo priemonės. </w:t>
                      </w:r>
                    </w:p>
                  </w:tc>
                </w:tr>
                <w:tr w:rsidR="00F6024A">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lang w:eastAsia="lt-LT"/>
                        </w:rPr>
                      </w:pPr>
                      <w:r>
                        <w:rPr>
                          <w:lang w:eastAsia="lt-LT"/>
                        </w:rPr>
                        <w:t>9.10.4.</w:t>
                      </w:r>
                    </w:p>
                  </w:tc>
                  <w:tc>
                    <w:tcPr>
                      <w:tcW w:w="2254" w:type="dxa"/>
                      <w:gridSpan w:val="2"/>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lang w:eastAsia="lt-LT"/>
                        </w:rPr>
                      </w:pPr>
                      <w:r>
                        <w:rPr>
                          <w:szCs w:val="24"/>
                          <w:lang w:eastAsia="lt-LT"/>
                        </w:rPr>
                        <w:t>Netiesioginės išlaidos ir kitos išlaidos pagal fiksuotąją projekto išlaidų normą </w:t>
                      </w:r>
                    </w:p>
                  </w:tc>
                  <w:tc>
                    <w:tcPr>
                      <w:tcW w:w="11496" w:type="dxa"/>
                      <w:gridSpan w:val="5"/>
                      <w:tcBorders>
                        <w:top w:val="single" w:sz="6" w:space="0" w:color="auto"/>
                        <w:left w:val="single" w:sz="6" w:space="0" w:color="auto"/>
                        <w:bottom w:val="single" w:sz="6" w:space="0" w:color="auto"/>
                        <w:right w:val="single" w:sz="6" w:space="0" w:color="auto"/>
                      </w:tcBorders>
                      <w:shd w:val="clear" w:color="auto" w:fill="auto"/>
                      <w:hideMark/>
                    </w:tcPr>
                    <w:p w:rsidR="00F6024A" w:rsidRDefault="00F04FF7">
                      <w:pPr>
                        <w:jc w:val="both"/>
                        <w:textAlignment w:val="baseline"/>
                        <w:rPr>
                          <w:szCs w:val="24"/>
                        </w:rPr>
                      </w:pPr>
                      <w:r>
                        <w:rPr>
                          <w:szCs w:val="24"/>
                          <w:lang w:eastAsia="lt-LT"/>
                        </w:rPr>
                        <w:t>Netiesioginės projekto išlaidos apmokamos taikant fiksuotąją normą (7 proc. nuo tinkamų finansuoti proje</w:t>
                      </w:r>
                      <w:r>
                        <w:rPr>
                          <w:szCs w:val="24"/>
                          <w:lang w:eastAsia="lt-LT"/>
                        </w:rPr>
                        <w:t xml:space="preserve">kto tiesioginių išlaidų). </w:t>
                      </w:r>
                      <w:r>
                        <w:rPr>
                          <w:color w:val="000000"/>
                          <w:szCs w:val="24"/>
                          <w:lang w:eastAsia="lt-LT"/>
                        </w:rPr>
                        <w:t>Išlaidas gali patirti Projekto vykdytojas ir Projekto partneriai.</w:t>
                      </w:r>
                    </w:p>
                    <w:p w:rsidR="00F6024A" w:rsidRDefault="00F6024A">
                      <w:pPr>
                        <w:jc w:val="both"/>
                        <w:textAlignment w:val="baseline"/>
                        <w:rPr>
                          <w:color w:val="000000"/>
                          <w:szCs w:val="24"/>
                        </w:rPr>
                      </w:pP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14449" w:type="dxa"/>
                      <w:gridSpan w:val="7"/>
                      <w:tcBorders>
                        <w:top w:val="single" w:sz="8" w:space="0" w:color="auto"/>
                        <w:left w:val="single" w:sz="8" w:space="0" w:color="auto"/>
                        <w:bottom w:val="single" w:sz="8" w:space="0" w:color="auto"/>
                        <w:right w:val="single" w:sz="8" w:space="0" w:color="auto"/>
                      </w:tcBorders>
                    </w:tcPr>
                    <w:p w:rsidR="00F6024A" w:rsidRDefault="00F04FF7">
                      <w:pPr>
                        <w:jc w:val="both"/>
                        <w:rPr>
                          <w:b/>
                          <w:bCs/>
                          <w:szCs w:val="24"/>
                        </w:rPr>
                      </w:pPr>
                      <w:r>
                        <w:rPr>
                          <w:rFonts w:ascii="MS Gothic" w:eastAsia="MS Gothic" w:hAnsi="MS Gothic" w:cs="MS Gothic"/>
                          <w:b/>
                          <w:bCs/>
                          <w:szCs w:val="24"/>
                        </w:rPr>
                        <w:t>☐</w:t>
                      </w:r>
                      <w:r>
                        <w:rPr>
                          <w:b/>
                          <w:bCs/>
                          <w:szCs w:val="24"/>
                        </w:rPr>
                        <w:t xml:space="preserve"> Indeksuojama</w:t>
                      </w:r>
                    </w:p>
                    <w:p w:rsidR="00F6024A" w:rsidRDefault="00F04FF7">
                      <w:pPr>
                        <w:jc w:val="both"/>
                        <w:rPr>
                          <w:b/>
                          <w:bCs/>
                          <w:szCs w:val="24"/>
                        </w:rPr>
                      </w:pPr>
                      <w:r>
                        <w:rPr>
                          <w:rFonts w:ascii="MS Gothic" w:eastAsia="MS Gothic" w:hAnsi="MS Gothic" w:cs="MS Gothic"/>
                          <w:b/>
                          <w:bCs/>
                          <w:szCs w:val="24"/>
                        </w:rPr>
                        <w:t xml:space="preserve">X </w:t>
                      </w:r>
                      <w:r>
                        <w:rPr>
                          <w:b/>
                          <w:bCs/>
                          <w:szCs w:val="24"/>
                        </w:rPr>
                        <w:t>Neindeksuojama</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Veiklos ir (ar) išlaidos, kurioms taikomi supaprastintai apmokamų išlaidų dydžiai</w:t>
                      </w:r>
                    </w:p>
                  </w:tc>
                  <w:tc>
                    <w:tcPr>
                      <w:tcW w:w="2890"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Papildoma informacija</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Netiesioginės projekto išlaidos</w:t>
                      </w:r>
                    </w:p>
                  </w:tc>
                  <w:tc>
                    <w:tcPr>
                      <w:tcW w:w="2890"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szCs w:val="24"/>
                        </w:rPr>
                        <w:t xml:space="preserve">Netiesioginės išlaidos sudaro iki 7 proc. </w:t>
                      </w:r>
                      <w:r>
                        <w:rPr>
                          <w:szCs w:val="24"/>
                        </w:rPr>
                        <w:t>tinkamų finansuoti tiesioginių projekto išlaidų</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both"/>
                        <w:rPr>
                          <w:szCs w:val="24"/>
                        </w:rPr>
                      </w:pPr>
                      <w:r>
                        <w:rPr>
                          <w:szCs w:val="24"/>
                        </w:rPr>
                        <w:t>Privalomos projektų matomumo ir informavimo apie projektus priemonės</w:t>
                      </w:r>
                    </w:p>
                    <w:p w:rsidR="00F6024A" w:rsidRDefault="00F6024A">
                      <w:pPr>
                        <w:jc w:val="center"/>
                        <w:rPr>
                          <w:szCs w:val="24"/>
                        </w:rPr>
                      </w:pPr>
                    </w:p>
                  </w:tc>
                  <w:tc>
                    <w:tcPr>
                      <w:tcW w:w="2890"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Įgyvendintų privalomų matomumo ir informavimo priemonių apie ES fondų investicijų veiklas </w:t>
                      </w:r>
                      <w:r>
                        <w:rPr>
                          <w:szCs w:val="24"/>
                        </w:rPr>
                        <w:lastRenderedPageBreak/>
                        <w:t xml:space="preserve">fiksuotoji suma, antrojo rinkinio </w:t>
                      </w:r>
                      <w:r>
                        <w:rPr>
                          <w:szCs w:val="24"/>
                        </w:rPr>
                        <w:t>FS be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lastRenderedPageBreak/>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both"/>
                        <w:rPr>
                          <w:szCs w:val="24"/>
                        </w:rPr>
                      </w:pPr>
                      <w:r>
                        <w:rPr>
                          <w:szCs w:val="24"/>
                        </w:rPr>
                        <w:t>Privalomos projektų matomumo ir informavimo apie projektus priemonės</w:t>
                      </w:r>
                    </w:p>
                    <w:p w:rsidR="00F6024A" w:rsidRDefault="00F6024A">
                      <w:pPr>
                        <w:jc w:val="center"/>
                        <w:rPr>
                          <w:szCs w:val="24"/>
                        </w:rPr>
                      </w:pPr>
                    </w:p>
                  </w:tc>
                  <w:tc>
                    <w:tcPr>
                      <w:tcW w:w="2890" w:type="dxa"/>
                      <w:gridSpan w:val="2"/>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 xml:space="preserve">Projektą vykdančio </w:t>
                      </w:r>
                      <w:r>
                        <w:rPr>
                          <w:szCs w:val="24"/>
                        </w:rPr>
                        <w:t>personalo darbo užmokesčio išlaidų dalis per mėnesį, skirta kasmetinėms atostogoms, kuri apskaičiuojama nuo tinkamų finansuoti faktiškai 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04FF7">
                      <w:pPr>
                        <w:jc w:val="center"/>
                        <w:rPr>
                          <w:szCs w:val="24"/>
                        </w:rPr>
                      </w:pPr>
                      <w:r>
                        <w:rPr>
                          <w:szCs w:val="24"/>
                        </w:rPr>
                        <w:t>8,63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w:t>
                      </w:r>
                      <w:r>
                        <w:rPr>
                          <w:szCs w:val="24"/>
                        </w:rPr>
                        <w:t>i priklauso 20 darbo dienų (toliau – d. d.) (jeigu dirbama 5 d. d. per savaitę) arba 24 d. d. (jeigu dirbama 6 d. d. per savaitę) kasmetinės atostogos</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 xml:space="preserve">Projektą vykdančio personalo darbo užmokesčio išlaidų dalis per mėnesį, skirta kasmetinėms </w:t>
                      </w:r>
                      <w:r>
                        <w:rPr>
                          <w:szCs w:val="24"/>
                        </w:rPr>
                        <w:t>atostogoms, kuri apskaičiuojama nuo tinkamų finansuoti faktiškai 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10,44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nuo 21 iki 25 d. d. (jeigu dirbama 5 d. d. per savaitę) arb</w:t>
                      </w:r>
                      <w:r>
                        <w:rPr>
                          <w:szCs w:val="24"/>
                        </w:rPr>
                        <w:t>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 xml:space="preserve">Projektą vykdančio personalo darbo užmokesčio išlaidų dalis per mėnesį, skirta kasmetinėms atostogoms, </w:t>
                      </w:r>
                      <w:r>
                        <w:rPr>
                          <w:szCs w:val="24"/>
                        </w:rPr>
                        <w:lastRenderedPageBreak/>
                        <w:t xml:space="preserve">kuri apskaičiuojama nuo tinkamų finansuoti faktiškai patirtų darbo </w:t>
                      </w:r>
                      <w:r>
                        <w:rPr>
                          <w:szCs w:val="24"/>
                        </w:rPr>
                        <w:t>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lastRenderedPageBreak/>
                        <w:t>FN-05-03</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lastRenderedPageBreak/>
                        <w:t>12,35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lastRenderedPageBreak/>
                        <w:t xml:space="preserve">Fiksuotoji norma, taikoma, kai priklauso nuo 26 iki 30 d. d. (jeigu dirbama 5 d. d. per savaitę) arba nuo 31 iki 36 d. d. (jeigu dirbama 6 d. </w:t>
                      </w:r>
                      <w:r>
                        <w:rPr>
                          <w:szCs w:val="24"/>
                        </w:rPr>
                        <w:lastRenderedPageBreak/>
                        <w:t>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lastRenderedPageBreak/>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14,99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Projektą vykdančio personalo darbo užmokesčio išlaidų dalis per mėnesį, sk</w:t>
                      </w:r>
                      <w:r>
                        <w:rPr>
                          <w:szCs w:val="24"/>
                        </w:rPr>
                        <w:t>irta kasmetinėms atostogoms, kuri apskaičiuojama nuo tinkamų finansuoti faktiškai 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15,25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Fiksuotoji norma, taikoma, kai priklauso nuo 37 iki 39 d. d. (jeigu dirbama 5 d. </w:t>
                      </w:r>
                      <w:r>
                        <w:rPr>
                          <w:szCs w:val="24"/>
                        </w:rPr>
                        <w:t>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Projektą vykdančio personalo darbo užmokesčio išlaidų dalis per mėnesį, skirta kasmetinėms atostogoms, kuri apskaičiuojama nuo tinkamų finansuoti faktiškai</w:t>
                      </w:r>
                      <w:r>
                        <w:rPr>
                          <w:szCs w:val="24"/>
                        </w:rPr>
                        <w:t xml:space="preserve"> </w:t>
                      </w:r>
                      <w:r>
                        <w:rPr>
                          <w:szCs w:val="24"/>
                        </w:rPr>
                        <w:lastRenderedPageBreak/>
                        <w:t>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18,89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r w:rsidR="00F602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gridAfter w:val="1"/>
                    <w:wAfter w:w="30" w:type="dxa"/>
                  </w:trPr>
                  <w:tc>
                    <w:tcPr>
                      <w:tcW w:w="2889" w:type="dxa"/>
                      <w:gridSpan w:val="2"/>
                      <w:tcBorders>
                        <w:top w:val="single" w:sz="8" w:space="0" w:color="auto"/>
                        <w:left w:val="single" w:sz="8" w:space="0" w:color="auto"/>
                        <w:bottom w:val="single" w:sz="8" w:space="0" w:color="auto"/>
                        <w:right w:val="single" w:sz="8" w:space="0" w:color="auto"/>
                      </w:tcBorders>
                    </w:tcPr>
                    <w:p w:rsidR="00F6024A" w:rsidRDefault="00F04FF7">
                      <w:pPr>
                        <w:jc w:val="both"/>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F6024A" w:rsidRDefault="00F6024A">
                      <w:pPr>
                        <w:jc w:val="both"/>
                        <w:rPr>
                          <w:szCs w:val="24"/>
                        </w:rPr>
                      </w:pPr>
                    </w:p>
                  </w:tc>
                  <w:tc>
                    <w:tcPr>
                      <w:tcW w:w="2890" w:type="dxa"/>
                      <w:gridSpan w:val="2"/>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20,02 proc.</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w:t>
                      </w:r>
                    </w:p>
                  </w:tc>
                </w:tr>
              </w:tbl>
              <w:p w:rsidR="00F6024A" w:rsidRDefault="00F6024A">
                <w:pPr>
                  <w:jc w:val="both"/>
                  <w:rPr>
                    <w:szCs w:val="24"/>
                  </w:rPr>
                </w:pPr>
              </w:p>
              <w:p w:rsidR="00F6024A" w:rsidRDefault="00F04FF7">
                <w:pPr>
                  <w:jc w:val="both"/>
                  <w:rPr>
                    <w:szCs w:val="24"/>
                  </w:rPr>
                </w:pPr>
                <w:r>
                  <w:rPr>
                    <w:szCs w:val="24"/>
                  </w:rPr>
                  <w:t>9.11. Projektas ir projekto veiklos negali būti finansuotos ar finansuojamos iš kitų Li</w:t>
                </w:r>
                <w:r>
                  <w:rPr>
                    <w:szCs w:val="24"/>
                  </w:rPr>
                  <w:t xml:space="preserve">etuvos Respublikos valstybės biudžeto ir (arba) savivaldybių biudžetų, kitų piniginių išteklių, kuriais disponuoja valstybė ir (ar) savivaldybės, Europos Sąjungos struktūrinių fondų, kitų Europos Sąjungos finansinės paramos priemonių ar kitos tarptautinės </w:t>
                </w:r>
                <w:r>
                  <w:rPr>
                    <w:szCs w:val="24"/>
                  </w:rPr>
                  <w:t xml:space="preserve">paramos lėšų, kurioms apmokėti skyrus Europos Sąjungos struktūrinių fondų lėšų jos būtų pripažintos tinkamomis finansuoti ir (arba) apmokėtos daugiau nei vieną kartą. </w:t>
                </w:r>
              </w:p>
              <w:p w:rsidR="00F6024A" w:rsidRDefault="00F6024A">
                <w:pPr>
                  <w:jc w:val="both"/>
                  <w:rPr>
                    <w:b/>
                    <w:bCs/>
                    <w:szCs w:val="24"/>
                  </w:rPr>
                </w:pPr>
              </w:p>
            </w:tc>
          </w:tr>
          <w:tr w:rsidR="00F6024A">
            <w:trPr>
              <w:trHeight w:val="349"/>
            </w:trPr>
            <w:tc>
              <w:tcPr>
                <w:tcW w:w="14709" w:type="dxa"/>
              </w:tcPr>
              <w:p w:rsidR="00F6024A" w:rsidRDefault="00F04FF7">
                <w:pPr>
                  <w:jc w:val="both"/>
                  <w:rPr>
                    <w:szCs w:val="24"/>
                  </w:rPr>
                </w:pPr>
                <w:r>
                  <w:rPr>
                    <w:b/>
                    <w:szCs w:val="24"/>
                  </w:rPr>
                  <w:lastRenderedPageBreak/>
                  <w:t xml:space="preserve">10. Projektų veiklų ir jungtinio projekto projektų įgyvendinimui taikomi </w:t>
                </w:r>
                <w:r>
                  <w:rPr>
                    <w:b/>
                    <w:szCs w:val="24"/>
                  </w:rPr>
                  <w:t>supaprastintai apmokamų išlaidų dydžiai</w:t>
                </w:r>
              </w:p>
            </w:tc>
          </w:tr>
          <w:tr w:rsidR="00F6024A">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F6024A">
                  <w:tc>
                    <w:tcPr>
                      <w:tcW w:w="14449" w:type="dxa"/>
                      <w:gridSpan w:val="5"/>
                      <w:tcBorders>
                        <w:top w:val="single" w:sz="8" w:space="0" w:color="auto"/>
                        <w:left w:val="single" w:sz="8" w:space="0" w:color="auto"/>
                        <w:bottom w:val="single" w:sz="8" w:space="0" w:color="auto"/>
                        <w:right w:val="single" w:sz="8" w:space="0" w:color="auto"/>
                      </w:tcBorders>
                    </w:tcPr>
                    <w:p w:rsidR="00F6024A" w:rsidRDefault="00F04FF7">
                      <w:pPr>
                        <w:jc w:val="both"/>
                        <w:rPr>
                          <w:b/>
                          <w:bCs/>
                          <w:szCs w:val="24"/>
                        </w:rPr>
                      </w:pPr>
                      <w:r>
                        <w:rPr>
                          <w:rFonts w:ascii="MS Gothic" w:eastAsia="MS Gothic" w:hAnsi="MS Gothic" w:cs="MS Gothic"/>
                          <w:b/>
                          <w:bCs/>
                          <w:szCs w:val="24"/>
                        </w:rPr>
                        <w:t>☐</w:t>
                      </w:r>
                      <w:r>
                        <w:rPr>
                          <w:b/>
                          <w:bCs/>
                          <w:szCs w:val="24"/>
                        </w:rPr>
                        <w:t xml:space="preserve"> Indeksuojama</w:t>
                      </w:r>
                    </w:p>
                    <w:p w:rsidR="00F6024A" w:rsidRDefault="00F04FF7">
                      <w:pPr>
                        <w:jc w:val="both"/>
                        <w:rPr>
                          <w:b/>
                          <w:bCs/>
                          <w:szCs w:val="24"/>
                        </w:rPr>
                      </w:pPr>
                      <w:r>
                        <w:rPr>
                          <w:rFonts w:ascii="MS Gothic" w:eastAsia="MS Gothic" w:hAnsi="MS Gothic" w:cs="MS Gothic"/>
                          <w:b/>
                          <w:bCs/>
                          <w:szCs w:val="24"/>
                        </w:rPr>
                        <w:t xml:space="preserve">X </w:t>
                      </w:r>
                      <w:r>
                        <w:rPr>
                          <w:b/>
                          <w:bCs/>
                          <w:szCs w:val="24"/>
                        </w:rPr>
                        <w:t>Neindeksuojama</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b/>
                          <w:bCs/>
                          <w:szCs w:val="24"/>
                        </w:rPr>
                      </w:pPr>
                      <w:r>
                        <w:rPr>
                          <w:b/>
                          <w:bCs/>
                          <w:szCs w:val="24"/>
                        </w:rPr>
                        <w:t>Papildoma informacija</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szCs w:val="24"/>
                        </w:rPr>
                        <w:t>Netiesioginės išlaidos sudaro iki 7 proc. tinkamų finansuoti tiesioginių projekto išlaidų</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lastRenderedPageBreak/>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 xml:space="preserve">Projekto </w:t>
                      </w:r>
                      <w:r>
                        <w:rPr>
                          <w:szCs w:val="24"/>
                        </w:rPr>
                        <w:t>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siekia nuo 100 km iki 499 km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w:t>
                      </w:r>
                      <w:r>
                        <w:rPr>
                          <w:szCs w:val="24"/>
                        </w:rPr>
                        <w:t xml:space="preserve">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FĮ-32-03</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siekia nuo 500 km iki 1999 km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FĮ-32-04</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siekia nuo 2 000 km iki 2 999 k</w:t>
                      </w:r>
                      <w:r>
                        <w:rPr>
                          <w:szCs w:val="24"/>
                        </w:rPr>
                        <w:t>m</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FĮ-32-05</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Projekto dalyvio ir (arba) projektą vykdančio personalo kelionės į užsienį fiksuotasis vieneto įkainis, kai kelionės į vieną pusę atstumas siekia nuo 3 000 km iki </w:t>
                      </w:r>
                      <w:r>
                        <w:rPr>
                          <w:szCs w:val="24"/>
                        </w:rPr>
                        <w:t>3 999 km</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lastRenderedPageBreak/>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FĮ-32-06</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siekia nuo 4 000 k</w:t>
                      </w:r>
                      <w:r>
                        <w:rPr>
                          <w:szCs w:val="24"/>
                        </w:rPr>
                        <w:t>m iki 7 999 km</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FĮ-32-07</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Projekto dalyvio ir (arba) projektą vykdančio personalo kelionės į užsienį fiksuotasis vieneto įkainis, kai kelionės į vieną pusę atstumas siekia 8 000</w:t>
                      </w:r>
                      <w:r>
                        <w:rPr>
                          <w:szCs w:val="24"/>
                        </w:rPr>
                        <w:t xml:space="preserve"> km ir daugiau</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Darbuotojo vienos dienos, praleistos komandiruotėje, fiksuotasis vieneto įkainis (kai komandiruotė trunka dvi ir daugiau dienų), kai vykstama į šalį, nustatytą 1-oje </w:t>
                      </w:r>
                      <w:r>
                        <w:rPr>
                          <w:szCs w:val="24"/>
                        </w:rPr>
                        <w:t>šalių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Darbuotojo vienos dienos, praleistos komandiruotėje, fiksuotasis vieneto įkainis (kai komandiruotė trunka dvi ir daugiau dienų), kai vykstama į šalį, nustatytą 2-oje šalių </w:t>
                      </w:r>
                      <w:r>
                        <w:rPr>
                          <w:szCs w:val="24"/>
                        </w:rPr>
                        <w:t>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lastRenderedPageBreak/>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FĮ-34-03</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vienos dienos, praleistos komandiruotėje, fiksuotasis vieneto įkainis (kai komandiruotė trunka dvi ir daugiau dienų), kai vykstama į šalį, nustatytą 3-oje šalių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FĮ-34-04</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vienos dienos, praleistos komandiruotėje, fiksuotasis vieneto įkainis (kai komandiruotė trunka dvi ir daugiau dienų), kai vykstama į šalį, nustatytą 4-oje šalių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FĮ-34-05</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vienos dienos, praleistos komandiruotėje, fiksuotasis vieneto įkainis (kai komandiruotė trunka dvi ir daugiau dienų), kai vykstama į šalį, nustatytą 5-oje šalių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FĮ-34-06</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komandiruotės fiksuotasis vieneto įkainis (kai komandiruotė trunka vieną dieną), kai vykstama į šalį, nustatytą 6-oje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FĮ-34-07</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Darbuotojo komandiruotės fiksuotasis vieneto įkainis (kai komandiruotė trunka </w:t>
                      </w:r>
                      <w:r>
                        <w:rPr>
                          <w:szCs w:val="24"/>
                        </w:rPr>
                        <w:lastRenderedPageBreak/>
                        <w:t>vieną dieną), kai vykstama į šalį, nustatytą 7-oje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lastRenderedPageBreak/>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FĮ-34-08</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Darbuotojo komandiruotės fiksuotasis </w:t>
                      </w:r>
                      <w:r>
                        <w:rPr>
                          <w:szCs w:val="24"/>
                        </w:rPr>
                        <w:t>vieneto įkainis (kai komandiruotė trunka vieną dieną), kai vykstama į šalį, nustatytą 8-oje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FĮ-34-09</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komandiruotės fiksuotasis vieneto įkainis (kai komandiruotė trunka vieną dieną</w:t>
                      </w:r>
                      <w:r>
                        <w:rPr>
                          <w:szCs w:val="24"/>
                        </w:rPr>
                        <w:t>), kai vykstama į šalį, nustatytą 9-oje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Darbuotojo komandiruotė į užsienio valstybę (-</w:t>
                      </w:r>
                      <w:proofErr w:type="spellStart"/>
                      <w:r>
                        <w:rPr>
                          <w:szCs w:val="24"/>
                        </w:rPr>
                        <w:t>es</w:t>
                      </w:r>
                      <w:proofErr w:type="spellEnd"/>
                      <w:r>
                        <w:rPr>
                          <w:szCs w:val="24"/>
                        </w:rPr>
                        <w:t>)</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FĮ-34-10</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Darbuotojo komandiruotės fiksuotasis vieneto įkainis (kai komandiruotė trunka vieną dieną), kai vykstama į šalį, nustatytą 10-oje grupėje</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FĮ-22-01</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rPr>
                          <w:szCs w:val="24"/>
                        </w:rPr>
                      </w:pPr>
                      <w:r>
                        <w:rPr>
                          <w:szCs w:val="24"/>
                        </w:rPr>
                        <w:t xml:space="preserve">Projekto dalyvio ir (arba) projektą vykdančio personalo tarpmiestinės kelionės </w:t>
                      </w:r>
                      <w:r>
                        <w:rPr>
                          <w:szCs w:val="24"/>
                        </w:rPr>
                        <w:t>Lietuvoje atstumas</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FĮ-22-02</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jc w:val="both"/>
                        <w:rPr>
                          <w:szCs w:val="24"/>
                        </w:rPr>
                      </w:pPr>
                      <w:r>
                        <w:rPr>
                          <w:szCs w:val="24"/>
                        </w:rPr>
                        <w:lastRenderedPageBreak/>
                        <w:t>Privalomos projektų matomumo ir informavimo apie projektus priemonės</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Įgyvendintų privalomų matomumo ir informavimo priemonių apie ES fondų </w:t>
                      </w:r>
                      <w:r>
                        <w:rPr>
                          <w:szCs w:val="24"/>
                        </w:rPr>
                        <w:t>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04FF7">
                      <w:pPr>
                        <w:jc w:val="both"/>
                        <w:rPr>
                          <w:szCs w:val="24"/>
                        </w:rPr>
                      </w:pPr>
                      <w:r>
                        <w:rPr>
                          <w:szCs w:val="24"/>
                        </w:rPr>
                        <w:t>Privalomos projektų matomumo ir informavimo apie projektus priemonės</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 xml:space="preserve">Įgyvendintų privalomų matomumo ir informavimo priemonių apie ES fondų investicijų veiklas fiksuotoji suma, </w:t>
                      </w:r>
                      <w:r>
                        <w:rPr>
                          <w:szCs w:val="24"/>
                        </w:rPr>
                        <w:t>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6024A">
                      <w:pPr>
                        <w:rPr>
                          <w:sz w:val="8"/>
                          <w:szCs w:val="8"/>
                        </w:rPr>
                      </w:pPr>
                    </w:p>
                    <w:p w:rsidR="00F6024A" w:rsidRDefault="00F04FF7">
                      <w:pPr>
                        <w:rPr>
                          <w:szCs w:val="24"/>
                        </w:rPr>
                      </w:pPr>
                      <w:r>
                        <w:rPr>
                          <w:szCs w:val="24"/>
                        </w:rPr>
                        <w:t>Privalomos projektų matomumo ir informavimo apie projektus priemonės</w:t>
                      </w:r>
                    </w:p>
                    <w:p w:rsidR="00F6024A" w:rsidRDefault="00F6024A">
                      <w:pPr>
                        <w:rPr>
                          <w:sz w:val="8"/>
                          <w:szCs w:val="8"/>
                        </w:rPr>
                      </w:pPr>
                    </w:p>
                    <w:p w:rsidR="00F6024A" w:rsidRDefault="00F6024A">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t>-</w:t>
                      </w:r>
                    </w:p>
                  </w:tc>
                </w:tr>
                <w:tr w:rsidR="00F6024A">
                  <w:tc>
                    <w:tcPr>
                      <w:tcW w:w="2889" w:type="dxa"/>
                      <w:tcBorders>
                        <w:top w:val="single" w:sz="8" w:space="0" w:color="auto"/>
                        <w:left w:val="single" w:sz="8" w:space="0" w:color="auto"/>
                        <w:bottom w:val="single" w:sz="8" w:space="0" w:color="auto"/>
                        <w:right w:val="single" w:sz="8" w:space="0" w:color="auto"/>
                      </w:tcBorders>
                      <w:vAlign w:val="center"/>
                    </w:tcPr>
                    <w:p w:rsidR="00F6024A" w:rsidRDefault="00F6024A">
                      <w:pPr>
                        <w:rPr>
                          <w:sz w:val="8"/>
                          <w:szCs w:val="8"/>
                        </w:rPr>
                      </w:pPr>
                    </w:p>
                    <w:p w:rsidR="00F6024A" w:rsidRDefault="00F04FF7">
                      <w:pPr>
                        <w:rPr>
                          <w:szCs w:val="24"/>
                        </w:rPr>
                      </w:pPr>
                      <w:r>
                        <w:rPr>
                          <w:szCs w:val="24"/>
                        </w:rPr>
                        <w:t>Privalomos projektų matomumo ir informavimo apie projektus priemonės</w:t>
                      </w:r>
                    </w:p>
                    <w:p w:rsidR="00F6024A" w:rsidRDefault="00F6024A">
                      <w:pPr>
                        <w:rPr>
                          <w:sz w:val="8"/>
                          <w:szCs w:val="8"/>
                        </w:rPr>
                      </w:pPr>
                    </w:p>
                    <w:p w:rsidR="00F6024A" w:rsidRDefault="00F6024A">
                      <w:pPr>
                        <w:jc w:val="both"/>
                        <w:rPr>
                          <w:szCs w:val="24"/>
                        </w:rPr>
                      </w:pP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F6024A" w:rsidRDefault="00F04FF7">
                      <w:pPr>
                        <w:jc w:val="center"/>
                        <w:rPr>
                          <w:i/>
                          <w:iCs/>
                          <w:szCs w:val="24"/>
                        </w:rPr>
                      </w:pPr>
                      <w:r>
                        <w:rPr>
                          <w:i/>
                          <w:iCs/>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Projektą vykdančio personalo darbo </w:t>
                      </w:r>
                      <w:r>
                        <w:rPr>
                          <w:szCs w:val="24"/>
                        </w:rPr>
                        <w:t>užmokesčio išlaidų dalis per mėnesį, skirta kasmetinėms atostogoms, kuri apskaičiuojama nuo tinkamų finansuoti faktiškai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20 d. d. (jeig</w:t>
                      </w:r>
                      <w:r>
                        <w:rPr>
                          <w:szCs w:val="24"/>
                        </w:rPr>
                        <w:t>u dirbama 5 d. d. per savaitę) arba 24 d. d. (jeigu dirbama 6 d. d. per savaitę) kasmetinės atostogos</w:t>
                      </w:r>
                    </w:p>
                    <w:p w:rsidR="00F6024A" w:rsidRDefault="00F6024A">
                      <w:pP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lastRenderedPageBreak/>
                        <w:t>Projektą vykdančio personalo darbo užmokesčio išlaidų dalis per mėnesį, skirta kasmetinėms atostogoms, kuri apskaičiuojama nuo tinkamų finansuoti fakt</w:t>
                      </w:r>
                      <w:r>
                        <w:rPr>
                          <w:szCs w:val="24"/>
                        </w:rPr>
                        <w: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 norma, taikoma, kai priklauso nuo 21 iki 25 d. d. (jeigu dirbama 5 d. d. per savaitę) arba nuo 25 iki 30 d. d. (jeigu dirbama 6 d. d. per savaitę) kasmetinės</w:t>
                      </w:r>
                      <w:r>
                        <w:rPr>
                          <w:szCs w:val="24"/>
                        </w:rPr>
                        <w:t xml:space="preserve">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Fiksuotoji</w:t>
                      </w:r>
                      <w:r>
                        <w:rPr>
                          <w:szCs w:val="24"/>
                        </w:rPr>
                        <w:t xml:space="preserve">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Projektą vykdančio personalo darbo užmokesčio išlaidų dalis per mėnesį, skirta kasme</w:t>
                      </w:r>
                      <w:r>
                        <w:rPr>
                          <w:szCs w:val="24"/>
                        </w:rPr>
                        <w:t>tinėms atostogoms, kuri apskaičiuojama nuo tinkamų finansuoti faktiškai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Fiksuotoji norma, taikoma, kai priklauso nuo 31 iki 36 d. d. (jeigu dirbama 5 d. d. per savaitę) arba </w:t>
                      </w:r>
                      <w:r>
                        <w:rPr>
                          <w:szCs w:val="24"/>
                        </w:rPr>
                        <w:t>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Projektą vykdančio personalo darbo </w:t>
                      </w:r>
                      <w:r>
                        <w:rPr>
                          <w:szCs w:val="24"/>
                        </w:rPr>
                        <w:lastRenderedPageBreak/>
                        <w:t>užmokesčio išlaidų dalis per mėnesį, skirta kasmetinėms atostogoms, kuri apskaičiuojama nuo tinkamų finansuoti faktiškai patirtų darbo užmoke</w:t>
                      </w:r>
                      <w:r>
                        <w:rPr>
                          <w:szCs w:val="24"/>
                        </w:rPr>
                        <w:t>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lastRenderedPageBreak/>
                        <w:t xml:space="preserve">Fiksuotoji norma, taikoma, kai priklauso nuo 37 iki 39 </w:t>
                      </w:r>
                      <w:r>
                        <w:rPr>
                          <w:szCs w:val="24"/>
                        </w:rPr>
                        <w:lastRenderedPageBreak/>
                        <w:t>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lastRenderedPageBreak/>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Projektą </w:t>
                      </w:r>
                      <w:r>
                        <w:rPr>
                          <w:szCs w:val="24"/>
                        </w:rPr>
                        <w:t>vykdančio personalo darbo užmokesčio išlaidų dalis per mėnesį, skirta kasmetinėms atostogoms, kuri apskaičiuojama nuo tinkamų finansuoti faktiškai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Fiksuotoji norma, taikoma, kai </w:t>
                      </w:r>
                      <w:r>
                        <w:rPr>
                          <w:szCs w:val="24"/>
                        </w:rPr>
                        <w:t>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r w:rsidR="00F6024A">
                  <w:tc>
                    <w:tcPr>
                      <w:tcW w:w="2889"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Projektą vykdančio personalo darbo užmokesčio išlaidų dalis per mėnesį, skirta kasmetinėms atostogoms, kuri apskaičiuojama nuo </w:t>
                      </w:r>
                      <w:r>
                        <w:rPr>
                          <w:szCs w:val="24"/>
                        </w:rPr>
                        <w:t>tinkamų finansuoti faktiškai patirtų darbo užmokesčio išlaidų už faktiškai dirbtą laiką</w:t>
                      </w:r>
                    </w:p>
                    <w:p w:rsidR="00F6024A" w:rsidRDefault="00F6024A">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6024A">
                      <w:pPr>
                        <w:jc w:val="center"/>
                        <w:rPr>
                          <w:szCs w:val="24"/>
                        </w:rPr>
                      </w:pPr>
                    </w:p>
                    <w:p w:rsidR="00F6024A" w:rsidRDefault="00F04FF7">
                      <w:pPr>
                        <w:jc w:val="center"/>
                        <w:rPr>
                          <w:szCs w:val="24"/>
                        </w:rPr>
                      </w:pPr>
                      <w:r>
                        <w:rPr>
                          <w:szCs w:val="24"/>
                        </w:rPr>
                        <w:t>02</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jc w:val="center"/>
                        <w:rPr>
                          <w:szCs w:val="24"/>
                        </w:rPr>
                      </w:pPr>
                      <w:r>
                        <w:rPr>
                          <w:szCs w:val="24"/>
                        </w:rPr>
                        <w:t xml:space="preserve">Fiksuotoji norma, taikoma, kai priklauso nuo 41 d. d. (jeigu dirbama 5 d. d. per savaitę) arba nuo 49 d. d. (jeigu dirbama 6 d. d. per savaitę) </w:t>
                      </w:r>
                      <w:r>
                        <w:rPr>
                          <w:szCs w:val="24"/>
                        </w:rPr>
                        <w:t>kasmetinės atostogos</w:t>
                      </w:r>
                    </w:p>
                  </w:tc>
                  <w:tc>
                    <w:tcPr>
                      <w:tcW w:w="2890" w:type="dxa"/>
                      <w:tcBorders>
                        <w:top w:val="single" w:sz="8" w:space="0" w:color="auto"/>
                        <w:left w:val="single" w:sz="8" w:space="0" w:color="auto"/>
                        <w:bottom w:val="single" w:sz="8" w:space="0" w:color="auto"/>
                        <w:right w:val="single" w:sz="8" w:space="0" w:color="auto"/>
                      </w:tcBorders>
                    </w:tcPr>
                    <w:p w:rsidR="00F6024A" w:rsidRDefault="00F04FF7">
                      <w:pPr>
                        <w:rPr>
                          <w:szCs w:val="24"/>
                        </w:rPr>
                      </w:pPr>
                      <w:r>
                        <w:rPr>
                          <w:szCs w:val="24"/>
                        </w:rPr>
                        <w:t>-</w:t>
                      </w:r>
                    </w:p>
                  </w:tc>
                </w:tr>
              </w:tbl>
              <w:p w:rsidR="00F6024A" w:rsidRDefault="00F6024A">
                <w:pPr>
                  <w:jc w:val="both"/>
                  <w:rPr>
                    <w:szCs w:val="24"/>
                  </w:rPr>
                </w:pPr>
              </w:p>
              <w:p w:rsidR="00F6024A" w:rsidRDefault="00F6024A">
                <w:pPr>
                  <w:jc w:val="both"/>
                  <w:rPr>
                    <w:i/>
                    <w:iCs/>
                    <w:szCs w:val="24"/>
                  </w:rPr>
                </w:pPr>
              </w:p>
            </w:tc>
          </w:tr>
        </w:tbl>
        <w:sdt>
          <w:sdtPr>
            <w:alias w:val="pabaiga"/>
            <w:tag w:val="part_6481810f99d74d57a30ac0431eb55a18"/>
            <w:id w:val="-1451539510"/>
            <w:lock w:val="sdtLocked"/>
          </w:sdtPr>
          <w:sdtEndPr/>
          <w:sdtContent>
            <w:p w:rsidR="00F6024A" w:rsidRDefault="00F04FF7">
              <w:pPr>
                <w:spacing w:line="276" w:lineRule="auto"/>
                <w:jc w:val="center"/>
                <w:rPr>
                  <w:rFonts w:eastAsia="Calibri"/>
                  <w:szCs w:val="24"/>
                </w:rPr>
              </w:pPr>
              <w:r>
                <w:rPr>
                  <w:rFonts w:eastAsia="Calibri"/>
                  <w:szCs w:val="24"/>
                </w:rPr>
                <w:t>________________</w:t>
              </w:r>
            </w:p>
            <w:p w:rsidR="00F6024A" w:rsidRDefault="00F04FF7">
              <w:pPr>
                <w:spacing w:line="259" w:lineRule="auto"/>
                <w:rPr>
                  <w:rFonts w:eastAsia="Calibri"/>
                  <w:szCs w:val="24"/>
                </w:rPr>
              </w:pPr>
              <w:r>
                <w:rPr>
                  <w:rFonts w:eastAsia="Calibri"/>
                  <w:szCs w:val="24"/>
                </w:rPr>
                <w:br w:type="page"/>
              </w:r>
            </w:p>
            <w:p w:rsidR="00F6024A" w:rsidRDefault="00F6024A">
              <w:pPr>
                <w:rPr>
                  <w:sz w:val="14"/>
                  <w:szCs w:val="14"/>
                </w:rPr>
              </w:pPr>
            </w:p>
            <w:p w:rsidR="00F6024A" w:rsidRDefault="00F6024A">
              <w:pPr>
                <w:spacing w:line="276" w:lineRule="auto"/>
                <w:jc w:val="center"/>
                <w:rPr>
                  <w:rFonts w:eastAsia="Calibri"/>
                  <w:szCs w:val="24"/>
                </w:rPr>
                <w:sectPr w:rsidR="00F6024A">
                  <w:headerReference w:type="even" r:id="rId11"/>
                  <w:headerReference w:type="default" r:id="rId12"/>
                  <w:footerReference w:type="even" r:id="rId13"/>
                  <w:footerReference w:type="default" r:id="rId14"/>
                  <w:headerReference w:type="first" r:id="rId15"/>
                  <w:footerReference w:type="first" r:id="rId16"/>
                  <w:pgSz w:w="16838" w:h="11906" w:orient="landscape"/>
                  <w:pgMar w:top="1134" w:right="1134" w:bottom="567" w:left="1134" w:header="567" w:footer="567" w:gutter="0"/>
                  <w:pgNumType w:start="1"/>
                  <w:cols w:space="1296"/>
                  <w:titlePg/>
                  <w:docGrid w:linePitch="360"/>
                </w:sectPr>
              </w:pPr>
            </w:p>
            <w:p w:rsidR="00F6024A" w:rsidRDefault="00F04FF7">
              <w:pPr>
                <w:tabs>
                  <w:tab w:val="center" w:pos="4819"/>
                  <w:tab w:val="right" w:pos="9638"/>
                </w:tabs>
              </w:pPr>
            </w:p>
          </w:sdtContent>
        </w:sdt>
      </w:sdtContent>
    </w:sdt>
    <w:sdt>
      <w:sdtPr>
        <w:alias w:val="1 pr."/>
        <w:tag w:val="part_d84e63c914824dff8a656b65ece28adc"/>
        <w:id w:val="-2070493431"/>
        <w:lock w:val="sdtLocked"/>
      </w:sdtPr>
      <w:sdtEndPr/>
      <w:sdtContent>
        <w:p w:rsidR="00F6024A" w:rsidRDefault="00F04FF7">
          <w:pPr>
            <w:ind w:left="10206"/>
            <w:jc w:val="both"/>
            <w:rPr>
              <w:szCs w:val="24"/>
            </w:rPr>
          </w:pPr>
          <w:r>
            <w:rPr>
              <w:szCs w:val="24"/>
            </w:rPr>
            <w:t xml:space="preserve">11 priedo „2021–2030 m. plėtros programos valdytojos Lietuvos Respublikos </w:t>
          </w:r>
          <w:r>
            <w:rPr>
              <w:szCs w:val="24"/>
            </w:rPr>
            <w:t>švietimo, mokslo ir sporto ministerijos mokslo plėtros programos pažangos priemonės Nr. 12-001-01-02-01 „Stiprinti inovacijų ekosistemas mokslo centruose“ projektų finansavimo sąlygų aprašo Nr. 11“</w:t>
          </w:r>
        </w:p>
        <w:p w:rsidR="00F6024A" w:rsidRDefault="00F04FF7">
          <w:pPr>
            <w:ind w:left="10206"/>
            <w:jc w:val="both"/>
            <w:rPr>
              <w:szCs w:val="24"/>
            </w:rPr>
          </w:pPr>
          <w:sdt>
            <w:sdtPr>
              <w:alias w:val="Numeris"/>
              <w:tag w:val="nr_d84e63c914824dff8a656b65ece28adc"/>
              <w:id w:val="798873450"/>
              <w:lock w:val="sdtLocked"/>
            </w:sdtPr>
            <w:sdtEndPr/>
            <w:sdtContent>
              <w:r>
                <w:rPr>
                  <w:szCs w:val="24"/>
                </w:rPr>
                <w:t>1</w:t>
              </w:r>
            </w:sdtContent>
          </w:sdt>
          <w:r>
            <w:rPr>
              <w:szCs w:val="24"/>
            </w:rPr>
            <w:t xml:space="preserve"> priedas</w:t>
          </w:r>
        </w:p>
        <w:p w:rsidR="00F6024A" w:rsidRDefault="00F6024A">
          <w:pPr>
            <w:jc w:val="center"/>
            <w:rPr>
              <w:b/>
              <w:bCs/>
              <w:szCs w:val="24"/>
            </w:rPr>
          </w:pPr>
        </w:p>
        <w:p w:rsidR="00F6024A" w:rsidRDefault="00F6024A">
          <w:pPr>
            <w:jc w:val="center"/>
            <w:rPr>
              <w:rFonts w:eastAsia="Calibri"/>
              <w:b/>
              <w:bCs/>
              <w:szCs w:val="24"/>
            </w:rPr>
          </w:pPr>
        </w:p>
        <w:p w:rsidR="00F6024A" w:rsidRDefault="00F04FF7">
          <w:pPr>
            <w:jc w:val="center"/>
            <w:rPr>
              <w:rFonts w:eastAsia="Calibri"/>
              <w:b/>
              <w:bCs/>
              <w:szCs w:val="24"/>
            </w:rPr>
          </w:pPr>
          <w:sdt>
            <w:sdtPr>
              <w:alias w:val="Pavadinimas"/>
              <w:tag w:val="title_d84e63c914824dff8a656b65ece28adc"/>
              <w:id w:val="1613161080"/>
              <w:lock w:val="sdtLocked"/>
            </w:sdtPr>
            <w:sdtEndPr/>
            <w:sdtContent>
              <w:r>
                <w:rPr>
                  <w:rFonts w:eastAsia="Calibri"/>
                  <w:b/>
                  <w:bCs/>
                  <w:szCs w:val="24"/>
                </w:rPr>
                <w:t>PROJEKTO (ĮSKAITANT JUNGTINĮ PROJEKTĄ) ATITI</w:t>
              </w:r>
              <w:r>
                <w:rPr>
                  <w:rFonts w:eastAsia="Calibri"/>
                  <w:b/>
                  <w:bCs/>
                  <w:szCs w:val="24"/>
                </w:rPr>
                <w:t>KTIES REIKŠMINGOS ŽALOS NEDARYMO HORIZONTALIAJAM PRINCIPUI VERTINIMO REIKALAVIMŲ APRAŠAS</w:t>
              </w:r>
            </w:sdtContent>
          </w:sdt>
        </w:p>
        <w:p w:rsidR="00F6024A" w:rsidRDefault="00F6024A">
          <w:pPr>
            <w:jc w:val="center"/>
            <w:rPr>
              <w:rFonts w:eastAsia="Calibri"/>
              <w:b/>
              <w:bCs/>
              <w:szCs w:val="24"/>
            </w:rPr>
          </w:pPr>
        </w:p>
        <w:p w:rsidR="00F6024A" w:rsidRDefault="00F04FF7">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rsidR="00F6024A" w:rsidRDefault="00F04FF7">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rsidR="00F6024A" w:rsidRDefault="00F04FF7">
          <w:pPr>
            <w:spacing w:line="276" w:lineRule="auto"/>
            <w:jc w:val="both"/>
            <w:rPr>
              <w:rFonts w:eastAsia="Calibri"/>
              <w:szCs w:val="24"/>
            </w:rPr>
          </w:pPr>
          <w:r>
            <w:rPr>
              <w:szCs w:val="24"/>
            </w:rPr>
            <w:t xml:space="preserve">× Europos </w:t>
          </w:r>
          <w:r>
            <w:rPr>
              <w:szCs w:val="24"/>
            </w:rPr>
            <w:t>Sąjungos fondų i</w:t>
          </w:r>
          <w:r>
            <w:rPr>
              <w:rFonts w:eastAsia="Calibri"/>
              <w:szCs w:val="24"/>
            </w:rPr>
            <w:t>nvesticijų programa (toliau – ESIP)</w:t>
          </w:r>
        </w:p>
        <w:p w:rsidR="00F6024A" w:rsidRDefault="00F6024A">
          <w:pPr>
            <w:spacing w:line="276" w:lineRule="auto"/>
            <w:jc w:val="both"/>
            <w:rPr>
              <w:rFonts w:eastAsia="Calibri"/>
              <w:szCs w:val="24"/>
            </w:rPr>
          </w:pPr>
        </w:p>
        <w:p w:rsidR="00F6024A" w:rsidRDefault="00F6024A">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F6024A">
            <w:tc>
              <w:tcPr>
                <w:tcW w:w="4885" w:type="dxa"/>
              </w:tcPr>
              <w:p w:rsidR="00F6024A" w:rsidRDefault="00F04FF7">
                <w:pPr>
                  <w:jc w:val="center"/>
                  <w:rPr>
                    <w:rFonts w:eastAsia="Calibri"/>
                    <w:b/>
                    <w:szCs w:val="24"/>
                  </w:rPr>
                </w:pPr>
                <w:r>
                  <w:rPr>
                    <w:rFonts w:eastAsia="Calibri"/>
                    <w:b/>
                    <w:szCs w:val="24"/>
                  </w:rPr>
                  <w:t>Aplinkos tikslai</w:t>
                </w:r>
              </w:p>
              <w:p w:rsidR="00F6024A" w:rsidRDefault="00F04FF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w:t>
                </w:r>
                <w:r>
                  <w:rPr>
                    <w:rFonts w:eastAsia="Calibri"/>
                    <w:i/>
                    <w:szCs w:val="24"/>
                  </w:rPr>
                  <w:t>ES) Nr. 2019/2088)</w:t>
                </w:r>
              </w:p>
            </w:tc>
            <w:tc>
              <w:tcPr>
                <w:tcW w:w="4633" w:type="dxa"/>
              </w:tcPr>
              <w:p w:rsidR="00F6024A" w:rsidRDefault="00F04FF7">
                <w:pPr>
                  <w:jc w:val="center"/>
                  <w:rPr>
                    <w:rFonts w:eastAsia="Calibri"/>
                    <w:b/>
                    <w:szCs w:val="24"/>
                  </w:rPr>
                </w:pPr>
                <w:r>
                  <w:rPr>
                    <w:rFonts w:eastAsia="Calibri"/>
                    <w:b/>
                    <w:szCs w:val="24"/>
                  </w:rPr>
                  <w:t>Pagrindimas</w:t>
                </w:r>
              </w:p>
              <w:p w:rsidR="00F6024A" w:rsidRDefault="00F04FF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rsidR="00F6024A" w:rsidRDefault="00F04FF7">
                <w:pPr>
                  <w:jc w:val="center"/>
                  <w:rPr>
                    <w:rFonts w:eastAsia="Calibri"/>
                    <w:i/>
                    <w:sz w:val="20"/>
                  </w:rPr>
                </w:pPr>
                <w:r>
                  <w:rPr>
                    <w:rFonts w:eastAsia="Calibri"/>
                    <w:b/>
                    <w:szCs w:val="24"/>
                  </w:rPr>
                  <w:t>Pagrindimo dokumentai</w:t>
                </w:r>
              </w:p>
              <w:p w:rsidR="00F6024A" w:rsidRDefault="00F04FF7">
                <w:pPr>
                  <w:jc w:val="both"/>
                  <w:rPr>
                    <w:rFonts w:eastAsia="Calibri"/>
                    <w:i/>
                    <w:szCs w:val="24"/>
                  </w:rPr>
                </w:pPr>
                <w:r>
                  <w:rPr>
                    <w:rFonts w:eastAsia="Calibri"/>
                    <w:i/>
                    <w:szCs w:val="24"/>
                  </w:rPr>
                  <w:t xml:space="preserve">(nurodomas dokumentas, kuris bus vertinamas siekiant įvertinti </w:t>
                </w:r>
                <w:r>
                  <w:rPr>
                    <w:rFonts w:eastAsia="Calibri"/>
                    <w:i/>
                    <w:szCs w:val="24"/>
                  </w:rPr>
                  <w:t>projekto atitiktį aplinkos tikslams, arba pateikiama šią atitiktį pagrindžianti informacija)</w:t>
                </w:r>
              </w:p>
            </w:tc>
          </w:tr>
          <w:tr w:rsidR="00F6024A">
            <w:tc>
              <w:tcPr>
                <w:tcW w:w="4885" w:type="dxa"/>
              </w:tcPr>
              <w:p w:rsidR="00F6024A" w:rsidRDefault="00F04FF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6024A" w:rsidRDefault="00F04FF7">
                <w:pPr>
                  <w:spacing w:line="259" w:lineRule="auto"/>
                  <w:jc w:val="both"/>
                  <w:rPr>
                    <w:rFonts w:eastAsia="Calibri"/>
                    <w:bCs/>
                    <w:i/>
                    <w:sz w:val="22"/>
                    <w:szCs w:val="22"/>
                  </w:rPr>
                </w:pPr>
                <w:r>
                  <w:rPr>
                    <w:rFonts w:eastAsia="Calibri"/>
                    <w:bCs/>
                    <w:sz w:val="22"/>
                    <w:szCs w:val="22"/>
                  </w:rPr>
                  <w:t>Planuojama įgyvendinti veikla neturi jokio numatomo poveikio šiam aplinkos tikslui arba numatomas jos poveikis yra nereikšmingas, t.</w:t>
                </w:r>
                <w:r>
                  <w:rPr>
                    <w:rFonts w:eastAsia="Calibri"/>
                    <w:bCs/>
                    <w:sz w:val="22"/>
                    <w:szCs w:val="22"/>
                  </w:rPr>
                  <w:t xml:space="preserve"> y. nedaro tiesioginio ir pirminio netiesioginio poveikio per visą gyvavimo ciklą, todėl laikoma, kad jos atitinka klimato kaitos švelninimo tikslą, </w:t>
                </w:r>
                <w:r>
                  <w:rPr>
                    <w:rFonts w:eastAsia="Calibri"/>
                    <w:bCs/>
                    <w:i/>
                    <w:sz w:val="22"/>
                    <w:szCs w:val="22"/>
                  </w:rPr>
                  <w:t xml:space="preserve">nes: </w:t>
                </w:r>
              </w:p>
              <w:p w:rsidR="00F6024A" w:rsidRDefault="00F6024A">
                <w:pPr>
                  <w:rPr>
                    <w:sz w:val="14"/>
                    <w:szCs w:val="14"/>
                  </w:rPr>
                </w:pPr>
              </w:p>
              <w:p w:rsidR="00F6024A" w:rsidRDefault="00F04FF7">
                <w:pPr>
                  <w:jc w:val="both"/>
                  <w:rPr>
                    <w:rFonts w:eastAsia="Calibri"/>
                    <w:bCs/>
                    <w:i/>
                    <w:sz w:val="20"/>
                  </w:rPr>
                </w:pPr>
                <w:r>
                  <w:rPr>
                    <w:rFonts w:eastAsia="Calibri"/>
                    <w:bCs/>
                    <w:szCs w:val="22"/>
                  </w:rPr>
                  <w:t>- </w:t>
                </w:r>
                <w:r>
                  <w:rPr>
                    <w:rFonts w:eastAsia="Calibri"/>
                    <w:bCs/>
                    <w:sz w:val="22"/>
                    <w:szCs w:val="22"/>
                  </w:rPr>
                  <w:t>planuojama įsigyti įranga privalės atitikti (tai bus numatoma atitinkamuose įrangos įsigijimo doku</w:t>
                </w:r>
                <w:r>
                  <w:rPr>
                    <w:rFonts w:eastAsia="Calibri"/>
                    <w:bCs/>
                    <w:sz w:val="22"/>
                    <w:szCs w:val="22"/>
                  </w:rPr>
                  <w:t>mentuose) efektyvumo, tvarumo, ilgaamžiškumo reikalavimus pagal Direktyvą 2009/125/EC ir Direktyvą 2011/65/EU (taikoma, jeigu vykdant veiklas, yra numatoma įsigyti IT ir kt. įrangą).</w:t>
                </w:r>
              </w:p>
            </w:tc>
            <w:tc>
              <w:tcPr>
                <w:tcW w:w="5331" w:type="dxa"/>
              </w:tcPr>
              <w:p w:rsidR="00F6024A" w:rsidRDefault="00F04FF7">
                <w:pPr>
                  <w:tabs>
                    <w:tab w:val="left" w:pos="589"/>
                  </w:tabs>
                  <w:spacing w:line="259" w:lineRule="auto"/>
                  <w:jc w:val="both"/>
                  <w:rPr>
                    <w:rFonts w:eastAsia="Calibri"/>
                    <w:sz w:val="22"/>
                    <w:szCs w:val="22"/>
                  </w:rPr>
                </w:pPr>
                <w:r>
                  <w:rPr>
                    <w:rFonts w:eastAsia="Calibri"/>
                    <w:sz w:val="22"/>
                    <w:szCs w:val="22"/>
                  </w:rPr>
                  <w:lastRenderedPageBreak/>
                  <w:t>Pirkimų dokumentacija, sutartis su rangovu, darbų atlikimo aktas ir pan.</w:t>
                </w:r>
              </w:p>
              <w:p w:rsidR="00F6024A" w:rsidRDefault="00F6024A">
                <w:pPr>
                  <w:rPr>
                    <w:sz w:val="14"/>
                    <w:szCs w:val="14"/>
                  </w:rPr>
                </w:pPr>
              </w:p>
              <w:p w:rsidR="00F6024A" w:rsidRDefault="00F04FF7">
                <w:pPr>
                  <w:tabs>
                    <w:tab w:val="left" w:pos="589"/>
                  </w:tabs>
                  <w:jc w:val="both"/>
                  <w:rPr>
                    <w:rFonts w:eastAsia="Calibri"/>
                    <w:sz w:val="22"/>
                    <w:szCs w:val="22"/>
                  </w:rPr>
                </w:pPr>
                <w:r>
                  <w:rPr>
                    <w:rFonts w:eastAsia="Calibri"/>
                    <w:sz w:val="22"/>
                    <w:szCs w:val="22"/>
                  </w:rPr>
                  <w:t>Įrangos įsigijimo dokumentai.</w:t>
                </w:r>
              </w:p>
              <w:p w:rsidR="00F6024A" w:rsidRDefault="00F04FF7">
                <w:pPr>
                  <w:tabs>
                    <w:tab w:val="left" w:pos="589"/>
                  </w:tabs>
                  <w:jc w:val="both"/>
                  <w:rPr>
                    <w:rFonts w:eastAsia="Calibri"/>
                    <w:sz w:val="22"/>
                    <w:szCs w:val="22"/>
                  </w:rPr>
                </w:pPr>
                <w:r>
                  <w:rPr>
                    <w:rFonts w:eastAsia="Calibri"/>
                    <w:sz w:val="22"/>
                    <w:szCs w:val="22"/>
                  </w:rPr>
                  <w:t>Projekto vykdytojo deklaracija.</w:t>
                </w:r>
              </w:p>
              <w:p w:rsidR="00F6024A" w:rsidRDefault="00F6024A">
                <w:pPr>
                  <w:tabs>
                    <w:tab w:val="left" w:pos="589"/>
                  </w:tabs>
                  <w:jc w:val="both"/>
                  <w:rPr>
                    <w:rFonts w:eastAsia="Calibri"/>
                    <w:i/>
                    <w:sz w:val="20"/>
                  </w:rPr>
                </w:pPr>
              </w:p>
            </w:tc>
          </w:tr>
          <w:tr w:rsidR="00F6024A">
            <w:tc>
              <w:tcPr>
                <w:tcW w:w="4885" w:type="dxa"/>
              </w:tcPr>
              <w:p w:rsidR="00F6024A" w:rsidRDefault="00F04FF7">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F6024A" w:rsidRDefault="00F04FF7">
                <w:pPr>
                  <w:jc w:val="both"/>
                  <w:rPr>
                    <w:rFonts w:eastAsia="Calibri"/>
                    <w:bCs/>
                    <w:szCs w:val="24"/>
                  </w:rPr>
                </w:pPr>
                <w:r>
                  <w:rPr>
                    <w:rFonts w:eastAsia="Calibri"/>
                    <w:bCs/>
                    <w:sz w:val="22"/>
                    <w:szCs w:val="22"/>
                  </w:rPr>
                  <w:t>Nenumatoma, kad planuojamos įgyvendinti veiklos turės neigiamos įtakos prisitaikymui prie klimato kaitos, kadangi bus tik minimalios investicijos į esamos</w:t>
                </w:r>
                <w:r>
                  <w:rPr>
                    <w:rFonts w:eastAsia="Calibri"/>
                    <w:bCs/>
                    <w:sz w:val="22"/>
                    <w:szCs w:val="22"/>
                  </w:rPr>
                  <w:t xml:space="preserve"> infrastruktūros tobulinimą. bus skatinama naudoti žaliąją infrastruktūrą –augmeniją ir kitus pastatų dizaino / apželdinimo sprendinius, kurie sumažintų energijos (kondensavimo) poreikius ir kt.</w:t>
                </w:r>
              </w:p>
            </w:tc>
            <w:tc>
              <w:tcPr>
                <w:tcW w:w="5331" w:type="dxa"/>
              </w:tcPr>
              <w:p w:rsidR="00F6024A" w:rsidRDefault="00F04FF7">
                <w:pPr>
                  <w:tabs>
                    <w:tab w:val="left" w:pos="31"/>
                  </w:tabs>
                  <w:ind w:firstLine="57"/>
                  <w:jc w:val="both"/>
                  <w:rPr>
                    <w:rFonts w:eastAsia="Calibri"/>
                    <w:sz w:val="22"/>
                    <w:szCs w:val="22"/>
                  </w:rPr>
                </w:pPr>
                <w:r>
                  <w:rPr>
                    <w:rFonts w:eastAsia="Calibri"/>
                    <w:sz w:val="22"/>
                    <w:szCs w:val="22"/>
                  </w:rPr>
                  <w:t>Pirkimų dokumentacija, sutartis su rangovu, darbų atlikimo ak</w:t>
                </w:r>
                <w:r>
                  <w:rPr>
                    <w:rFonts w:eastAsia="Calibri"/>
                    <w:sz w:val="22"/>
                    <w:szCs w:val="22"/>
                  </w:rPr>
                  <w:t>tas ir pan.</w:t>
                </w:r>
              </w:p>
              <w:p w:rsidR="00F6024A" w:rsidRDefault="00F04FF7">
                <w:pPr>
                  <w:jc w:val="both"/>
                  <w:rPr>
                    <w:rFonts w:eastAsia="Calibri"/>
                    <w:sz w:val="22"/>
                    <w:szCs w:val="22"/>
                  </w:rPr>
                </w:pPr>
                <w:r>
                  <w:rPr>
                    <w:rFonts w:eastAsia="Calibri"/>
                    <w:sz w:val="22"/>
                    <w:szCs w:val="22"/>
                  </w:rPr>
                  <w:t>Įrangos įsigijimo dokumentai.</w:t>
                </w:r>
              </w:p>
              <w:p w:rsidR="00F6024A" w:rsidRDefault="00F04FF7">
                <w:pPr>
                  <w:jc w:val="both"/>
                  <w:rPr>
                    <w:rFonts w:eastAsia="Calibri"/>
                    <w:bCs/>
                    <w:szCs w:val="24"/>
                  </w:rPr>
                </w:pPr>
                <w:r>
                  <w:rPr>
                    <w:rFonts w:eastAsia="Calibri"/>
                    <w:bCs/>
                    <w:sz w:val="22"/>
                    <w:szCs w:val="22"/>
                  </w:rPr>
                  <w:t>Projekto vykdytojo deklaracija.</w:t>
                </w:r>
              </w:p>
            </w:tc>
          </w:tr>
          <w:tr w:rsidR="00F6024A">
            <w:tc>
              <w:tcPr>
                <w:tcW w:w="4885" w:type="dxa"/>
              </w:tcPr>
              <w:p w:rsidR="00F6024A" w:rsidRDefault="00F04FF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F6024A" w:rsidRDefault="00F04FF7">
                <w:pPr>
                  <w:jc w:val="both"/>
                  <w:rPr>
                    <w:rFonts w:eastAsia="Calibri"/>
                    <w:b/>
                    <w:szCs w:val="24"/>
                  </w:rPr>
                </w:pPr>
                <w:r>
                  <w:rPr>
                    <w:rFonts w:eastAsia="Calibri"/>
                    <w:sz w:val="22"/>
                    <w:szCs w:val="22"/>
                  </w:rPr>
                  <w:t xml:space="preserve">Planuojamos įgyvendinti veiklos neturi jokio numatomo poveikio šiam aplinkos tikslui arba numatomas jos poveikis yra </w:t>
                </w:r>
                <w:r>
                  <w:rPr>
                    <w:rFonts w:eastAsia="Calibri"/>
                    <w:sz w:val="22"/>
                    <w:szCs w:val="22"/>
                  </w:rPr>
                  <w:t xml:space="preserve">nereikšmingas, t. y. nedaro tiesioginio ir pirminio netiesioginio poveikio per visą gyvavimo ciklą, todėl laikoma, kad reformos atitinka Tausaus vandens ir jūrų išteklių naudojimo ir apsaugos tikslą. Nenumatoma infrastruktūrą kurti šalia vandens telkinių, </w:t>
                </w:r>
                <w:r>
                  <w:rPr>
                    <w:rFonts w:eastAsia="Calibri"/>
                    <w:sz w:val="22"/>
                    <w:szCs w:val="22"/>
                  </w:rPr>
                  <w:t>kas galėtų turėti įtakos tausiam vandens ir jūrų išteklių naudojimui.</w:t>
                </w:r>
              </w:p>
            </w:tc>
            <w:tc>
              <w:tcPr>
                <w:tcW w:w="5331" w:type="dxa"/>
              </w:tcPr>
              <w:p w:rsidR="00F6024A" w:rsidRDefault="00F04FF7">
                <w:pPr>
                  <w:jc w:val="both"/>
                  <w:rPr>
                    <w:rFonts w:eastAsia="Calibri"/>
                    <w:bCs/>
                    <w:sz w:val="22"/>
                    <w:szCs w:val="22"/>
                  </w:rPr>
                </w:pPr>
                <w:r>
                  <w:rPr>
                    <w:rFonts w:eastAsia="Calibri"/>
                    <w:bCs/>
                    <w:sz w:val="22"/>
                    <w:szCs w:val="22"/>
                  </w:rPr>
                  <w:t>Pirkimų dokumentacija, sutartis su rangovu, darbų atlikimo aktas ir pan.</w:t>
                </w:r>
              </w:p>
              <w:p w:rsidR="00F6024A" w:rsidRDefault="00F04FF7">
                <w:pPr>
                  <w:jc w:val="both"/>
                  <w:rPr>
                    <w:rFonts w:eastAsia="Calibri"/>
                    <w:bCs/>
                    <w:sz w:val="22"/>
                    <w:szCs w:val="22"/>
                  </w:rPr>
                </w:pPr>
                <w:r>
                  <w:rPr>
                    <w:rFonts w:eastAsia="Calibri"/>
                    <w:bCs/>
                    <w:sz w:val="22"/>
                    <w:szCs w:val="22"/>
                  </w:rPr>
                  <w:t>Įrangos įsigijimo dokumentai.</w:t>
                </w:r>
              </w:p>
              <w:p w:rsidR="00F6024A" w:rsidRDefault="00F04FF7">
                <w:pPr>
                  <w:jc w:val="both"/>
                  <w:rPr>
                    <w:rFonts w:eastAsia="Calibri"/>
                    <w:bCs/>
                    <w:szCs w:val="24"/>
                  </w:rPr>
                </w:pPr>
                <w:r>
                  <w:rPr>
                    <w:rFonts w:eastAsia="Calibri"/>
                    <w:bCs/>
                    <w:sz w:val="22"/>
                    <w:szCs w:val="22"/>
                  </w:rPr>
                  <w:t>Projekto vykdytojo deklaracija.</w:t>
                </w:r>
              </w:p>
            </w:tc>
          </w:tr>
          <w:tr w:rsidR="00F6024A">
            <w:tc>
              <w:tcPr>
                <w:tcW w:w="4885" w:type="dxa"/>
              </w:tcPr>
              <w:p w:rsidR="00F6024A" w:rsidRDefault="00F04FF7">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w:t>
                </w:r>
                <w:r>
                  <w:rPr>
                    <w:rFonts w:eastAsia="Calibri"/>
                    <w:szCs w:val="24"/>
                  </w:rPr>
                  <w:t>tliekų prevenciją ir perdirbimą</w:t>
                </w:r>
              </w:p>
            </w:tc>
            <w:tc>
              <w:tcPr>
                <w:tcW w:w="4633" w:type="dxa"/>
              </w:tcPr>
              <w:p w:rsidR="00F6024A" w:rsidRDefault="00F04FF7">
                <w:pPr>
                  <w:spacing w:line="259" w:lineRule="auto"/>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w:t>
                </w:r>
                <w:r>
                  <w:rPr>
                    <w:rFonts w:eastAsia="Calibri"/>
                    <w:bCs/>
                    <w:sz w:val="22"/>
                    <w:szCs w:val="22"/>
                  </w:rPr>
                  <w:t xml:space="preserve">aikoma, kad jos atitinka žiedinės ekonomikos, įskaitant atliekų prevenciją ir perdirbimą, tikslą. Bus užtikrinamas efektyvus atliekų susirinkimas, skatinamas atskirų dalių pakartotinis naudojimas </w:t>
                </w:r>
                <w:r>
                  <w:rPr>
                    <w:rFonts w:eastAsia="Calibri"/>
                    <w:bCs/>
                    <w:sz w:val="22"/>
                    <w:szCs w:val="22"/>
                  </w:rPr>
                  <w:lastRenderedPageBreak/>
                  <w:t>bei statytojams numatyti reikalavimai riboti atliekų susidar</w:t>
                </w:r>
                <w:r>
                  <w:rPr>
                    <w:rFonts w:eastAsia="Calibri"/>
                    <w:bCs/>
                    <w:sz w:val="22"/>
                    <w:szCs w:val="22"/>
                  </w:rPr>
                  <w:t xml:space="preserve">ymą modernizavimo metu, taikyti naujausius metodus, pakartotinį medžiagų naudojimą ar perdirbimą, naudojantis pažangiomis statybinių atliekų rūšiavimo sistemomis. </w:t>
                </w:r>
              </w:p>
              <w:p w:rsidR="00F6024A" w:rsidRDefault="00F6024A">
                <w:pPr>
                  <w:rPr>
                    <w:sz w:val="14"/>
                    <w:szCs w:val="14"/>
                  </w:rPr>
                </w:pPr>
              </w:p>
              <w:p w:rsidR="00F6024A" w:rsidRDefault="00F04FF7">
                <w:pPr>
                  <w:spacing w:line="259" w:lineRule="auto"/>
                  <w:jc w:val="both"/>
                  <w:rPr>
                    <w:rFonts w:eastAsia="Calibri"/>
                    <w:bCs/>
                    <w:sz w:val="22"/>
                    <w:szCs w:val="22"/>
                  </w:rPr>
                </w:pPr>
                <w:r>
                  <w:rPr>
                    <w:rFonts w:eastAsia="Calibri"/>
                    <w:bCs/>
                    <w:sz w:val="22"/>
                    <w:szCs w:val="22"/>
                  </w:rPr>
                  <w:t>Planuojama įsigyti įranga privalės atitikti (tai bus numatoma atitinkamuose įrangos įsigiji</w:t>
                </w:r>
                <w:r>
                  <w:rPr>
                    <w:rFonts w:eastAsia="Calibri"/>
                    <w:bCs/>
                    <w:sz w:val="22"/>
                    <w:szCs w:val="22"/>
                  </w:rPr>
                  <w:t>mo dokumentuose) efektyvumo, tvarumo, ilgaamžiškumo reikalavimus pagal Direktyvą 2009/125/EC (serveriams ir duomenims saugoti, kompiuteriams ir kompiuterių serveriams ar elektroniniams ekranams) ir Direktyvą 2011/65/EU.</w:t>
                </w:r>
              </w:p>
              <w:p w:rsidR="00F6024A" w:rsidRDefault="00F6024A">
                <w:pPr>
                  <w:rPr>
                    <w:sz w:val="14"/>
                    <w:szCs w:val="14"/>
                  </w:rPr>
                </w:pPr>
              </w:p>
              <w:p w:rsidR="00F6024A" w:rsidRDefault="00F04FF7">
                <w:pPr>
                  <w:jc w:val="both"/>
                  <w:rPr>
                    <w:rFonts w:eastAsia="Calibri"/>
                    <w:bCs/>
                    <w:szCs w:val="24"/>
                  </w:rPr>
                </w:pPr>
                <w:r>
                  <w:rPr>
                    <w:rFonts w:eastAsia="Calibri"/>
                    <w:bCs/>
                    <w:sz w:val="22"/>
                    <w:szCs w:val="22"/>
                  </w:rPr>
                  <w:t>Pasibaigus įsigytos įrangos nauding</w:t>
                </w:r>
                <w:r>
                  <w:rPr>
                    <w:rFonts w:eastAsia="Calibri"/>
                    <w:bCs/>
                    <w:sz w:val="22"/>
                    <w:szCs w:val="22"/>
                  </w:rPr>
                  <w:t>o tarnavimo laikui, įrangos tiekėjai (pardavėjai) privalės (tai bus numatoma atitinkamuose įrangos įsigijimo dokumentuose). Įrangos atliekas sutvarkyti vadovaudamiesi Direktyvos 2012/19/EU reikalavimais ir Lietuvos Respublikos teisės aktais, reglamentuojan</w:t>
                </w:r>
                <w:r>
                  <w:rPr>
                    <w:rFonts w:eastAsia="Calibri"/>
                    <w:bCs/>
                    <w:sz w:val="22"/>
                    <w:szCs w:val="22"/>
                  </w:rPr>
                  <w:t>čiais atliekų tvarkymą bei Valstybinio atliekų prevencijos ir tvarkymo plano nuostatomis.</w:t>
                </w:r>
              </w:p>
            </w:tc>
            <w:tc>
              <w:tcPr>
                <w:tcW w:w="5331" w:type="dxa"/>
              </w:tcPr>
              <w:p w:rsidR="00F6024A" w:rsidRDefault="00F04FF7">
                <w:pPr>
                  <w:jc w:val="both"/>
                  <w:rPr>
                    <w:rFonts w:eastAsia="Calibri"/>
                    <w:sz w:val="22"/>
                    <w:szCs w:val="22"/>
                  </w:rPr>
                </w:pPr>
                <w:r>
                  <w:rPr>
                    <w:rFonts w:eastAsia="Calibri"/>
                    <w:sz w:val="22"/>
                    <w:szCs w:val="22"/>
                  </w:rPr>
                  <w:lastRenderedPageBreak/>
                  <w:t>Pirkimų dokumentacija, sutartis su rangovu, darbų atlikimo aktas ir pan.</w:t>
                </w:r>
              </w:p>
              <w:p w:rsidR="00F6024A" w:rsidRDefault="00F04FF7">
                <w:pPr>
                  <w:jc w:val="both"/>
                  <w:rPr>
                    <w:rFonts w:eastAsia="Calibri"/>
                    <w:sz w:val="22"/>
                    <w:szCs w:val="22"/>
                  </w:rPr>
                </w:pPr>
                <w:r>
                  <w:rPr>
                    <w:rFonts w:eastAsia="Calibri"/>
                    <w:sz w:val="22"/>
                    <w:szCs w:val="22"/>
                  </w:rPr>
                  <w:t>IT įrangos įsigijimo dokumentai.</w:t>
                </w:r>
              </w:p>
              <w:p w:rsidR="00F6024A" w:rsidRDefault="00F04FF7">
                <w:pPr>
                  <w:jc w:val="both"/>
                  <w:rPr>
                    <w:rFonts w:eastAsia="Calibri"/>
                    <w:szCs w:val="24"/>
                  </w:rPr>
                </w:pPr>
                <w:r>
                  <w:rPr>
                    <w:rFonts w:eastAsia="Calibri"/>
                    <w:sz w:val="22"/>
                    <w:szCs w:val="22"/>
                  </w:rPr>
                  <w:t>Projekto vykdytojo deklaracija.</w:t>
                </w:r>
              </w:p>
            </w:tc>
          </w:tr>
          <w:tr w:rsidR="00F6024A">
            <w:tc>
              <w:tcPr>
                <w:tcW w:w="4885" w:type="dxa"/>
              </w:tcPr>
              <w:p w:rsidR="00F6024A" w:rsidRDefault="00F04FF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 xml:space="preserve">Oro, vandens ar žemės </w:t>
                </w:r>
                <w:r>
                  <w:rPr>
                    <w:rFonts w:eastAsia="Calibri"/>
                    <w:bCs/>
                    <w:szCs w:val="24"/>
                  </w:rPr>
                  <w:t>taršos prevencija ir kontrolė</w:t>
                </w:r>
              </w:p>
            </w:tc>
            <w:tc>
              <w:tcPr>
                <w:tcW w:w="4633" w:type="dxa"/>
              </w:tcPr>
              <w:p w:rsidR="00F6024A" w:rsidRDefault="00F04FF7">
                <w:pPr>
                  <w:spacing w:line="259" w:lineRule="auto"/>
                  <w:jc w:val="both"/>
                  <w:rPr>
                    <w:rFonts w:eastAsia="Calibri"/>
                    <w:sz w:val="22"/>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w:t>
                </w:r>
                <w:r>
                  <w:rPr>
                    <w:rFonts w:eastAsia="Calibri"/>
                    <w:sz w:val="22"/>
                    <w:szCs w:val="22"/>
                  </w:rPr>
                  <w:t>koma, kad reformos atitinka oro, vandens ar žemės taršos prevencijos ir kontrolės tikslą:</w:t>
                </w:r>
              </w:p>
              <w:p w:rsidR="00F6024A" w:rsidRDefault="00F6024A">
                <w:pPr>
                  <w:rPr>
                    <w:sz w:val="14"/>
                    <w:szCs w:val="14"/>
                  </w:rPr>
                </w:pPr>
              </w:p>
              <w:p w:rsidR="00F6024A" w:rsidRDefault="00F6024A">
                <w:pPr>
                  <w:rPr>
                    <w:sz w:val="14"/>
                    <w:szCs w:val="14"/>
                  </w:rPr>
                </w:pPr>
              </w:p>
              <w:p w:rsidR="00F6024A" w:rsidRDefault="00F04FF7">
                <w:pPr>
                  <w:spacing w:line="259" w:lineRule="auto"/>
                  <w:jc w:val="both"/>
                  <w:rPr>
                    <w:rFonts w:eastAsia="Calibri"/>
                    <w:sz w:val="22"/>
                    <w:szCs w:val="22"/>
                  </w:rPr>
                </w:pPr>
                <w:r>
                  <w:rPr>
                    <w:rFonts w:eastAsia="Calibri"/>
                    <w:sz w:val="22"/>
                    <w:szCs w:val="22"/>
                  </w:rPr>
                  <w:lastRenderedPageBreak/>
                  <w:t>Nenumatoma, kad įgyvendinant reformą ar investiciją padidės teršalų išmetimas į orą, vandenį ar žemę, kadangi:</w:t>
                </w:r>
              </w:p>
              <w:p w:rsidR="00F6024A" w:rsidRDefault="00F6024A">
                <w:pPr>
                  <w:rPr>
                    <w:sz w:val="14"/>
                    <w:szCs w:val="14"/>
                  </w:rPr>
                </w:pPr>
              </w:p>
              <w:p w:rsidR="00F6024A" w:rsidRDefault="00F04FF7">
                <w:pPr>
                  <w:jc w:val="both"/>
                  <w:rPr>
                    <w:rFonts w:eastAsia="Calibri"/>
                    <w:sz w:val="22"/>
                    <w:szCs w:val="22"/>
                  </w:rPr>
                </w:pPr>
                <w:r>
                  <w:rPr>
                    <w:rFonts w:eastAsia="Calibri"/>
                    <w:sz w:val="22"/>
                    <w:szCs w:val="22"/>
                  </w:rPr>
                  <w:t>* statybose naudojamose statybinėse dalyse ir medžia</w:t>
                </w:r>
                <w:r>
                  <w:rPr>
                    <w:rFonts w:eastAsia="Calibri"/>
                    <w:sz w:val="22"/>
                    <w:szCs w:val="22"/>
                  </w:rPr>
                  <w:t>gose nėra asbesto ir labai didelį susirūpinimą keliančių medžiagų, nustatytų remiantis medžiagų, kurioms reikalingas leidimas, sąrašu, nurodytu Europos Parlamento reglamento (EB) Nr. 1907/2006 XIV priede ir Tarybos;</w:t>
                </w:r>
              </w:p>
              <w:p w:rsidR="00F6024A" w:rsidRDefault="00F04FF7">
                <w:pPr>
                  <w:jc w:val="both"/>
                  <w:rPr>
                    <w:rFonts w:eastAsia="Calibri"/>
                    <w:sz w:val="22"/>
                    <w:szCs w:val="22"/>
                  </w:rPr>
                </w:pPr>
                <w:r>
                  <w:rPr>
                    <w:rFonts w:eastAsia="Calibri"/>
                    <w:sz w:val="22"/>
                    <w:szCs w:val="22"/>
                  </w:rPr>
                  <w:t>* statyboje naudojami komponentai ir med</w:t>
                </w:r>
                <w:r>
                  <w:rPr>
                    <w:rFonts w:eastAsia="Calibri"/>
                    <w:sz w:val="22"/>
                    <w:szCs w:val="22"/>
                  </w:rPr>
                  <w:t xml:space="preserve">žiagos, galinčios liestis su gyventojais, išskiria mažiau nei 0,06 mg </w:t>
                </w:r>
                <w:proofErr w:type="spellStart"/>
                <w:r>
                  <w:rPr>
                    <w:rFonts w:eastAsia="Calibri"/>
                    <w:sz w:val="22"/>
                    <w:szCs w:val="22"/>
                  </w:rPr>
                  <w:t>formaldehido</w:t>
                </w:r>
                <w:proofErr w:type="spellEnd"/>
                <w:r>
                  <w:rPr>
                    <w:rFonts w:eastAsia="Calibri"/>
                    <w:sz w:val="22"/>
                    <w:szCs w:val="22"/>
                  </w:rPr>
                  <w:t xml:space="preserve"> 1 m³ medžiagos ar komponento ir mažiau kaip 0,001 mg 1A ir 1B kategorijos kancerogeninių lakiųjų organinių junginių 1 m³ medžiagos arba komponentas, atlikus bandymus pagal C</w:t>
                </w:r>
                <w:r>
                  <w:rPr>
                    <w:rFonts w:eastAsia="Calibri"/>
                    <w:sz w:val="22"/>
                    <w:szCs w:val="22"/>
                  </w:rPr>
                  <w:t>EN / TS 16516 ir ISO 16000-3 arba kitas panašias standartizuotas bandymo sąlygas ir nustatymo metodus;</w:t>
                </w:r>
              </w:p>
              <w:p w:rsidR="00F6024A" w:rsidRDefault="00F04FF7">
                <w:pPr>
                  <w:spacing w:line="259" w:lineRule="auto"/>
                  <w:jc w:val="both"/>
                  <w:rPr>
                    <w:rFonts w:eastAsia="Calibri"/>
                    <w:sz w:val="22"/>
                    <w:szCs w:val="22"/>
                  </w:rPr>
                </w:pPr>
                <w:r>
                  <w:rPr>
                    <w:rFonts w:eastAsia="Calibri"/>
                    <w:sz w:val="22"/>
                    <w:szCs w:val="22"/>
                  </w:rPr>
                  <w:t>* imamasi priemonių sumažinti triukšmą, dulkes ir teršalus išmetant statybos ar priežiūros darbus.</w:t>
                </w:r>
              </w:p>
              <w:p w:rsidR="00F6024A" w:rsidRDefault="00F6024A">
                <w:pPr>
                  <w:rPr>
                    <w:sz w:val="14"/>
                    <w:szCs w:val="14"/>
                  </w:rPr>
                </w:pPr>
              </w:p>
              <w:p w:rsidR="00F6024A" w:rsidRDefault="00F04FF7">
                <w:pPr>
                  <w:spacing w:line="259" w:lineRule="auto"/>
                  <w:jc w:val="both"/>
                  <w:rPr>
                    <w:rFonts w:eastAsia="Calibri"/>
                    <w:sz w:val="22"/>
                    <w:szCs w:val="22"/>
                  </w:rPr>
                </w:pPr>
                <w:r>
                  <w:rPr>
                    <w:rFonts w:eastAsia="Calibri"/>
                    <w:sz w:val="22"/>
                    <w:szCs w:val="22"/>
                  </w:rPr>
                  <w:t xml:space="preserve">Vertinama, kad investicijos atitinka tausaus vandens </w:t>
                </w:r>
                <w:r>
                  <w:rPr>
                    <w:rFonts w:eastAsia="Calibri"/>
                    <w:sz w:val="22"/>
                    <w:szCs w:val="22"/>
                  </w:rPr>
                  <w:t>ir jūrų išteklių naudojimo ir apsaugos tikslą, nes įgyvendinant veiklas, nenumatoma, kad bus daroma žala vandens ir jūrų ištekliams.</w:t>
                </w:r>
              </w:p>
              <w:p w:rsidR="00F6024A" w:rsidRDefault="00F6024A">
                <w:pPr>
                  <w:rPr>
                    <w:sz w:val="14"/>
                    <w:szCs w:val="14"/>
                  </w:rPr>
                </w:pPr>
              </w:p>
              <w:p w:rsidR="00F6024A" w:rsidRDefault="00F04FF7">
                <w:pPr>
                  <w:rPr>
                    <w:rFonts w:eastAsia="Calibri"/>
                    <w:b/>
                    <w:szCs w:val="24"/>
                  </w:rPr>
                </w:pPr>
                <w:r>
                  <w:rPr>
                    <w:rFonts w:eastAsia="Calibri"/>
                    <w:sz w:val="22"/>
                    <w:szCs w:val="22"/>
                  </w:rPr>
                  <w:t xml:space="preserve">Veikla įgyvendinama vadovaujantis Europos Parlamento ir Tarybos Direktyva (ES) 2018 m. gruodžio 11 d. 2018/2001 dėl </w:t>
                </w:r>
                <w:r>
                  <w:rPr>
                    <w:rFonts w:eastAsia="Calibri"/>
                    <w:sz w:val="22"/>
                    <w:szCs w:val="22"/>
                  </w:rPr>
                  <w:t>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rsidR="00F6024A" w:rsidRDefault="00F04FF7">
                <w:pPr>
                  <w:jc w:val="both"/>
                  <w:rPr>
                    <w:rFonts w:eastAsia="Calibri"/>
                    <w:sz w:val="22"/>
                    <w:szCs w:val="22"/>
                  </w:rPr>
                </w:pPr>
                <w:r>
                  <w:rPr>
                    <w:rFonts w:eastAsia="Calibri"/>
                    <w:sz w:val="22"/>
                    <w:szCs w:val="22"/>
                  </w:rPr>
                  <w:lastRenderedPageBreak/>
                  <w:t>Pirkimų dokumentacija, sutartis su ran</w:t>
                </w:r>
                <w:r>
                  <w:rPr>
                    <w:rFonts w:eastAsia="Calibri"/>
                    <w:sz w:val="22"/>
                    <w:szCs w:val="22"/>
                  </w:rPr>
                  <w:t>govu, darbų atlikimo aktas ir pan.</w:t>
                </w:r>
              </w:p>
              <w:p w:rsidR="00F6024A" w:rsidRDefault="00F04FF7">
                <w:pPr>
                  <w:jc w:val="both"/>
                  <w:rPr>
                    <w:rFonts w:eastAsia="Calibri"/>
                    <w:sz w:val="22"/>
                    <w:szCs w:val="22"/>
                  </w:rPr>
                </w:pPr>
                <w:r>
                  <w:rPr>
                    <w:rFonts w:eastAsia="Calibri"/>
                    <w:sz w:val="22"/>
                    <w:szCs w:val="22"/>
                  </w:rPr>
                  <w:t>Įrangos įsigijimo dokumentai.</w:t>
                </w:r>
              </w:p>
              <w:p w:rsidR="00F6024A" w:rsidRDefault="00F04FF7">
                <w:pPr>
                  <w:jc w:val="both"/>
                  <w:rPr>
                    <w:rFonts w:eastAsia="Calibri"/>
                    <w:szCs w:val="24"/>
                  </w:rPr>
                </w:pPr>
                <w:r>
                  <w:rPr>
                    <w:rFonts w:eastAsia="Calibri"/>
                    <w:sz w:val="22"/>
                    <w:szCs w:val="22"/>
                  </w:rPr>
                  <w:t>Projekto vykdytojo deklaracija.</w:t>
                </w:r>
              </w:p>
            </w:tc>
          </w:tr>
          <w:tr w:rsidR="00F6024A">
            <w:tc>
              <w:tcPr>
                <w:tcW w:w="4885" w:type="dxa"/>
              </w:tcPr>
              <w:p w:rsidR="00F6024A" w:rsidRDefault="00F04FF7">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rsidR="00F6024A" w:rsidRDefault="00F04FF7">
                <w:pPr>
                  <w:spacing w:line="259" w:lineRule="auto"/>
                  <w:jc w:val="both"/>
                  <w:rPr>
                    <w:rFonts w:eastAsia="Calibri"/>
                    <w:sz w:val="22"/>
                    <w:szCs w:val="22"/>
                  </w:rPr>
                </w:pPr>
                <w:r>
                  <w:rPr>
                    <w:rFonts w:eastAsia="Calibri"/>
                    <w:sz w:val="22"/>
                    <w:szCs w:val="22"/>
                  </w:rPr>
                  <w:t>Planuojamos įgyvendinti reformos neturi jokio numatomo poveikio šiam aplinkos tikslui arba numatoma</w:t>
                </w:r>
                <w:r>
                  <w:rPr>
                    <w:rFonts w:eastAsia="Calibri"/>
                    <w:sz w:val="22"/>
                    <w:szCs w:val="22"/>
                  </w:rPr>
                  <w:t>s jos poveikis yra nereikšmingas, t. y. nedaro tiesioginio ir pirminio netiesioginio poveikio per visą gyvavimo ciklą, todėl laikoma, kad jos atitinka Biologinės įvairovės ir ekosistemų apsaugos ir atkūrimo tikslą.</w:t>
                </w:r>
              </w:p>
              <w:p w:rsidR="00F6024A" w:rsidRDefault="00F6024A">
                <w:pPr>
                  <w:rPr>
                    <w:sz w:val="14"/>
                    <w:szCs w:val="14"/>
                  </w:rPr>
                </w:pPr>
              </w:p>
              <w:p w:rsidR="00F6024A" w:rsidRDefault="00F04FF7">
                <w:pPr>
                  <w:rPr>
                    <w:rFonts w:eastAsia="Calibri"/>
                    <w:b/>
                    <w:szCs w:val="24"/>
                  </w:rPr>
                </w:pPr>
                <w:r>
                  <w:rPr>
                    <w:rFonts w:eastAsia="Calibri"/>
                    <w:sz w:val="22"/>
                    <w:szCs w:val="22"/>
                  </w:rPr>
                  <w:t>Nenumatoma kurti ar renovuoti infrastruk</w:t>
                </w:r>
                <w:r>
                  <w:rPr>
                    <w:rFonts w:eastAsia="Calibri"/>
                    <w:sz w:val="22"/>
                    <w:szCs w:val="22"/>
                  </w:rPr>
                  <w:t>tūros saugomose teritorijose ar gyvūnų, augalų buveinių ir rūšių, įskaitant ES saugomų, apsaugos teritorijose.</w:t>
                </w:r>
              </w:p>
            </w:tc>
            <w:tc>
              <w:tcPr>
                <w:tcW w:w="5331" w:type="dxa"/>
              </w:tcPr>
              <w:p w:rsidR="00F6024A" w:rsidRDefault="00F04FF7">
                <w:pPr>
                  <w:jc w:val="both"/>
                  <w:rPr>
                    <w:rFonts w:eastAsia="Calibri"/>
                    <w:szCs w:val="24"/>
                  </w:rPr>
                </w:pPr>
                <w:r>
                  <w:rPr>
                    <w:rFonts w:eastAsia="Calibri"/>
                    <w:sz w:val="22"/>
                    <w:szCs w:val="22"/>
                  </w:rPr>
                  <w:t>Projekto vykdytojo deklaracija</w:t>
                </w:r>
              </w:p>
            </w:tc>
          </w:tr>
        </w:tbl>
        <w:p w:rsidR="00F6024A" w:rsidRDefault="00F6024A">
          <w:pPr>
            <w:spacing w:line="276" w:lineRule="auto"/>
            <w:jc w:val="center"/>
            <w:rPr>
              <w:rFonts w:ascii="Calibri" w:eastAsia="Calibri" w:hAnsi="Calibri"/>
              <w:szCs w:val="24"/>
            </w:rPr>
          </w:pPr>
        </w:p>
        <w:p w:rsidR="00F6024A" w:rsidRDefault="00F04FF7">
          <w:pPr>
            <w:spacing w:line="276" w:lineRule="auto"/>
            <w:jc w:val="center"/>
            <w:rPr>
              <w:rFonts w:ascii="Calibri" w:eastAsia="Calibri" w:hAnsi="Calibri"/>
              <w:szCs w:val="24"/>
            </w:rPr>
          </w:pPr>
          <w:r>
            <w:rPr>
              <w:szCs w:val="24"/>
            </w:rPr>
            <w:t>___________________________________</w:t>
          </w:r>
        </w:p>
        <w:p w:rsidR="00F6024A" w:rsidRDefault="00F6024A">
          <w:pPr>
            <w:spacing w:line="259" w:lineRule="auto"/>
            <w:rPr>
              <w:rFonts w:ascii="Calibri" w:eastAsia="Calibri" w:hAnsi="Calibri"/>
              <w:szCs w:val="24"/>
            </w:rPr>
            <w:sectPr w:rsidR="00F6024A">
              <w:pgSz w:w="16838" w:h="11906" w:orient="landscape"/>
              <w:pgMar w:top="1701" w:right="567" w:bottom="1134" w:left="1701" w:header="567" w:footer="567" w:gutter="0"/>
              <w:pgNumType w:start="1"/>
              <w:cols w:space="1296"/>
              <w:titlePg/>
              <w:docGrid w:linePitch="360"/>
            </w:sectPr>
          </w:pPr>
        </w:p>
        <w:p w:rsidR="00F6024A" w:rsidRDefault="00F6024A">
          <w:pPr>
            <w:rPr>
              <w:sz w:val="14"/>
              <w:szCs w:val="14"/>
            </w:rPr>
          </w:pPr>
        </w:p>
        <w:p w:rsidR="00F6024A" w:rsidRDefault="00F6024A">
          <w:pPr>
            <w:tabs>
              <w:tab w:val="center" w:pos="4819"/>
              <w:tab w:val="right" w:pos="9638"/>
            </w:tabs>
          </w:pPr>
        </w:p>
        <w:p w:rsidR="00F6024A" w:rsidRDefault="00F6024A">
          <w:pPr>
            <w:spacing w:line="259" w:lineRule="auto"/>
            <w:rPr>
              <w:rFonts w:ascii="Calibri" w:eastAsia="Calibri" w:hAnsi="Calibri"/>
              <w:szCs w:val="24"/>
            </w:rPr>
          </w:pPr>
        </w:p>
        <w:p w:rsidR="00F6024A" w:rsidRDefault="00F6024A">
          <w:pPr>
            <w:rPr>
              <w:sz w:val="14"/>
              <w:szCs w:val="14"/>
            </w:rPr>
          </w:pPr>
        </w:p>
        <w:p w:rsidR="00F6024A" w:rsidRDefault="00F04FF7">
          <w:pPr>
            <w:spacing w:line="276" w:lineRule="auto"/>
            <w:jc w:val="center"/>
            <w:rPr>
              <w:rFonts w:ascii="Calibri" w:eastAsia="Calibri" w:hAnsi="Calibri"/>
              <w:szCs w:val="24"/>
            </w:rPr>
          </w:pPr>
        </w:p>
      </w:sdtContent>
    </w:sdt>
    <w:sdt>
      <w:sdtPr>
        <w:alias w:val="2 pr."/>
        <w:tag w:val="part_1eaa3770f7c54aeeab82aa45de6545f0"/>
        <w:id w:val="463086873"/>
        <w:lock w:val="sdtLocked"/>
      </w:sdtPr>
      <w:sdtEndPr/>
      <w:sdtContent>
        <w:p w:rsidR="00F6024A" w:rsidRDefault="00F04FF7">
          <w:pPr>
            <w:ind w:left="10206"/>
            <w:jc w:val="both"/>
            <w:rPr>
              <w:szCs w:val="24"/>
            </w:rPr>
          </w:pPr>
          <w:r>
            <w:rPr>
              <w:szCs w:val="24"/>
            </w:rPr>
            <w:t xml:space="preserve">11 priedo „2021–2030 m. plėtros programos </w:t>
          </w:r>
          <w:r>
            <w:rPr>
              <w:szCs w:val="24"/>
            </w:rPr>
            <w:t>valdytojos Lietuvos Respublikos švietimo, mokslo ir sporto ministerijos mokslo plėtros programos pažangos priemonės Nr. 12-001-01-02-01 „Stiprinti inovacijų ekosistemas mokslo centruose“ projektų finansavimo sąlygų aprašo Nr. 11“</w:t>
          </w:r>
        </w:p>
        <w:p w:rsidR="00F6024A" w:rsidRDefault="00F04FF7">
          <w:pPr>
            <w:ind w:left="10206"/>
            <w:jc w:val="both"/>
            <w:rPr>
              <w:szCs w:val="24"/>
            </w:rPr>
          </w:pPr>
          <w:sdt>
            <w:sdtPr>
              <w:alias w:val="Numeris"/>
              <w:tag w:val="nr_1eaa3770f7c54aeeab82aa45de6545f0"/>
              <w:id w:val="354314364"/>
              <w:lock w:val="sdtLocked"/>
            </w:sdtPr>
            <w:sdtEndPr/>
            <w:sdtContent>
              <w:r>
                <w:rPr>
                  <w:szCs w:val="24"/>
                </w:rPr>
                <w:t>2</w:t>
              </w:r>
            </w:sdtContent>
          </w:sdt>
          <w:r>
            <w:rPr>
              <w:szCs w:val="24"/>
            </w:rPr>
            <w:t xml:space="preserve"> priedas</w:t>
          </w:r>
        </w:p>
        <w:p w:rsidR="00F6024A" w:rsidRDefault="00F6024A">
          <w:pPr>
            <w:ind w:right="567"/>
            <w:jc w:val="center"/>
            <w:rPr>
              <w:b/>
              <w:szCs w:val="24"/>
              <w:lang w:eastAsia="lt-LT"/>
            </w:rPr>
          </w:pPr>
        </w:p>
        <w:p w:rsidR="00F6024A" w:rsidRDefault="00F04FF7">
          <w:pPr>
            <w:ind w:right="567"/>
            <w:jc w:val="center"/>
            <w:rPr>
              <w:b/>
              <w:szCs w:val="24"/>
              <w:lang w:eastAsia="lt-LT"/>
            </w:rPr>
          </w:pPr>
          <w:sdt>
            <w:sdtPr>
              <w:alias w:val="Pavadinimas"/>
              <w:tag w:val="title_1eaa3770f7c54aeeab82aa45de6545f0"/>
              <w:id w:val="-924957380"/>
              <w:lock w:val="sdtLocked"/>
            </w:sdtPr>
            <w:sdtEndPr/>
            <w:sdtContent>
              <w:r>
                <w:rPr>
                  <w:b/>
                  <w:szCs w:val="24"/>
                  <w:lang w:eastAsia="lt-LT"/>
                </w:rPr>
                <w:t>INFORMACIJOS,</w:t>
              </w:r>
              <w:r>
                <w:rPr>
                  <w:b/>
                  <w:szCs w:val="24"/>
                  <w:lang w:eastAsia="lt-LT"/>
                </w:rPr>
                <w:t xml:space="preserve"> REIKALINGOS PROJEKTO ATITIKČIAI SUMANIOSIOS SPECIALIZACIJOS KONCEPCIJAI ĮVERTINTI, FORMA</w:t>
              </w:r>
            </w:sdtContent>
          </w:sdt>
        </w:p>
        <w:p w:rsidR="00F6024A" w:rsidRDefault="00F6024A">
          <w:pPr>
            <w:ind w:right="567"/>
            <w:jc w:val="both"/>
            <w:rPr>
              <w:b/>
              <w:szCs w:val="24"/>
              <w:lang w:eastAsia="lt-LT"/>
            </w:rPr>
          </w:pPr>
        </w:p>
        <w:p w:rsidR="00F6024A" w:rsidRDefault="00F6024A">
          <w:pPr>
            <w:ind w:right="567"/>
            <w:jc w:val="both"/>
            <w:rPr>
              <w:b/>
              <w:szCs w:val="24"/>
              <w:lang w:eastAsia="lt-LT"/>
            </w:rPr>
          </w:pPr>
        </w:p>
        <w:sdt>
          <w:sdtPr>
            <w:alias w:val="2 pr. 1 p."/>
            <w:tag w:val="part_beb4fa9f4b2841a9ba08b630a9dd2954"/>
            <w:id w:val="-438603462"/>
            <w:lock w:val="sdtLocked"/>
          </w:sdtPr>
          <w:sdtEndPr/>
          <w:sdtContent>
            <w:p w:rsidR="00F6024A" w:rsidRDefault="00F04FF7">
              <w:pPr>
                <w:ind w:right="567"/>
                <w:jc w:val="both"/>
                <w:rPr>
                  <w:b/>
                  <w:szCs w:val="24"/>
                  <w:lang w:eastAsia="lt-LT"/>
                </w:rPr>
              </w:pPr>
              <w:sdt>
                <w:sdtPr>
                  <w:alias w:val="Numeris"/>
                  <w:tag w:val="nr_beb4fa9f4b2841a9ba08b630a9dd2954"/>
                  <w:id w:val="1501243472"/>
                  <w:lock w:val="sdtLocked"/>
                </w:sdtPr>
                <w:sdtEnd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w:t>
              </w:r>
              <w:r>
                <w:rPr>
                  <w:b/>
                  <w:szCs w:val="24"/>
                  <w:lang w:eastAsia="lt-LT"/>
                </w:rPr>
                <w:t xml:space="preserve">patvirtintai Lietuvos Respublikos Vyriausybės 2022 m. rugpjūčio 17 d. nutarimu Nr. 835 „Dėl Mokslinių tyrimų ir eksperimentinės plėtros ir inovacijų (sumaniosios specializacijos) koncepcijos patvirtinimo“ (toliau – Koncepcija), ir atitinka bent vieną šios </w:t>
              </w:r>
              <w:r>
                <w:rPr>
                  <w:b/>
                  <w:szCs w:val="24"/>
                  <w:lang w:eastAsia="lt-LT"/>
                </w:rPr>
                <w:t>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F6024A">
                <w:tc>
                  <w:tcPr>
                    <w:tcW w:w="2951" w:type="dxa"/>
                    <w:gridSpan w:val="2"/>
                    <w:shd w:val="clear" w:color="auto" w:fill="BFBFBF"/>
                    <w:vAlign w:val="center"/>
                  </w:tcPr>
                  <w:p w:rsidR="00F6024A" w:rsidRDefault="00F04FF7">
                    <w:pPr>
                      <w:jc w:val="center"/>
                      <w:rPr>
                        <w:b/>
                        <w:szCs w:val="24"/>
                        <w:lang w:eastAsia="lt-LT"/>
                      </w:rPr>
                    </w:pPr>
                    <w:r>
                      <w:rPr>
                        <w:b/>
                        <w:szCs w:val="24"/>
                        <w:lang w:eastAsia="lt-LT"/>
                      </w:rPr>
                      <w:t>Mokslinių tyrimų, eksperimentinės plėtros ir inovacijų prioritetas</w:t>
                    </w:r>
                  </w:p>
                  <w:p w:rsidR="00F6024A" w:rsidRDefault="00F6024A">
                    <w:pPr>
                      <w:jc w:val="center"/>
                      <w:rPr>
                        <w:szCs w:val="24"/>
                        <w:lang w:eastAsia="lt-LT"/>
                      </w:rPr>
                    </w:pPr>
                  </w:p>
                </w:tc>
                <w:tc>
                  <w:tcPr>
                    <w:tcW w:w="11503" w:type="dxa"/>
                    <w:gridSpan w:val="2"/>
                    <w:shd w:val="clear" w:color="auto" w:fill="BFBFBF"/>
                    <w:vAlign w:val="center"/>
                  </w:tcPr>
                  <w:p w:rsidR="00F6024A" w:rsidRDefault="00F04FF7">
                    <w:pPr>
                      <w:jc w:val="center"/>
                      <w:rPr>
                        <w:b/>
                        <w:szCs w:val="24"/>
                        <w:lang w:eastAsia="lt-LT"/>
                      </w:rPr>
                    </w:pPr>
                    <w:r>
                      <w:rPr>
                        <w:b/>
                        <w:szCs w:val="24"/>
                        <w:lang w:eastAsia="lt-LT"/>
                      </w:rPr>
                      <w:t xml:space="preserve">Prioriteto tematika </w:t>
                    </w:r>
                  </w:p>
                  <w:p w:rsidR="00F6024A" w:rsidRDefault="00F6024A">
                    <w:pPr>
                      <w:jc w:val="center"/>
                      <w:rPr>
                        <w:b/>
                        <w:szCs w:val="24"/>
                        <w:lang w:eastAsia="lt-LT"/>
                      </w:rPr>
                    </w:pPr>
                  </w:p>
                </w:tc>
              </w:tr>
              <w:tr w:rsidR="00F6024A">
                <w:tc>
                  <w:tcPr>
                    <w:tcW w:w="2252" w:type="dxa"/>
                    <w:vMerge w:val="restart"/>
                    <w:shd w:val="clear" w:color="auto" w:fill="BFBFBF"/>
                    <w:vAlign w:val="center"/>
                  </w:tcPr>
                  <w:p w:rsidR="00F6024A" w:rsidRDefault="00F04FF7">
                    <w:pPr>
                      <w:rPr>
                        <w:b/>
                        <w:szCs w:val="24"/>
                        <w:lang w:eastAsia="lt-LT"/>
                      </w:rPr>
                    </w:pPr>
                    <w:r>
                      <w:rPr>
                        <w:b/>
                        <w:szCs w:val="24"/>
                      </w:rPr>
                      <w:t>2.1. Sveikatos technologijos ir biotechnologijos</w:t>
                    </w:r>
                  </w:p>
                </w:tc>
                <w:tc>
                  <w:tcPr>
                    <w:tcW w:w="699" w:type="dxa"/>
                    <w:vMerge w:val="restart"/>
                    <w:vAlign w:val="center"/>
                  </w:tcPr>
                  <w:p w:rsidR="00F6024A" w:rsidRDefault="00F04FF7">
                    <w:pPr>
                      <w:jc w:val="center"/>
                      <w:rPr>
                        <w:szCs w:val="24"/>
                      </w:rPr>
                    </w:pPr>
                    <w:r>
                      <w:rPr>
                        <w:szCs w:val="24"/>
                      </w:rPr>
                      <w:t>□</w:t>
                    </w:r>
                  </w:p>
                </w:tc>
                <w:tc>
                  <w:tcPr>
                    <w:tcW w:w="6542" w:type="dxa"/>
                  </w:tcPr>
                  <w:p w:rsidR="00F6024A" w:rsidRDefault="00F04FF7">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rsidR="00F6024A" w:rsidRDefault="00F04FF7">
                    <w:pPr>
                      <w:jc w:val="both"/>
                      <w:rPr>
                        <w:b/>
                        <w:szCs w:val="24"/>
                        <w:lang w:eastAsia="lt-LT"/>
                      </w:rPr>
                    </w:pPr>
                    <w:r>
                      <w:rPr>
                        <w:sz w:val="36"/>
                        <w:szCs w:val="36"/>
                      </w:rPr>
                      <w:t>□</w:t>
                    </w:r>
                  </w:p>
                </w:tc>
              </w:tr>
              <w:tr w:rsidR="00F6024A">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b/>
                        <w:szCs w:val="24"/>
                        <w:lang w:eastAsia="lt-LT"/>
                      </w:rPr>
                    </w:pPr>
                    <w:r>
                      <w:rPr>
                        <w:szCs w:val="24"/>
                      </w:rPr>
                      <w:t>2.1.2. Pažangios taikomosios technologijos asmens ir visuomenės sveikatai</w:t>
                    </w:r>
                  </w:p>
                </w:tc>
                <w:tc>
                  <w:tcPr>
                    <w:tcW w:w="4961" w:type="dxa"/>
                  </w:tcPr>
                  <w:p w:rsidR="00F6024A" w:rsidRDefault="00F04FF7">
                    <w:pPr>
                      <w:jc w:val="both"/>
                      <w:rPr>
                        <w:b/>
                        <w:szCs w:val="24"/>
                        <w:lang w:eastAsia="lt-LT"/>
                      </w:rPr>
                    </w:pPr>
                    <w:r>
                      <w:rPr>
                        <w:sz w:val="36"/>
                        <w:szCs w:val="36"/>
                      </w:rPr>
                      <w:t>□</w:t>
                    </w:r>
                  </w:p>
                </w:tc>
              </w:tr>
              <w:tr w:rsidR="00F6024A">
                <w:trPr>
                  <w:trHeight w:val="585"/>
                </w:trPr>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b/>
                        <w:szCs w:val="24"/>
                        <w:lang w:eastAsia="lt-LT"/>
                      </w:rPr>
                    </w:pPr>
                    <w:r>
                      <w:rPr>
                        <w:szCs w:val="24"/>
                      </w:rPr>
                      <w:t>2.1.3. Pažangi medicinos inžinerija ankstyvai diagnostikai ir gydymui</w:t>
                    </w:r>
                  </w:p>
                </w:tc>
                <w:tc>
                  <w:tcPr>
                    <w:tcW w:w="4961" w:type="dxa"/>
                  </w:tcPr>
                  <w:p w:rsidR="00F6024A" w:rsidRDefault="00F04FF7">
                    <w:pPr>
                      <w:jc w:val="both"/>
                      <w:rPr>
                        <w:b/>
                        <w:szCs w:val="24"/>
                        <w:lang w:eastAsia="lt-LT"/>
                      </w:rPr>
                    </w:pPr>
                    <w:r>
                      <w:rPr>
                        <w:sz w:val="36"/>
                        <w:szCs w:val="36"/>
                      </w:rPr>
                      <w:t>□</w:t>
                    </w:r>
                  </w:p>
                </w:tc>
              </w:tr>
              <w:tr w:rsidR="00F6024A">
                <w:trPr>
                  <w:trHeight w:val="410"/>
                </w:trPr>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rsidR="00F6024A" w:rsidRDefault="00F04FF7">
                    <w:pPr>
                      <w:jc w:val="both"/>
                      <w:rPr>
                        <w:sz w:val="36"/>
                        <w:szCs w:val="36"/>
                      </w:rPr>
                    </w:pPr>
                    <w:r>
                      <w:rPr>
                        <w:sz w:val="36"/>
                        <w:szCs w:val="36"/>
                      </w:rPr>
                      <w:t>□</w:t>
                    </w:r>
                  </w:p>
                </w:tc>
              </w:tr>
              <w:tr w:rsidR="00F6024A">
                <w:tc>
                  <w:tcPr>
                    <w:tcW w:w="2252" w:type="dxa"/>
                    <w:vMerge w:val="restart"/>
                    <w:shd w:val="clear" w:color="auto" w:fill="BFBFBF"/>
                    <w:vAlign w:val="center"/>
                  </w:tcPr>
                  <w:p w:rsidR="00F6024A" w:rsidRDefault="00F04FF7">
                    <w:pPr>
                      <w:rPr>
                        <w:b/>
                        <w:szCs w:val="24"/>
                        <w:lang w:eastAsia="lt-LT"/>
                      </w:rPr>
                    </w:pPr>
                    <w:r>
                      <w:rPr>
                        <w:b/>
                        <w:szCs w:val="24"/>
                        <w:lang w:eastAsia="lt-LT"/>
                      </w:rPr>
                      <w:t xml:space="preserve">2.2. </w:t>
                    </w:r>
                    <w:r>
                      <w:rPr>
                        <w:b/>
                        <w:szCs w:val="24"/>
                      </w:rPr>
                      <w:t>Nauji gamybos procesai, medžiagos ir</w:t>
                    </w:r>
                    <w:r>
                      <w:rPr>
                        <w:b/>
                        <w:szCs w:val="24"/>
                      </w:rPr>
                      <w:t xml:space="preserve"> technologijos</w:t>
                    </w:r>
                  </w:p>
                </w:tc>
                <w:tc>
                  <w:tcPr>
                    <w:tcW w:w="699" w:type="dxa"/>
                    <w:vMerge w:val="restart"/>
                    <w:vAlign w:val="center"/>
                  </w:tcPr>
                  <w:p w:rsidR="00F6024A" w:rsidRDefault="00F04FF7">
                    <w:pPr>
                      <w:jc w:val="center"/>
                      <w:rPr>
                        <w:b/>
                        <w:szCs w:val="24"/>
                        <w:lang w:eastAsia="lt-LT"/>
                      </w:rPr>
                    </w:pPr>
                    <w:r>
                      <w:rPr>
                        <w:szCs w:val="24"/>
                      </w:rPr>
                      <w:t>□</w:t>
                    </w:r>
                  </w:p>
                </w:tc>
                <w:tc>
                  <w:tcPr>
                    <w:tcW w:w="6542" w:type="dxa"/>
                  </w:tcPr>
                  <w:p w:rsidR="00F6024A" w:rsidRDefault="00F04FF7">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F6024A" w:rsidRDefault="00F04FF7">
                    <w:pPr>
                      <w:jc w:val="both"/>
                      <w:rPr>
                        <w:b/>
                        <w:szCs w:val="24"/>
                        <w:lang w:eastAsia="lt-LT"/>
                      </w:rPr>
                    </w:pPr>
                    <w:r>
                      <w:rPr>
                        <w:sz w:val="36"/>
                        <w:szCs w:val="36"/>
                      </w:rPr>
                      <w:t>□</w:t>
                    </w:r>
                  </w:p>
                </w:tc>
              </w:tr>
              <w:tr w:rsidR="00F6024A">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b/>
                        <w:szCs w:val="24"/>
                        <w:lang w:eastAsia="lt-LT"/>
                      </w:rPr>
                    </w:pPr>
                    <w:r>
                      <w:rPr>
                        <w:szCs w:val="24"/>
                        <w:lang w:eastAsia="lt-LT"/>
                      </w:rPr>
                      <w:t>2.2.2. P</w:t>
                    </w:r>
                    <w:r>
                      <w:rPr>
                        <w:szCs w:val="24"/>
                      </w:rPr>
                      <w:t xml:space="preserve">ažangiosios medžiagos ir konstrukcijos </w:t>
                    </w:r>
                  </w:p>
                </w:tc>
                <w:tc>
                  <w:tcPr>
                    <w:tcW w:w="4961" w:type="dxa"/>
                  </w:tcPr>
                  <w:p w:rsidR="00F6024A" w:rsidRDefault="00F04FF7">
                    <w:pPr>
                      <w:jc w:val="both"/>
                      <w:rPr>
                        <w:b/>
                        <w:szCs w:val="24"/>
                        <w:lang w:eastAsia="lt-LT"/>
                      </w:rPr>
                    </w:pPr>
                    <w:r>
                      <w:rPr>
                        <w:sz w:val="36"/>
                        <w:szCs w:val="36"/>
                      </w:rPr>
                      <w:t>□</w:t>
                    </w:r>
                  </w:p>
                </w:tc>
              </w:tr>
              <w:tr w:rsidR="00F6024A">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F6024A" w:rsidRDefault="00F04FF7">
                    <w:pPr>
                      <w:jc w:val="both"/>
                      <w:rPr>
                        <w:b/>
                        <w:szCs w:val="24"/>
                        <w:lang w:eastAsia="lt-LT"/>
                      </w:rPr>
                    </w:pPr>
                    <w:r>
                      <w:rPr>
                        <w:sz w:val="36"/>
                        <w:szCs w:val="36"/>
                      </w:rPr>
                      <w:t>□</w:t>
                    </w:r>
                  </w:p>
                </w:tc>
              </w:tr>
              <w:tr w:rsidR="00F6024A">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lang w:eastAsia="lt-LT"/>
                      </w:rPr>
                    </w:pPr>
                    <w:r>
                      <w:rPr>
                        <w:szCs w:val="24"/>
                        <w:lang w:eastAsia="lt-LT"/>
                      </w:rPr>
                      <w:t xml:space="preserve">2.2.4. Energijos vartojimo efektyvumas, </w:t>
                    </w:r>
                    <w:r>
                      <w:rPr>
                        <w:szCs w:val="24"/>
                        <w:lang w:eastAsia="lt-LT"/>
                      </w:rPr>
                      <w:t>išmanumas</w:t>
                    </w:r>
                  </w:p>
                </w:tc>
                <w:tc>
                  <w:tcPr>
                    <w:tcW w:w="4961" w:type="dxa"/>
                  </w:tcPr>
                  <w:p w:rsidR="00F6024A" w:rsidRDefault="00F04FF7">
                    <w:pPr>
                      <w:jc w:val="both"/>
                      <w:rPr>
                        <w:sz w:val="36"/>
                        <w:szCs w:val="36"/>
                      </w:rPr>
                    </w:pPr>
                    <w:r>
                      <w:rPr>
                        <w:sz w:val="36"/>
                        <w:szCs w:val="36"/>
                      </w:rPr>
                      <w:t>□</w:t>
                    </w:r>
                  </w:p>
                </w:tc>
              </w:tr>
              <w:tr w:rsidR="00F6024A">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lang w:eastAsia="lt-LT"/>
                      </w:rPr>
                    </w:pPr>
                    <w:r>
                      <w:rPr>
                        <w:szCs w:val="24"/>
                        <w:lang w:eastAsia="lt-LT"/>
                      </w:rPr>
                      <w:t>2.2.5. Atsinaujinantys energijos ištekliai</w:t>
                    </w:r>
                  </w:p>
                </w:tc>
                <w:tc>
                  <w:tcPr>
                    <w:tcW w:w="4961" w:type="dxa"/>
                  </w:tcPr>
                  <w:p w:rsidR="00F6024A" w:rsidRDefault="00F04FF7">
                    <w:pPr>
                      <w:jc w:val="both"/>
                      <w:rPr>
                        <w:sz w:val="36"/>
                        <w:szCs w:val="36"/>
                      </w:rPr>
                    </w:pPr>
                    <w:r>
                      <w:rPr>
                        <w:sz w:val="36"/>
                        <w:szCs w:val="36"/>
                      </w:rPr>
                      <w:t>□</w:t>
                    </w:r>
                  </w:p>
                </w:tc>
              </w:tr>
              <w:tr w:rsidR="00F6024A">
                <w:tc>
                  <w:tcPr>
                    <w:tcW w:w="2252" w:type="dxa"/>
                    <w:vMerge w:val="restart"/>
                    <w:shd w:val="clear" w:color="auto" w:fill="BFBFBF"/>
                    <w:vAlign w:val="center"/>
                  </w:tcPr>
                  <w:p w:rsidR="00F6024A" w:rsidRDefault="00F04FF7">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F6024A" w:rsidRDefault="00F04FF7">
                    <w:pPr>
                      <w:jc w:val="center"/>
                      <w:rPr>
                        <w:szCs w:val="24"/>
                      </w:rPr>
                    </w:pPr>
                    <w:r>
                      <w:rPr>
                        <w:szCs w:val="24"/>
                      </w:rPr>
                      <w:t>□</w:t>
                    </w:r>
                  </w:p>
                </w:tc>
                <w:tc>
                  <w:tcPr>
                    <w:tcW w:w="6542" w:type="dxa"/>
                  </w:tcPr>
                  <w:p w:rsidR="00F6024A" w:rsidRDefault="00F04FF7">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F6024A" w:rsidRDefault="00F04FF7">
                    <w:pPr>
                      <w:jc w:val="both"/>
                      <w:rPr>
                        <w:sz w:val="36"/>
                        <w:szCs w:val="36"/>
                      </w:rPr>
                    </w:pPr>
                    <w:r>
                      <w:rPr>
                        <w:sz w:val="36"/>
                        <w:szCs w:val="36"/>
                      </w:rPr>
                      <w:t>□</w:t>
                    </w:r>
                  </w:p>
                </w:tc>
              </w:tr>
              <w:tr w:rsidR="00F6024A">
                <w:tc>
                  <w:tcPr>
                    <w:tcW w:w="2252" w:type="dxa"/>
                    <w:vMerge/>
                    <w:shd w:val="clear" w:color="auto" w:fill="BFBFBF"/>
                    <w:vAlign w:val="center"/>
                  </w:tcPr>
                  <w:p w:rsidR="00F6024A" w:rsidRDefault="00F6024A">
                    <w:pPr>
                      <w:rPr>
                        <w:b/>
                        <w:szCs w:val="24"/>
                        <w:lang w:eastAsia="lt-LT"/>
                      </w:rPr>
                    </w:pPr>
                  </w:p>
                </w:tc>
                <w:tc>
                  <w:tcPr>
                    <w:tcW w:w="699" w:type="dxa"/>
                    <w:vMerge/>
                    <w:vAlign w:val="center"/>
                  </w:tcPr>
                  <w:p w:rsidR="00F6024A" w:rsidRDefault="00F6024A">
                    <w:pPr>
                      <w:jc w:val="center"/>
                      <w:rPr>
                        <w:szCs w:val="24"/>
                      </w:rPr>
                    </w:pPr>
                  </w:p>
                </w:tc>
                <w:tc>
                  <w:tcPr>
                    <w:tcW w:w="6542" w:type="dxa"/>
                  </w:tcPr>
                  <w:p w:rsidR="00F6024A" w:rsidRDefault="00F04FF7">
                    <w:pPr>
                      <w:jc w:val="both"/>
                      <w:rPr>
                        <w:szCs w:val="24"/>
                        <w:lang w:eastAsia="lt-LT"/>
                      </w:rPr>
                    </w:pPr>
                    <w:r>
                      <w:rPr>
                        <w:szCs w:val="24"/>
                        <w:lang w:eastAsia="lt-LT"/>
                      </w:rPr>
                      <w:t>2.3.2. D</w:t>
                    </w:r>
                    <w:r>
                      <w:rPr>
                        <w:szCs w:val="24"/>
                      </w:rPr>
                      <w:t>aiktų internetas</w:t>
                    </w:r>
                  </w:p>
                </w:tc>
                <w:tc>
                  <w:tcPr>
                    <w:tcW w:w="4961" w:type="dxa"/>
                  </w:tcPr>
                  <w:p w:rsidR="00F6024A" w:rsidRDefault="00F04FF7">
                    <w:pPr>
                      <w:jc w:val="both"/>
                      <w:rPr>
                        <w:sz w:val="36"/>
                        <w:szCs w:val="36"/>
                      </w:rPr>
                    </w:pPr>
                    <w:r>
                      <w:rPr>
                        <w:sz w:val="36"/>
                        <w:szCs w:val="36"/>
                      </w:rPr>
                      <w:t>□</w:t>
                    </w:r>
                  </w:p>
                </w:tc>
              </w:tr>
              <w:tr w:rsidR="00F6024A">
                <w:tc>
                  <w:tcPr>
                    <w:tcW w:w="2252" w:type="dxa"/>
                    <w:vMerge/>
                    <w:shd w:val="clear" w:color="auto" w:fill="BFBFBF"/>
                    <w:vAlign w:val="center"/>
                  </w:tcPr>
                  <w:p w:rsidR="00F6024A" w:rsidRDefault="00F6024A">
                    <w:pPr>
                      <w:rPr>
                        <w:b/>
                        <w:szCs w:val="24"/>
                        <w:lang w:eastAsia="lt-LT"/>
                      </w:rPr>
                    </w:pPr>
                  </w:p>
                </w:tc>
                <w:tc>
                  <w:tcPr>
                    <w:tcW w:w="699" w:type="dxa"/>
                    <w:vMerge/>
                    <w:vAlign w:val="center"/>
                  </w:tcPr>
                  <w:p w:rsidR="00F6024A" w:rsidRDefault="00F6024A">
                    <w:pPr>
                      <w:jc w:val="center"/>
                      <w:rPr>
                        <w:szCs w:val="24"/>
                      </w:rPr>
                    </w:pPr>
                  </w:p>
                </w:tc>
                <w:tc>
                  <w:tcPr>
                    <w:tcW w:w="6542" w:type="dxa"/>
                  </w:tcPr>
                  <w:p w:rsidR="00F6024A" w:rsidRDefault="00F04FF7">
                    <w:pPr>
                      <w:jc w:val="both"/>
                      <w:rPr>
                        <w:szCs w:val="24"/>
                        <w:lang w:eastAsia="lt-LT"/>
                      </w:rPr>
                    </w:pPr>
                    <w:r>
                      <w:rPr>
                        <w:szCs w:val="24"/>
                        <w:lang w:eastAsia="lt-LT"/>
                      </w:rPr>
                      <w:t xml:space="preserve">2.3.3. </w:t>
                    </w:r>
                    <w:r>
                      <w:rPr>
                        <w:szCs w:val="24"/>
                        <w:lang w:eastAsia="lt-LT"/>
                      </w:rPr>
                      <w:t>K</w:t>
                    </w:r>
                    <w:r>
                      <w:rPr>
                        <w:szCs w:val="24"/>
                      </w:rPr>
                      <w:t>ibernetinis saugumas</w:t>
                    </w:r>
                  </w:p>
                </w:tc>
                <w:tc>
                  <w:tcPr>
                    <w:tcW w:w="4961" w:type="dxa"/>
                  </w:tcPr>
                  <w:p w:rsidR="00F6024A" w:rsidRDefault="00F04FF7">
                    <w:pPr>
                      <w:jc w:val="both"/>
                      <w:rPr>
                        <w:sz w:val="36"/>
                        <w:szCs w:val="36"/>
                      </w:rPr>
                    </w:pPr>
                    <w:r>
                      <w:rPr>
                        <w:sz w:val="36"/>
                        <w:szCs w:val="36"/>
                      </w:rPr>
                      <w:t>□</w:t>
                    </w:r>
                  </w:p>
                </w:tc>
              </w:tr>
              <w:tr w:rsidR="00F6024A">
                <w:tc>
                  <w:tcPr>
                    <w:tcW w:w="2252" w:type="dxa"/>
                    <w:vMerge/>
                    <w:shd w:val="clear" w:color="auto" w:fill="BFBFBF"/>
                    <w:vAlign w:val="center"/>
                  </w:tcPr>
                  <w:p w:rsidR="00F6024A" w:rsidRDefault="00F6024A">
                    <w:pPr>
                      <w:rPr>
                        <w:b/>
                        <w:szCs w:val="24"/>
                        <w:lang w:eastAsia="lt-LT"/>
                      </w:rPr>
                    </w:pPr>
                  </w:p>
                </w:tc>
                <w:tc>
                  <w:tcPr>
                    <w:tcW w:w="699" w:type="dxa"/>
                    <w:vMerge/>
                    <w:vAlign w:val="center"/>
                  </w:tcPr>
                  <w:p w:rsidR="00F6024A" w:rsidRDefault="00F6024A">
                    <w:pPr>
                      <w:jc w:val="center"/>
                      <w:rPr>
                        <w:szCs w:val="24"/>
                      </w:rPr>
                    </w:pPr>
                  </w:p>
                </w:tc>
                <w:tc>
                  <w:tcPr>
                    <w:tcW w:w="6542" w:type="dxa"/>
                  </w:tcPr>
                  <w:p w:rsidR="00F6024A" w:rsidRDefault="00F04FF7">
                    <w:pPr>
                      <w:jc w:val="both"/>
                      <w:rPr>
                        <w:szCs w:val="24"/>
                        <w:lang w:eastAsia="lt-LT"/>
                      </w:rPr>
                    </w:pPr>
                    <w:r>
                      <w:rPr>
                        <w:szCs w:val="24"/>
                        <w:lang w:eastAsia="lt-LT"/>
                      </w:rPr>
                      <w:t xml:space="preserve">2.3.4. </w:t>
                    </w:r>
                    <w:r>
                      <w:rPr>
                        <w:szCs w:val="24"/>
                      </w:rPr>
                      <w:t>Finansinės technologijos ir blokų grandinės</w:t>
                    </w:r>
                  </w:p>
                </w:tc>
                <w:tc>
                  <w:tcPr>
                    <w:tcW w:w="4961" w:type="dxa"/>
                  </w:tcPr>
                  <w:p w:rsidR="00F6024A" w:rsidRDefault="00F04FF7">
                    <w:pPr>
                      <w:jc w:val="both"/>
                      <w:rPr>
                        <w:sz w:val="36"/>
                        <w:szCs w:val="36"/>
                      </w:rPr>
                    </w:pPr>
                    <w:r>
                      <w:rPr>
                        <w:sz w:val="36"/>
                        <w:szCs w:val="36"/>
                      </w:rPr>
                      <w:t>□</w:t>
                    </w:r>
                  </w:p>
                </w:tc>
              </w:tr>
              <w:tr w:rsidR="00F6024A">
                <w:trPr>
                  <w:trHeight w:val="624"/>
                </w:trPr>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lang w:eastAsia="lt-LT"/>
                      </w:rPr>
                    </w:pPr>
                    <w:r>
                      <w:rPr>
                        <w:szCs w:val="24"/>
                        <w:lang w:eastAsia="lt-LT"/>
                      </w:rPr>
                      <w:t>2.3.5. Audiovizualinių medijų technologijos ir socialinės inovacijos</w:t>
                    </w:r>
                  </w:p>
                </w:tc>
                <w:tc>
                  <w:tcPr>
                    <w:tcW w:w="4961" w:type="dxa"/>
                  </w:tcPr>
                  <w:p w:rsidR="00F6024A" w:rsidRDefault="00F04FF7">
                    <w:pPr>
                      <w:jc w:val="both"/>
                      <w:rPr>
                        <w:b/>
                        <w:szCs w:val="24"/>
                        <w:lang w:eastAsia="lt-LT"/>
                      </w:rPr>
                    </w:pPr>
                    <w:r>
                      <w:rPr>
                        <w:sz w:val="36"/>
                        <w:szCs w:val="36"/>
                      </w:rPr>
                      <w:t>□</w:t>
                    </w:r>
                  </w:p>
                </w:tc>
              </w:tr>
              <w:tr w:rsidR="00F6024A">
                <w:trPr>
                  <w:trHeight w:val="370"/>
                </w:trPr>
                <w:tc>
                  <w:tcPr>
                    <w:tcW w:w="2252" w:type="dxa"/>
                    <w:vMerge/>
                    <w:shd w:val="clear" w:color="auto" w:fill="BFBFBF"/>
                  </w:tcPr>
                  <w:p w:rsidR="00F6024A" w:rsidRDefault="00F6024A">
                    <w:pPr>
                      <w:jc w:val="both"/>
                      <w:rPr>
                        <w:b/>
                        <w:szCs w:val="24"/>
                        <w:lang w:eastAsia="lt-LT"/>
                      </w:rPr>
                    </w:pPr>
                  </w:p>
                </w:tc>
                <w:tc>
                  <w:tcPr>
                    <w:tcW w:w="699" w:type="dxa"/>
                    <w:vMerge/>
                  </w:tcPr>
                  <w:p w:rsidR="00F6024A" w:rsidRDefault="00F6024A">
                    <w:pPr>
                      <w:jc w:val="both"/>
                      <w:rPr>
                        <w:b/>
                        <w:szCs w:val="24"/>
                        <w:lang w:eastAsia="lt-LT"/>
                      </w:rPr>
                    </w:pPr>
                  </w:p>
                </w:tc>
                <w:tc>
                  <w:tcPr>
                    <w:tcW w:w="6542" w:type="dxa"/>
                  </w:tcPr>
                  <w:p w:rsidR="00F6024A" w:rsidRDefault="00F04FF7">
                    <w:pPr>
                      <w:jc w:val="both"/>
                      <w:rPr>
                        <w:szCs w:val="24"/>
                        <w:lang w:eastAsia="lt-LT"/>
                      </w:rPr>
                    </w:pPr>
                    <w:r>
                      <w:rPr>
                        <w:szCs w:val="24"/>
                        <w:lang w:eastAsia="lt-LT"/>
                      </w:rPr>
                      <w:t>2.3.6. Išmaniosios transporto sistemos</w:t>
                    </w:r>
                  </w:p>
                </w:tc>
                <w:tc>
                  <w:tcPr>
                    <w:tcW w:w="4961" w:type="dxa"/>
                  </w:tcPr>
                  <w:p w:rsidR="00F6024A" w:rsidRDefault="00F04FF7">
                    <w:pPr>
                      <w:jc w:val="both"/>
                      <w:rPr>
                        <w:sz w:val="36"/>
                        <w:szCs w:val="36"/>
                      </w:rPr>
                    </w:pPr>
                    <w:r>
                      <w:rPr>
                        <w:sz w:val="36"/>
                        <w:szCs w:val="36"/>
                      </w:rPr>
                      <w:t>□</w:t>
                    </w:r>
                  </w:p>
                </w:tc>
              </w:tr>
            </w:tbl>
            <w:p w:rsidR="00F6024A" w:rsidRDefault="00F04FF7">
              <w:pPr>
                <w:spacing w:line="276" w:lineRule="auto"/>
                <w:jc w:val="center"/>
                <w:rPr>
                  <w:rFonts w:ascii="Calibri" w:eastAsia="Calibri" w:hAnsi="Calibri"/>
                  <w:szCs w:val="24"/>
                </w:rPr>
              </w:pPr>
              <w:r>
                <w:rPr>
                  <w:szCs w:val="24"/>
                </w:rPr>
                <w:t>___________________________________</w:t>
              </w:r>
            </w:p>
            <w:p w:rsidR="00F6024A" w:rsidRDefault="00F6024A">
              <w:pPr>
                <w:spacing w:line="276" w:lineRule="auto"/>
                <w:jc w:val="center"/>
                <w:rPr>
                  <w:rFonts w:ascii="Calibri" w:eastAsia="Calibri" w:hAnsi="Calibri"/>
                  <w:szCs w:val="24"/>
                </w:rPr>
              </w:pPr>
            </w:p>
            <w:p w:rsidR="00F6024A" w:rsidRDefault="00F04FF7">
              <w:pPr>
                <w:spacing w:line="259" w:lineRule="auto"/>
                <w:rPr>
                  <w:rFonts w:ascii="Calibri" w:eastAsia="Calibri" w:hAnsi="Calibri"/>
                  <w:szCs w:val="24"/>
                </w:rPr>
                <w:sectPr w:rsidR="00F6024A">
                  <w:pgSz w:w="16838" w:h="11906" w:orient="landscape"/>
                  <w:pgMar w:top="1701" w:right="567" w:bottom="1134" w:left="1701" w:header="567" w:footer="567" w:gutter="0"/>
                  <w:pgNumType w:start="1"/>
                  <w:cols w:space="1296"/>
                  <w:titlePg/>
                  <w:docGrid w:linePitch="360"/>
                </w:sectPr>
              </w:pPr>
              <w:r>
                <w:rPr>
                  <w:rFonts w:ascii="Calibri" w:eastAsia="Calibri" w:hAnsi="Calibri"/>
                  <w:szCs w:val="24"/>
                </w:rPr>
                <w:br w:type="page"/>
              </w:r>
            </w:p>
            <w:p w:rsidR="00F6024A" w:rsidRDefault="00F6024A">
              <w:pPr>
                <w:rPr>
                  <w:sz w:val="14"/>
                  <w:szCs w:val="14"/>
                </w:rPr>
              </w:pPr>
            </w:p>
            <w:p w:rsidR="00F6024A" w:rsidRDefault="00F6024A">
              <w:pPr>
                <w:tabs>
                  <w:tab w:val="center" w:pos="4819"/>
                  <w:tab w:val="right" w:pos="9638"/>
                </w:tabs>
              </w:pPr>
            </w:p>
            <w:p w:rsidR="00F6024A" w:rsidRDefault="00F6024A">
              <w:pPr>
                <w:spacing w:line="259" w:lineRule="auto"/>
                <w:rPr>
                  <w:rFonts w:ascii="Calibri" w:eastAsia="Calibri" w:hAnsi="Calibri"/>
                  <w:szCs w:val="24"/>
                </w:rPr>
              </w:pPr>
            </w:p>
            <w:p w:rsidR="00F6024A" w:rsidRDefault="00F04FF7">
              <w:pPr>
                <w:rPr>
                  <w:sz w:val="14"/>
                  <w:szCs w:val="14"/>
                </w:rPr>
              </w:pPr>
            </w:p>
          </w:sdtContent>
        </w:sdt>
      </w:sdtContent>
    </w:sdt>
    <w:sdt>
      <w:sdtPr>
        <w:alias w:val="3 pr."/>
        <w:tag w:val="part_9843370fcd3640628f264175cbe3b041"/>
        <w:id w:val="-1200318720"/>
        <w:lock w:val="sdtLocked"/>
      </w:sdtPr>
      <w:sdtEndPr/>
      <w:sdtContent>
        <w:p w:rsidR="00F6024A" w:rsidRDefault="00F04FF7">
          <w:pPr>
            <w:ind w:left="10206"/>
            <w:jc w:val="both"/>
            <w:rPr>
              <w:szCs w:val="24"/>
            </w:rPr>
          </w:pPr>
          <w:r>
            <w:rPr>
              <w:szCs w:val="24"/>
            </w:rPr>
            <w:t>11 priedo „2021–2030 m. plėtros programos valdytojos Lietuvos Respublikos švietimo, mokslo ir sporto ministerijos mokslo plėtros programos pažangos priemonės Nr. 12-001-01-02-01 „Stiprinti inovacijų ekosistemas mokslo centruose“ projektų finansavimo</w:t>
          </w:r>
          <w:r>
            <w:rPr>
              <w:szCs w:val="24"/>
            </w:rPr>
            <w:t xml:space="preserve"> sąlygų aprašo Nr. 11“</w:t>
          </w:r>
        </w:p>
        <w:p w:rsidR="00F6024A" w:rsidRDefault="00F04FF7">
          <w:pPr>
            <w:ind w:left="10206"/>
            <w:jc w:val="both"/>
            <w:rPr>
              <w:szCs w:val="24"/>
            </w:rPr>
          </w:pPr>
          <w:sdt>
            <w:sdtPr>
              <w:alias w:val="Numeris"/>
              <w:tag w:val="nr_9843370fcd3640628f264175cbe3b041"/>
              <w:id w:val="2027668408"/>
              <w:lock w:val="sdtLocked"/>
            </w:sdtPr>
            <w:sdtEndPr/>
            <w:sdtContent>
              <w:r>
                <w:rPr>
                  <w:szCs w:val="24"/>
                </w:rPr>
                <w:t>3</w:t>
              </w:r>
            </w:sdtContent>
          </w:sdt>
          <w:r>
            <w:rPr>
              <w:szCs w:val="24"/>
            </w:rPr>
            <w:t xml:space="preserve"> priedas</w:t>
          </w:r>
        </w:p>
        <w:p w:rsidR="00F6024A" w:rsidRDefault="00F6024A">
          <w:pPr>
            <w:jc w:val="center"/>
            <w:rPr>
              <w:b/>
              <w:bCs/>
              <w:caps/>
              <w:color w:val="000000"/>
              <w:szCs w:val="24"/>
            </w:rPr>
          </w:pPr>
        </w:p>
        <w:p w:rsidR="00F6024A" w:rsidRDefault="00F04FF7">
          <w:pPr>
            <w:jc w:val="center"/>
            <w:rPr>
              <w:b/>
              <w:bCs/>
              <w:caps/>
              <w:color w:val="000000"/>
              <w:szCs w:val="24"/>
            </w:rPr>
          </w:pPr>
          <w:sdt>
            <w:sdtPr>
              <w:alias w:val="Pavadinimas"/>
              <w:tag w:val="title_9843370fcd3640628f264175cbe3b041"/>
              <w:id w:val="-1067193140"/>
              <w:lock w:val="sdtLocked"/>
            </w:sdtPr>
            <w:sdtEndPr/>
            <w:sdtContent>
              <w:r>
                <w:rPr>
                  <w:b/>
                  <w:bCs/>
                  <w:caps/>
                  <w:color w:val="000000"/>
                  <w:szCs w:val="24"/>
                </w:rPr>
                <w:t>ATITIKTIES VALSTYBĖS PAGALBOS TAISYKLĖMS Patikros lapas</w:t>
              </w:r>
            </w:sdtContent>
          </w:sdt>
        </w:p>
        <w:p w:rsidR="00F6024A" w:rsidRDefault="00F6024A">
          <w:pPr>
            <w:rPr>
              <w:sz w:val="18"/>
              <w:szCs w:val="18"/>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F6024A">
            <w:trPr>
              <w:trHeight w:val="309"/>
            </w:trPr>
            <w:tc>
              <w:tcPr>
                <w:tcW w:w="14576" w:type="dxa"/>
                <w:shd w:val="clear" w:color="auto" w:fill="D9D9D9"/>
                <w:hideMark/>
              </w:tcPr>
              <w:p w:rsidR="00F6024A" w:rsidRDefault="00F04FF7">
                <w:pPr>
                  <w:jc w:val="both"/>
                  <w:rPr>
                    <w:szCs w:val="24"/>
                    <w:lang w:eastAsia="lt-LT"/>
                  </w:rPr>
                </w:pPr>
                <w:r>
                  <w:rPr>
                    <w:rFonts w:eastAsia="Calibri"/>
                    <w:b/>
                    <w:bCs/>
                    <w:szCs w:val="24"/>
                    <w:lang w:eastAsia="lt-LT"/>
                  </w:rPr>
                  <w:t>1. Priemonės teisinis pagrindas</w:t>
                </w:r>
              </w:p>
            </w:tc>
          </w:tr>
          <w:tr w:rsidR="00F6024A">
            <w:trPr>
              <w:trHeight w:val="657"/>
            </w:trPr>
            <w:tc>
              <w:tcPr>
                <w:tcW w:w="14576" w:type="dxa"/>
              </w:tcPr>
              <w:p w:rsidR="00F6024A" w:rsidRDefault="00F04FF7">
                <w:pPr>
                  <w:jc w:val="both"/>
                  <w:rPr>
                    <w:szCs w:val="24"/>
                    <w:lang w:eastAsia="lt-LT"/>
                  </w:rPr>
                </w:pPr>
                <w:r>
                  <w:rPr>
                    <w:rFonts w:eastAsia="Calibri"/>
                    <w:bCs/>
                    <w:szCs w:val="24"/>
                    <w:lang w:eastAsia="lt-LT"/>
                  </w:rPr>
                  <w:t xml:space="preserve">2014 m. birželio 17 d. Komisijos reglamento (ES) Nr. 651/2014, kuriuo tam tikrų kategorijų pagalba skelbiama suderinama su </w:t>
                </w:r>
                <w:r>
                  <w:rPr>
                    <w:rFonts w:eastAsia="Calibri"/>
                    <w:bCs/>
                    <w:szCs w:val="24"/>
                    <w:lang w:eastAsia="lt-LT"/>
                  </w:rPr>
                  <w:t>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Reglamentas (ES) Nr. 651/2014</w:t>
                </w:r>
                <w:r>
                  <w:rPr>
                    <w:rFonts w:eastAsia="Calibri"/>
                    <w:bCs/>
                    <w:szCs w:val="24"/>
                    <w:lang w:eastAsia="lt-LT"/>
                  </w:rPr>
                  <w:t>), I skyrius ir 28 straipsnis.</w:t>
                </w:r>
              </w:p>
            </w:tc>
          </w:tr>
        </w:tbl>
        <w:p w:rsidR="00F6024A" w:rsidRDefault="00F6024A">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9749"/>
          </w:tblGrid>
          <w:tr w:rsidR="00F6024A">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rsidR="00F6024A" w:rsidRDefault="00F04FF7">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F6024A">
            <w:trPr>
              <w:trHeight w:val="270"/>
            </w:trPr>
            <w:tc>
              <w:tcPr>
                <w:tcW w:w="4815" w:type="dxa"/>
                <w:tcBorders>
                  <w:top w:val="single" w:sz="4" w:space="0" w:color="auto"/>
                  <w:left w:val="single" w:sz="4" w:space="0" w:color="auto"/>
                  <w:bottom w:val="single" w:sz="4" w:space="0" w:color="auto"/>
                  <w:right w:val="single" w:sz="4" w:space="0" w:color="auto"/>
                </w:tcBorders>
                <w:hideMark/>
              </w:tcPr>
              <w:p w:rsidR="00F6024A" w:rsidRDefault="00F04FF7">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rsidR="00F6024A" w:rsidRDefault="00F6024A">
                <w:pPr>
                  <w:jc w:val="both"/>
                  <w:rPr>
                    <w:color w:val="000000"/>
                    <w:szCs w:val="24"/>
                    <w:lang w:eastAsia="lt-LT"/>
                  </w:rPr>
                </w:pPr>
              </w:p>
            </w:tc>
          </w:tr>
          <w:tr w:rsidR="00F6024A">
            <w:trPr>
              <w:trHeight w:val="305"/>
            </w:trPr>
            <w:tc>
              <w:tcPr>
                <w:tcW w:w="4815" w:type="dxa"/>
                <w:tcBorders>
                  <w:top w:val="single" w:sz="4" w:space="0" w:color="auto"/>
                  <w:left w:val="single" w:sz="4" w:space="0" w:color="auto"/>
                  <w:bottom w:val="single" w:sz="4" w:space="0" w:color="auto"/>
                  <w:right w:val="single" w:sz="4" w:space="0" w:color="auto"/>
                </w:tcBorders>
                <w:hideMark/>
              </w:tcPr>
              <w:p w:rsidR="00F6024A" w:rsidRDefault="00F04FF7">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rsidR="00F6024A" w:rsidRDefault="00F6024A">
                <w:pPr>
                  <w:jc w:val="both"/>
                  <w:rPr>
                    <w:color w:val="000000"/>
                    <w:szCs w:val="24"/>
                    <w:lang w:eastAsia="lt-LT"/>
                  </w:rPr>
                </w:pPr>
              </w:p>
            </w:tc>
          </w:tr>
          <w:tr w:rsidR="00F6024A">
            <w:trPr>
              <w:trHeight w:val="255"/>
            </w:trPr>
            <w:tc>
              <w:tcPr>
                <w:tcW w:w="4815" w:type="dxa"/>
                <w:tcBorders>
                  <w:top w:val="single" w:sz="4" w:space="0" w:color="auto"/>
                  <w:left w:val="single" w:sz="4" w:space="0" w:color="auto"/>
                  <w:bottom w:val="single" w:sz="4" w:space="0" w:color="auto"/>
                  <w:right w:val="single" w:sz="4" w:space="0" w:color="auto"/>
                </w:tcBorders>
                <w:hideMark/>
              </w:tcPr>
              <w:p w:rsidR="00F6024A" w:rsidRDefault="00F04FF7">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rsidR="00F6024A" w:rsidRDefault="00F6024A">
                <w:pPr>
                  <w:jc w:val="both"/>
                  <w:rPr>
                    <w:b/>
                    <w:bCs/>
                    <w:color w:val="000000"/>
                    <w:szCs w:val="24"/>
                    <w:lang w:eastAsia="lt-LT"/>
                  </w:rPr>
                </w:pPr>
              </w:p>
            </w:tc>
          </w:tr>
        </w:tbl>
        <w:p w:rsidR="00F6024A" w:rsidRDefault="00F6024A">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F6024A">
            <w:trPr>
              <w:trHeight w:val="272"/>
            </w:trPr>
            <w:tc>
              <w:tcPr>
                <w:tcW w:w="14513" w:type="dxa"/>
                <w:gridSpan w:val="5"/>
                <w:shd w:val="clear" w:color="auto" w:fill="D9D9D9"/>
              </w:tcPr>
              <w:p w:rsidR="00F6024A" w:rsidRDefault="00F04FF7">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Reglamentui (ES) Nr. 651/2014</w:t>
                </w:r>
                <w:r>
                  <w:rPr>
                    <w:rFonts w:eastAsia="Calibri"/>
                    <w:b/>
                    <w:bCs/>
                    <w:szCs w:val="24"/>
                    <w:lang w:eastAsia="lt-LT"/>
                  </w:rPr>
                  <w:t xml:space="preserve"> </w:t>
                </w:r>
              </w:p>
            </w:tc>
          </w:tr>
          <w:tr w:rsidR="00F6024A">
            <w:trPr>
              <w:trHeight w:val="264"/>
            </w:trPr>
            <w:tc>
              <w:tcPr>
                <w:tcW w:w="988" w:type="dxa"/>
                <w:hideMark/>
              </w:tcPr>
              <w:p w:rsidR="00F6024A" w:rsidRDefault="00F04FF7">
                <w:pPr>
                  <w:jc w:val="both"/>
                  <w:rPr>
                    <w:rFonts w:eastAsia="Calibri"/>
                    <w:b/>
                    <w:szCs w:val="24"/>
                    <w:lang w:eastAsia="lt-LT"/>
                  </w:rPr>
                </w:pPr>
                <w:r>
                  <w:rPr>
                    <w:rFonts w:eastAsia="Calibri"/>
                    <w:b/>
                    <w:szCs w:val="24"/>
                    <w:lang w:eastAsia="lt-LT"/>
                  </w:rPr>
                  <w:t xml:space="preserve">Eil. Nr. </w:t>
                </w:r>
              </w:p>
            </w:tc>
            <w:tc>
              <w:tcPr>
                <w:tcW w:w="6339" w:type="dxa"/>
                <w:hideMark/>
              </w:tcPr>
              <w:p w:rsidR="00F6024A" w:rsidRDefault="00F04FF7">
                <w:pPr>
                  <w:ind w:firstLine="34"/>
                  <w:jc w:val="both"/>
                  <w:rPr>
                    <w:rFonts w:eastAsia="Calibri"/>
                    <w:b/>
                    <w:szCs w:val="24"/>
                    <w:lang w:eastAsia="lt-LT"/>
                  </w:rPr>
                </w:pPr>
                <w:r>
                  <w:rPr>
                    <w:rFonts w:eastAsia="Calibri"/>
                    <w:b/>
                    <w:szCs w:val="24"/>
                    <w:lang w:eastAsia="lt-LT"/>
                  </w:rPr>
                  <w:t>Klausimai</w:t>
                </w:r>
              </w:p>
            </w:tc>
            <w:tc>
              <w:tcPr>
                <w:tcW w:w="2449" w:type="dxa"/>
                <w:gridSpan w:val="2"/>
                <w:hideMark/>
              </w:tcPr>
              <w:p w:rsidR="00F6024A" w:rsidRDefault="00F04FF7">
                <w:pPr>
                  <w:ind w:hanging="5"/>
                  <w:jc w:val="both"/>
                  <w:rPr>
                    <w:rFonts w:eastAsia="Calibri"/>
                    <w:b/>
                    <w:szCs w:val="24"/>
                    <w:lang w:eastAsia="lt-LT"/>
                  </w:rPr>
                </w:pPr>
                <w:r>
                  <w:rPr>
                    <w:rFonts w:eastAsia="Calibri"/>
                    <w:b/>
                    <w:szCs w:val="24"/>
                    <w:lang w:eastAsia="lt-LT"/>
                  </w:rPr>
                  <w:t>Rezultatas</w:t>
                </w:r>
              </w:p>
            </w:tc>
            <w:tc>
              <w:tcPr>
                <w:tcW w:w="4737" w:type="dxa"/>
                <w:hideMark/>
              </w:tcPr>
              <w:p w:rsidR="00F6024A" w:rsidRDefault="00F04FF7">
                <w:pPr>
                  <w:jc w:val="both"/>
                  <w:rPr>
                    <w:rFonts w:eastAsia="Calibri"/>
                    <w:b/>
                    <w:szCs w:val="24"/>
                    <w:lang w:eastAsia="lt-LT"/>
                  </w:rPr>
                </w:pPr>
                <w:r>
                  <w:rPr>
                    <w:rFonts w:eastAsia="Calibri"/>
                    <w:b/>
                    <w:szCs w:val="24"/>
                    <w:lang w:eastAsia="lt-LT"/>
                  </w:rPr>
                  <w:t>Pastabos</w:t>
                </w:r>
              </w:p>
            </w:tc>
          </w:tr>
          <w:tr w:rsidR="00F6024A">
            <w:trPr>
              <w:trHeight w:val="430"/>
            </w:trPr>
            <w:tc>
              <w:tcPr>
                <w:tcW w:w="988" w:type="dxa"/>
                <w:vMerge w:val="restart"/>
                <w:hideMark/>
              </w:tcPr>
              <w:p w:rsidR="00F6024A" w:rsidRDefault="00F04FF7">
                <w:pPr>
                  <w:jc w:val="both"/>
                  <w:rPr>
                    <w:rFonts w:eastAsia="Calibri"/>
                    <w:szCs w:val="24"/>
                    <w:lang w:eastAsia="lt-LT"/>
                  </w:rPr>
                </w:pPr>
                <w:r>
                  <w:rPr>
                    <w:rFonts w:eastAsia="Calibri"/>
                    <w:szCs w:val="24"/>
                    <w:lang w:eastAsia="lt-LT"/>
                  </w:rPr>
                  <w:t>3.1.</w:t>
                </w:r>
              </w:p>
              <w:p w:rsidR="00F6024A" w:rsidRDefault="00F6024A">
                <w:pPr>
                  <w:jc w:val="both"/>
                  <w:rPr>
                    <w:rFonts w:eastAsia="Calibri"/>
                    <w:szCs w:val="24"/>
                    <w:lang w:eastAsia="lt-LT"/>
                  </w:rPr>
                </w:pPr>
              </w:p>
            </w:tc>
            <w:tc>
              <w:tcPr>
                <w:tcW w:w="6339" w:type="dxa"/>
                <w:hideMark/>
              </w:tcPr>
              <w:p w:rsidR="00F6024A" w:rsidRDefault="00F04FF7">
                <w:pPr>
                  <w:jc w:val="both"/>
                  <w:rPr>
                    <w:rFonts w:eastAsia="Calibri"/>
                    <w:szCs w:val="24"/>
                    <w:lang w:eastAsia="lt-LT"/>
                  </w:rPr>
                </w:pPr>
                <w:r>
                  <w:rPr>
                    <w:rFonts w:eastAsia="Calibri"/>
                    <w:bCs/>
                    <w:szCs w:val="24"/>
                    <w:lang w:eastAsia="lt-LT"/>
                  </w:rPr>
                  <w:t xml:space="preserve">Kokiai kategorijai priskiriamas galutinis naudos gavėjas? </w:t>
                </w:r>
                <w:r>
                  <w:rPr>
                    <w:rFonts w:eastAsia="Calibri"/>
                    <w:bCs/>
                    <w:szCs w:val="24"/>
                    <w:lang w:eastAsia="lt-LT"/>
                  </w:rPr>
                  <w:t>(pasirinkti tik vieną variantą)</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rFonts w:eastAsia="Calibri"/>
                    <w:szCs w:val="24"/>
                    <w:lang w:eastAsia="lt-LT"/>
                  </w:rPr>
                </w:pPr>
              </w:p>
            </w:tc>
          </w:tr>
          <w:tr w:rsidR="00F6024A">
            <w:trPr>
              <w:trHeight w:val="246"/>
            </w:trPr>
            <w:tc>
              <w:tcPr>
                <w:tcW w:w="988" w:type="dxa"/>
                <w:vMerge/>
              </w:tcPr>
              <w:p w:rsidR="00F6024A" w:rsidRDefault="00F6024A">
                <w:pPr>
                  <w:jc w:val="both"/>
                  <w:rPr>
                    <w:rFonts w:eastAsia="Calibri"/>
                    <w:szCs w:val="24"/>
                    <w:lang w:eastAsia="lt-LT"/>
                  </w:rPr>
                </w:pPr>
              </w:p>
            </w:tc>
            <w:tc>
              <w:tcPr>
                <w:tcW w:w="6339" w:type="dxa"/>
                <w:hideMark/>
              </w:tcPr>
              <w:p w:rsidR="00F6024A" w:rsidRDefault="00F04FF7">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rFonts w:eastAsia="Calibri"/>
                    <w:szCs w:val="24"/>
                    <w:lang w:eastAsia="lt-LT"/>
                  </w:rPr>
                </w:pPr>
              </w:p>
            </w:tc>
          </w:tr>
          <w:tr w:rsidR="00F6024A">
            <w:trPr>
              <w:trHeight w:val="251"/>
            </w:trPr>
            <w:tc>
              <w:tcPr>
                <w:tcW w:w="988" w:type="dxa"/>
                <w:vMerge/>
                <w:hideMark/>
              </w:tcPr>
              <w:p w:rsidR="00F6024A" w:rsidRDefault="00F6024A">
                <w:pPr>
                  <w:jc w:val="both"/>
                  <w:rPr>
                    <w:rFonts w:eastAsia="Calibri"/>
                    <w:szCs w:val="24"/>
                    <w:lang w:eastAsia="lt-LT"/>
                  </w:rPr>
                </w:pPr>
              </w:p>
            </w:tc>
            <w:tc>
              <w:tcPr>
                <w:tcW w:w="6339" w:type="dxa"/>
                <w:hideMark/>
              </w:tcPr>
              <w:p w:rsidR="00F6024A" w:rsidRDefault="00F04FF7">
                <w:pPr>
                  <w:jc w:val="both"/>
                  <w:rPr>
                    <w:rFonts w:eastAsia="Calibri"/>
                    <w:szCs w:val="24"/>
                    <w:lang w:eastAsia="lt-LT"/>
                  </w:rPr>
                </w:pPr>
                <w:r>
                  <w:rPr>
                    <w:rFonts w:eastAsia="Calibri"/>
                    <w:szCs w:val="24"/>
                    <w:lang w:eastAsia="lt-LT"/>
                  </w:rPr>
                  <w:t xml:space="preserve">- maža įmonė </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rFonts w:eastAsia="Calibri"/>
                    <w:szCs w:val="24"/>
                    <w:lang w:eastAsia="lt-LT"/>
                  </w:rPr>
                </w:pPr>
              </w:p>
            </w:tc>
          </w:tr>
          <w:tr w:rsidR="00F6024A">
            <w:trPr>
              <w:trHeight w:val="240"/>
            </w:trPr>
            <w:tc>
              <w:tcPr>
                <w:tcW w:w="988" w:type="dxa"/>
                <w:vMerge/>
              </w:tcPr>
              <w:p w:rsidR="00F6024A" w:rsidRDefault="00F6024A">
                <w:pPr>
                  <w:jc w:val="both"/>
                  <w:rPr>
                    <w:rFonts w:eastAsia="Calibri"/>
                    <w:szCs w:val="24"/>
                    <w:lang w:eastAsia="lt-LT"/>
                  </w:rPr>
                </w:pPr>
              </w:p>
            </w:tc>
            <w:tc>
              <w:tcPr>
                <w:tcW w:w="6339" w:type="dxa"/>
              </w:tcPr>
              <w:p w:rsidR="00F6024A" w:rsidRDefault="00F04FF7">
                <w:pPr>
                  <w:ind w:left="197" w:hanging="197"/>
                  <w:jc w:val="both"/>
                  <w:rPr>
                    <w:rFonts w:eastAsia="Calibri"/>
                    <w:szCs w:val="24"/>
                    <w:lang w:eastAsia="lt-LT"/>
                  </w:rPr>
                </w:pPr>
                <w:r>
                  <w:rPr>
                    <w:rFonts w:eastAsia="Calibri"/>
                    <w:szCs w:val="24"/>
                    <w:lang w:eastAsia="lt-LT"/>
                  </w:rPr>
                  <w:t xml:space="preserve">- </w:t>
                </w:r>
                <w:r>
                  <w:rPr>
                    <w:rFonts w:eastAsia="Calibri"/>
                    <w:szCs w:val="24"/>
                    <w:lang w:eastAsia="lt-LT"/>
                  </w:rPr>
                  <w:t>vidutinė įmonė</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rFonts w:eastAsia="Calibri"/>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lastRenderedPageBreak/>
                  <w:t>3.2.</w:t>
                </w:r>
              </w:p>
            </w:tc>
            <w:tc>
              <w:tcPr>
                <w:tcW w:w="6339" w:type="dxa"/>
              </w:tcPr>
              <w:p w:rsidR="00F6024A" w:rsidRDefault="00F04FF7">
                <w:pPr>
                  <w:jc w:val="both"/>
                  <w:rPr>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2 dalies nuostatas?</w:t>
                </w:r>
              </w:p>
            </w:tc>
            <w:tc>
              <w:tcPr>
                <w:tcW w:w="1486"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3.3.</w:t>
                </w:r>
              </w:p>
            </w:tc>
            <w:tc>
              <w:tcPr>
                <w:tcW w:w="6339" w:type="dxa"/>
              </w:tcPr>
              <w:p w:rsidR="00F6024A" w:rsidRDefault="00F04FF7">
                <w:pPr>
                  <w:jc w:val="both"/>
                  <w:rPr>
                    <w:rFonts w:eastAsia="Calibri"/>
                    <w:szCs w:val="24"/>
                  </w:rPr>
                </w:pPr>
                <w:r>
                  <w:rPr>
                    <w:rFonts w:eastAsia="Calibri"/>
                    <w:szCs w:val="24"/>
                  </w:rPr>
                  <w:t xml:space="preserve">Ar teikiama valstybės pagalba atitinka </w:t>
                </w:r>
                <w:r>
                  <w:rPr>
                    <w:rFonts w:eastAsia="Calibri"/>
                    <w:szCs w:val="24"/>
                  </w:rPr>
                  <w:t>Reglamento (ES) Nr. 651/2014</w:t>
                </w:r>
                <w:r>
                  <w:rPr>
                    <w:rFonts w:eastAsia="Calibri"/>
                    <w:b/>
                    <w:bCs/>
                    <w:szCs w:val="24"/>
                  </w:rPr>
                  <w:t xml:space="preserve"> </w:t>
                </w:r>
                <w:r>
                  <w:rPr>
                    <w:rFonts w:eastAsia="Calibri"/>
                    <w:szCs w:val="24"/>
                  </w:rPr>
                  <w:t>1 straipsnio 3 dalies nuostatas?</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3.4.</w:t>
                </w:r>
              </w:p>
            </w:tc>
            <w:tc>
              <w:tcPr>
                <w:tcW w:w="6339" w:type="dxa"/>
              </w:tcPr>
              <w:p w:rsidR="00F6024A" w:rsidRDefault="00F04FF7">
                <w:pPr>
                  <w:jc w:val="both"/>
                  <w:rPr>
                    <w:rFonts w:eastAsia="Calibri"/>
                    <w:szCs w:val="24"/>
                  </w:rPr>
                </w:pPr>
                <w:r>
                  <w:rPr>
                    <w:rFonts w:eastAsia="Calibri"/>
                    <w:szCs w:val="24"/>
                  </w:rPr>
                  <w:t>Ar teikiama valstybė</w:t>
                </w:r>
                <w:r>
                  <w:rPr>
                    <w:rFonts w:eastAsia="Calibri"/>
                    <w:szCs w:val="24"/>
                  </w:rPr>
                  <w:t xml:space="preserve">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4 dalies nuostatas?</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3.5.</w:t>
                </w:r>
              </w:p>
            </w:tc>
            <w:tc>
              <w:tcPr>
                <w:tcW w:w="6339" w:type="dxa"/>
              </w:tcPr>
              <w:p w:rsidR="00F6024A" w:rsidRDefault="00F04FF7">
                <w:pPr>
                  <w:jc w:val="both"/>
                  <w:rPr>
                    <w:rFonts w:eastAsia="Calibri"/>
                    <w:szCs w:val="24"/>
                    <w:lang w:eastAsia="lt-LT"/>
                  </w:rPr>
                </w:pPr>
                <w:r>
                  <w:rPr>
                    <w:rFonts w:eastAsia="Calibri"/>
                    <w:szCs w:val="24"/>
                  </w:rPr>
                  <w:t>Ar</w:t>
                </w:r>
                <w:r>
                  <w:rPr>
                    <w:rFonts w:eastAsia="Calibri"/>
                    <w:szCs w:val="24"/>
                  </w:rPr>
                  <w:t xml:space="preserve">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5 dalies nuostatas?</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rFonts w:eastAsia="Calibri"/>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3.6.</w:t>
                </w:r>
              </w:p>
            </w:tc>
            <w:tc>
              <w:tcPr>
                <w:tcW w:w="6339" w:type="dxa"/>
              </w:tcPr>
              <w:p w:rsidR="00F6024A" w:rsidRDefault="00F04FF7">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rPr>
                  <w:t>4 straipsnio 1 dalies nuostatas?</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3.7.</w:t>
                </w:r>
              </w:p>
            </w:tc>
            <w:tc>
              <w:tcPr>
                <w:tcW w:w="6339" w:type="dxa"/>
              </w:tcPr>
              <w:p w:rsidR="00F6024A" w:rsidRDefault="00F04FF7">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4 straipsnio 2</w:t>
                </w:r>
                <w:r>
                  <w:rPr>
                    <w:rFonts w:eastAsia="Calibri"/>
                    <w:bCs/>
                    <w:szCs w:val="24"/>
                    <w:lang w:eastAsia="lt-LT"/>
                  </w:rPr>
                  <w:t xml:space="preserve"> dalies nuostatas?</w:t>
                </w:r>
              </w:p>
            </w:tc>
            <w:tc>
              <w:tcPr>
                <w:tcW w:w="1486"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3.8.</w:t>
                </w:r>
              </w:p>
            </w:tc>
            <w:tc>
              <w:tcPr>
                <w:tcW w:w="6339" w:type="dxa"/>
              </w:tcPr>
              <w:p w:rsidR="00F6024A" w:rsidRDefault="00F04FF7">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6 straipsnio 2 dalį?</w:t>
                </w:r>
              </w:p>
            </w:tc>
            <w:tc>
              <w:tcPr>
                <w:tcW w:w="1486"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F6024A" w:rsidRDefault="00F04FF7">
                <w:pPr>
                  <w:ind w:firstLine="62"/>
                  <w:jc w:val="both"/>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3.9.</w:t>
                </w:r>
              </w:p>
            </w:tc>
            <w:tc>
              <w:tcPr>
                <w:tcW w:w="6339" w:type="dxa"/>
              </w:tcPr>
              <w:p w:rsidR="00F6024A" w:rsidRDefault="00F04FF7">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8 straipsnyje?</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Taip </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 xml:space="preserve">Ne </w:t>
                </w:r>
              </w:p>
            </w:tc>
            <w:tc>
              <w:tcPr>
                <w:tcW w:w="4737" w:type="dxa"/>
              </w:tcPr>
              <w:p w:rsidR="00F6024A" w:rsidRDefault="00F6024A">
                <w:pPr>
                  <w:jc w:val="both"/>
                  <w:rPr>
                    <w:szCs w:val="24"/>
                    <w:lang w:eastAsia="lt-LT"/>
                  </w:rPr>
                </w:pPr>
              </w:p>
            </w:tc>
          </w:tr>
          <w:tr w:rsidR="00F6024A">
            <w:trPr>
              <w:trHeight w:val="430"/>
            </w:trPr>
            <w:tc>
              <w:tcPr>
                <w:tcW w:w="988" w:type="dxa"/>
              </w:tcPr>
              <w:p w:rsidR="00F6024A" w:rsidRDefault="00F04FF7">
                <w:pPr>
                  <w:jc w:val="both"/>
                  <w:rPr>
                    <w:rFonts w:eastAsia="Calibri"/>
                    <w:szCs w:val="24"/>
                    <w:lang w:eastAsia="lt-LT"/>
                  </w:rPr>
                </w:pPr>
                <w:r>
                  <w:rPr>
                    <w:rFonts w:eastAsia="Calibri"/>
                    <w:szCs w:val="24"/>
                    <w:lang w:eastAsia="lt-LT"/>
                  </w:rPr>
                  <w:t>3.10.</w:t>
                </w:r>
              </w:p>
            </w:tc>
            <w:tc>
              <w:tcPr>
                <w:tcW w:w="6339" w:type="dxa"/>
              </w:tcPr>
              <w:p w:rsidR="00F6024A" w:rsidRDefault="00F04FF7">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28 straipsnio 4 dalies nuostatas?</w:t>
                </w:r>
              </w:p>
            </w:tc>
            <w:tc>
              <w:tcPr>
                <w:tcW w:w="1486" w:type="dxa"/>
              </w:tcPr>
              <w:p w:rsidR="00F6024A" w:rsidRDefault="00F04FF7">
                <w:pPr>
                  <w:ind w:firstLine="62"/>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963" w:type="dxa"/>
              </w:tcPr>
              <w:p w:rsidR="00F6024A" w:rsidRDefault="00F04FF7">
                <w:pPr>
                  <w:ind w:firstLine="57"/>
                  <w:jc w:val="both"/>
                  <w:rPr>
                    <w:rFonts w:eastAsia="Calibri"/>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4737" w:type="dxa"/>
              </w:tcPr>
              <w:p w:rsidR="00F6024A" w:rsidRDefault="00F6024A">
                <w:pPr>
                  <w:jc w:val="both"/>
                  <w:rPr>
                    <w:szCs w:val="24"/>
                    <w:lang w:eastAsia="lt-LT"/>
                  </w:rPr>
                </w:pPr>
              </w:p>
            </w:tc>
          </w:tr>
        </w:tbl>
        <w:p w:rsidR="00F6024A" w:rsidRDefault="00F6024A">
          <w:pP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4"/>
            <w:gridCol w:w="1000"/>
            <w:gridCol w:w="418"/>
            <w:gridCol w:w="2838"/>
            <w:gridCol w:w="2939"/>
          </w:tblGrid>
          <w:tr w:rsidR="00F6024A">
            <w:tc>
              <w:tcPr>
                <w:tcW w:w="14560" w:type="dxa"/>
                <w:gridSpan w:val="6"/>
                <w:shd w:val="pct20" w:color="auto" w:fill="auto"/>
              </w:tcPr>
              <w:p w:rsidR="00F6024A" w:rsidRDefault="00F04FF7">
                <w:pPr>
                  <w:rPr>
                    <w:rFonts w:eastAsia="Calibri"/>
                    <w:color w:val="000000"/>
                    <w:szCs w:val="24"/>
                  </w:rPr>
                </w:pPr>
                <w:r>
                  <w:rPr>
                    <w:rFonts w:eastAsia="Calibri"/>
                    <w:b/>
                    <w:bCs/>
                    <w:color w:val="000000"/>
                    <w:szCs w:val="24"/>
                  </w:rPr>
                  <w:t xml:space="preserve">4. Finansavimo atitikties </w:t>
                </w:r>
                <w:r>
                  <w:rPr>
                    <w:rFonts w:eastAsia="Calibri"/>
                    <w:b/>
                    <w:color w:val="000000"/>
                    <w:szCs w:val="24"/>
                  </w:rPr>
                  <w:t>Reglamentui (ES)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F6024A">
            <w:tc>
              <w:tcPr>
                <w:tcW w:w="7366" w:type="dxa"/>
                <w:gridSpan w:val="2"/>
              </w:tcPr>
              <w:p w:rsidR="00F6024A" w:rsidRDefault="00F04FF7">
                <w:pPr>
                  <w:jc w:val="both"/>
                  <w:rPr>
                    <w:szCs w:val="24"/>
                    <w:lang w:eastAsia="lt-LT"/>
                  </w:rPr>
                </w:pPr>
                <w:r>
                  <w:rPr>
                    <w:rFonts w:eastAsia="Calibri"/>
                    <w:color w:val="000000"/>
                    <w:szCs w:val="24"/>
                  </w:rPr>
                  <w:t xml:space="preserve">Ar teikiamas finansavimas atitinka </w:t>
                </w:r>
                <w:r>
                  <w:rPr>
                    <w:rFonts w:eastAsia="Calibri"/>
                    <w:color w:val="000000"/>
                    <w:szCs w:val="24"/>
                  </w:rPr>
                  <w:t>Reglamentą (ES) Nr. 651/2014?</w:t>
                </w:r>
              </w:p>
            </w:tc>
            <w:tc>
              <w:tcPr>
                <w:tcW w:w="1418" w:type="dxa"/>
                <w:gridSpan w:val="2"/>
              </w:tcPr>
              <w:p w:rsidR="00F6024A" w:rsidRDefault="00F04FF7">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Taip</w:t>
                </w:r>
              </w:p>
            </w:tc>
            <w:tc>
              <w:tcPr>
                <w:tcW w:w="2835" w:type="dxa"/>
              </w:tcPr>
              <w:p w:rsidR="00F6024A" w:rsidRDefault="00F04FF7">
                <w:pPr>
                  <w:rPr>
                    <w:szCs w:val="24"/>
                    <w:lang w:eastAsia="lt-LT"/>
                  </w:rPr>
                </w:pPr>
                <w:r>
                  <w:rPr>
                    <w:sz w:val="20"/>
                    <w:lang w:eastAsia="lt-LT"/>
                  </w:rPr>
                  <w:fldChar w:fldCharType="begin" w:fldLock="1">
                    <w:ffData>
                      <w:name w:val="Tikrinti2"/>
                      <w:enabled/>
                      <w:calcOnExit w:val="0"/>
                      <w:checkBox>
                        <w:sizeAuto/>
                        <w:default w:val="0"/>
                      </w:checkBox>
                    </w:ffData>
                  </w:fldChar>
                </w:r>
                <w:r>
                  <w:rPr>
                    <w:sz w:val="20"/>
                    <w:lang w:eastAsia="lt-LT"/>
                  </w:rPr>
                  <w:instrText xml:space="preserve"> FORMCHECKBOX </w:instrText>
                </w:r>
                <w:r>
                  <w:rPr>
                    <w:sz w:val="20"/>
                    <w:lang w:eastAsia="lt-LT"/>
                  </w:rPr>
                </w:r>
                <w:r>
                  <w:rPr>
                    <w:sz w:val="20"/>
                    <w:lang w:eastAsia="lt-LT"/>
                  </w:rPr>
                  <w:fldChar w:fldCharType="separate"/>
                </w:r>
                <w:r>
                  <w:rPr>
                    <w:sz w:val="20"/>
                    <w:lang w:eastAsia="lt-LT"/>
                  </w:rPr>
                  <w:fldChar w:fldCharType="end"/>
                </w:r>
                <w:r>
                  <w:rPr>
                    <w:rFonts w:eastAsia="Calibri"/>
                    <w:szCs w:val="24"/>
                    <w:lang w:eastAsia="lt-LT"/>
                  </w:rPr>
                  <w:t>Ne</w:t>
                </w:r>
              </w:p>
            </w:tc>
            <w:tc>
              <w:tcPr>
                <w:tcW w:w="2941" w:type="dxa"/>
              </w:tcPr>
              <w:p w:rsidR="00F6024A" w:rsidRDefault="00F6024A">
                <w:pPr>
                  <w:rPr>
                    <w:szCs w:val="24"/>
                    <w:lang w:eastAsia="lt-LT"/>
                  </w:rPr>
                </w:pPr>
              </w:p>
            </w:tc>
          </w:tr>
          <w:tr w:rsidR="00F6024A">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rsidR="00F6024A" w:rsidRDefault="00F6024A">
                <w:pPr>
                  <w:rPr>
                    <w:i/>
                    <w:iCs/>
                    <w:color w:val="000000"/>
                    <w:szCs w:val="24"/>
                  </w:rPr>
                </w:pPr>
              </w:p>
              <w:p w:rsidR="00F6024A" w:rsidRDefault="00F04FF7">
                <w:pPr>
                  <w:rPr>
                    <w:color w:val="000000"/>
                    <w:szCs w:val="24"/>
                  </w:rPr>
                </w:pPr>
                <w:r>
                  <w:rPr>
                    <w:i/>
                    <w:iCs/>
                    <w:color w:val="000000"/>
                    <w:szCs w:val="24"/>
                  </w:rPr>
                  <w:t xml:space="preserve">______________________________________ </w:t>
                </w:r>
              </w:p>
              <w:p w:rsidR="00F6024A" w:rsidRDefault="00F04FF7">
                <w:pPr>
                  <w:ind w:firstLine="1612"/>
                  <w:rPr>
                    <w:color w:val="000000"/>
                    <w:szCs w:val="24"/>
                  </w:rPr>
                </w:pPr>
                <w:r>
                  <w:rPr>
                    <w:i/>
                    <w:iCs/>
                    <w:color w:val="000000"/>
                    <w:szCs w:val="24"/>
                  </w:rPr>
                  <w:t xml:space="preserve">(vertintojas) </w:t>
                </w:r>
              </w:p>
            </w:tc>
            <w:tc>
              <w:tcPr>
                <w:tcW w:w="3255" w:type="dxa"/>
                <w:gridSpan w:val="2"/>
              </w:tcPr>
              <w:p w:rsidR="00F6024A" w:rsidRDefault="00F6024A">
                <w:pPr>
                  <w:rPr>
                    <w:i/>
                    <w:iCs/>
                    <w:color w:val="000000"/>
                    <w:szCs w:val="24"/>
                  </w:rPr>
                </w:pPr>
              </w:p>
              <w:p w:rsidR="00F6024A" w:rsidRDefault="00F04FF7">
                <w:pPr>
                  <w:rPr>
                    <w:color w:val="000000"/>
                    <w:szCs w:val="24"/>
                  </w:rPr>
                </w:pPr>
                <w:r>
                  <w:rPr>
                    <w:i/>
                    <w:iCs/>
                    <w:color w:val="000000"/>
                    <w:szCs w:val="24"/>
                  </w:rPr>
                  <w:t xml:space="preserve">____________ </w:t>
                </w:r>
              </w:p>
              <w:p w:rsidR="00F6024A" w:rsidRDefault="00F04FF7">
                <w:pPr>
                  <w:ind w:firstLine="248"/>
                  <w:rPr>
                    <w:color w:val="000000"/>
                    <w:szCs w:val="24"/>
                  </w:rPr>
                </w:pPr>
                <w:r>
                  <w:rPr>
                    <w:i/>
                    <w:iCs/>
                    <w:color w:val="000000"/>
                    <w:szCs w:val="24"/>
                  </w:rPr>
                  <w:t xml:space="preserve">(parašas) </w:t>
                </w:r>
              </w:p>
            </w:tc>
            <w:tc>
              <w:tcPr>
                <w:tcW w:w="3257" w:type="dxa"/>
                <w:gridSpan w:val="2"/>
              </w:tcPr>
              <w:p w:rsidR="00F6024A" w:rsidRDefault="00F6024A">
                <w:pPr>
                  <w:rPr>
                    <w:i/>
                    <w:iCs/>
                    <w:color w:val="000000"/>
                    <w:szCs w:val="24"/>
                  </w:rPr>
                </w:pPr>
              </w:p>
              <w:p w:rsidR="00F6024A" w:rsidRDefault="00F04FF7">
                <w:pPr>
                  <w:rPr>
                    <w:color w:val="000000"/>
                    <w:szCs w:val="24"/>
                  </w:rPr>
                </w:pPr>
                <w:r>
                  <w:rPr>
                    <w:i/>
                    <w:iCs/>
                    <w:color w:val="000000"/>
                    <w:szCs w:val="24"/>
                  </w:rPr>
                  <w:t xml:space="preserve">____________ </w:t>
                </w:r>
              </w:p>
              <w:p w:rsidR="00F6024A" w:rsidRDefault="00F04FF7">
                <w:pPr>
                  <w:ind w:firstLine="434"/>
                  <w:rPr>
                    <w:i/>
                    <w:color w:val="000000"/>
                    <w:szCs w:val="24"/>
                  </w:rPr>
                </w:pPr>
                <w:r>
                  <w:rPr>
                    <w:i/>
                    <w:color w:val="000000"/>
                    <w:szCs w:val="24"/>
                  </w:rPr>
                  <w:t xml:space="preserve">(data) </w:t>
                </w:r>
              </w:p>
            </w:tc>
          </w:tr>
          <w:tr w:rsidR="00F6024A">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rsidR="00F6024A" w:rsidRDefault="00F6024A">
                <w:pPr>
                  <w:rPr>
                    <w:b/>
                    <w:bCs/>
                    <w:color w:val="000000"/>
                    <w:sz w:val="12"/>
                    <w:szCs w:val="12"/>
                  </w:rPr>
                </w:pPr>
              </w:p>
              <w:p w:rsidR="00F6024A" w:rsidRDefault="00F04FF7">
                <w:pPr>
                  <w:rPr>
                    <w:color w:val="000000"/>
                    <w:szCs w:val="24"/>
                  </w:rPr>
                </w:pPr>
                <w:r>
                  <w:rPr>
                    <w:b/>
                    <w:bCs/>
                    <w:color w:val="000000"/>
                    <w:szCs w:val="24"/>
                  </w:rPr>
                  <w:t xml:space="preserve">Patikros peržiūra: </w:t>
                </w:r>
              </w:p>
              <w:p w:rsidR="00F6024A" w:rsidRDefault="00F04FF7">
                <w:pPr>
                  <w:rPr>
                    <w:color w:val="000000"/>
                    <w:szCs w:val="24"/>
                  </w:rPr>
                </w:pPr>
                <w:r>
                  <w:rPr>
                    <w:color w:val="000000"/>
                    <w:szCs w:val="24"/>
                  </w:rPr>
                  <w:t xml:space="preserve">□ Vertintojo išvadai pritarti </w:t>
                </w:r>
              </w:p>
              <w:p w:rsidR="00F6024A" w:rsidRDefault="00F04FF7">
                <w:pPr>
                  <w:rPr>
                    <w:color w:val="000000"/>
                    <w:szCs w:val="24"/>
                  </w:rPr>
                </w:pPr>
                <w:r>
                  <w:rPr>
                    <w:color w:val="000000"/>
                    <w:szCs w:val="24"/>
                  </w:rPr>
                  <w:t xml:space="preserve">□ Vertintojo išvadai nepritarti </w:t>
                </w:r>
              </w:p>
              <w:p w:rsidR="00F6024A" w:rsidRDefault="00F04FF7">
                <w:pPr>
                  <w:rPr>
                    <w:i/>
                    <w:iCs/>
                    <w:color w:val="000000"/>
                    <w:szCs w:val="24"/>
                  </w:rPr>
                </w:pPr>
                <w:r>
                  <w:rPr>
                    <w:i/>
                    <w:iCs/>
                    <w:color w:val="000000"/>
                    <w:szCs w:val="24"/>
                  </w:rPr>
                  <w:t>Pastabos:_______________________________________________________________________</w:t>
                </w:r>
              </w:p>
              <w:p w:rsidR="00F6024A" w:rsidRDefault="00F6024A">
                <w:pPr>
                  <w:rPr>
                    <w:color w:val="000000"/>
                    <w:szCs w:val="24"/>
                  </w:rPr>
                </w:pPr>
              </w:p>
            </w:tc>
          </w:tr>
          <w:tr w:rsidR="00F6024A">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rsidR="00F6024A" w:rsidRDefault="00F04FF7">
                <w:pPr>
                  <w:rPr>
                    <w:color w:val="000000"/>
                    <w:szCs w:val="24"/>
                  </w:rPr>
                </w:pPr>
                <w:r>
                  <w:rPr>
                    <w:i/>
                    <w:iCs/>
                    <w:color w:val="000000"/>
                    <w:szCs w:val="24"/>
                  </w:rPr>
                  <w:t xml:space="preserve">______________________________________ </w:t>
                </w:r>
              </w:p>
              <w:p w:rsidR="00F6024A" w:rsidRDefault="00F04FF7">
                <w:pPr>
                  <w:ind w:firstLine="620"/>
                  <w:rPr>
                    <w:color w:val="000000"/>
                    <w:szCs w:val="24"/>
                  </w:rPr>
                </w:pPr>
                <w:r>
                  <w:rPr>
                    <w:i/>
                    <w:iCs/>
                    <w:color w:val="000000"/>
                    <w:szCs w:val="24"/>
                  </w:rPr>
                  <w:t xml:space="preserve">(vertintojo tiesioginis vadovas) </w:t>
                </w:r>
              </w:p>
            </w:tc>
            <w:tc>
              <w:tcPr>
                <w:tcW w:w="3255" w:type="dxa"/>
                <w:gridSpan w:val="2"/>
              </w:tcPr>
              <w:p w:rsidR="00F6024A" w:rsidRDefault="00F04FF7">
                <w:pPr>
                  <w:rPr>
                    <w:color w:val="000000"/>
                    <w:szCs w:val="24"/>
                  </w:rPr>
                </w:pPr>
                <w:r>
                  <w:rPr>
                    <w:i/>
                    <w:iCs/>
                    <w:color w:val="000000"/>
                    <w:szCs w:val="24"/>
                  </w:rPr>
                  <w:t xml:space="preserve">____________ </w:t>
                </w:r>
              </w:p>
              <w:p w:rsidR="00F6024A" w:rsidRDefault="00F04FF7">
                <w:pPr>
                  <w:ind w:firstLine="248"/>
                  <w:rPr>
                    <w:color w:val="000000"/>
                    <w:szCs w:val="24"/>
                  </w:rPr>
                </w:pPr>
                <w:r>
                  <w:rPr>
                    <w:i/>
                    <w:iCs/>
                    <w:color w:val="000000"/>
                    <w:szCs w:val="24"/>
                  </w:rPr>
                  <w:t xml:space="preserve">(parašas) </w:t>
                </w:r>
              </w:p>
            </w:tc>
            <w:tc>
              <w:tcPr>
                <w:tcW w:w="3257" w:type="dxa"/>
                <w:gridSpan w:val="2"/>
              </w:tcPr>
              <w:p w:rsidR="00F6024A" w:rsidRDefault="00F04FF7">
                <w:pPr>
                  <w:rPr>
                    <w:color w:val="000000"/>
                    <w:szCs w:val="24"/>
                  </w:rPr>
                </w:pPr>
                <w:r>
                  <w:rPr>
                    <w:i/>
                    <w:iCs/>
                    <w:color w:val="000000"/>
                    <w:szCs w:val="24"/>
                  </w:rPr>
                  <w:t xml:space="preserve">____________ </w:t>
                </w:r>
              </w:p>
              <w:p w:rsidR="00F6024A" w:rsidRDefault="00F04FF7">
                <w:pPr>
                  <w:ind w:firstLine="434"/>
                  <w:rPr>
                    <w:color w:val="000000"/>
                    <w:szCs w:val="24"/>
                  </w:rPr>
                </w:pPr>
                <w:r>
                  <w:rPr>
                    <w:i/>
                    <w:iCs/>
                    <w:color w:val="000000"/>
                    <w:szCs w:val="24"/>
                  </w:rPr>
                  <w:t xml:space="preserve">(data) </w:t>
                </w:r>
              </w:p>
            </w:tc>
          </w:tr>
        </w:tbl>
        <w:p w:rsidR="00F6024A" w:rsidRDefault="00F6024A">
          <w:pPr>
            <w:spacing w:line="276" w:lineRule="auto"/>
            <w:jc w:val="center"/>
            <w:rPr>
              <w:szCs w:val="24"/>
            </w:rPr>
          </w:pPr>
        </w:p>
        <w:p w:rsidR="00F6024A" w:rsidRDefault="00F04FF7">
          <w:pPr>
            <w:spacing w:line="276" w:lineRule="auto"/>
            <w:jc w:val="center"/>
            <w:rPr>
              <w:szCs w:val="24"/>
            </w:rPr>
          </w:pPr>
          <w:r>
            <w:rPr>
              <w:szCs w:val="24"/>
            </w:rPr>
            <w:lastRenderedPageBreak/>
            <w:t>_______________________________</w:t>
          </w:r>
        </w:p>
        <w:p w:rsidR="00F6024A" w:rsidRDefault="00F04FF7">
          <w:pPr>
            <w:spacing w:line="276" w:lineRule="auto"/>
            <w:rPr>
              <w:rFonts w:ascii="Calibri" w:eastAsia="Calibri" w:hAnsi="Calibri"/>
              <w:szCs w:val="24"/>
            </w:rPr>
          </w:pPr>
        </w:p>
      </w:sdtContent>
    </w:sdt>
    <w:sectPr w:rsidR="00F6024A">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4FF7" w:rsidRDefault="00F04FF7">
      <w:r>
        <w:separator/>
      </w:r>
    </w:p>
  </w:endnote>
  <w:endnote w:type="continuationSeparator" w:id="0">
    <w:p w:rsidR="00F04FF7" w:rsidRDefault="00F04FF7">
      <w:r>
        <w:continuationSeparator/>
      </w:r>
    </w:p>
  </w:endnote>
  <w:endnote w:type="continuationNotice" w:id="1">
    <w:p w:rsidR="00F04FF7" w:rsidRDefault="00F04F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6024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6024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6024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4FF7" w:rsidRDefault="00F04FF7">
      <w:r>
        <w:separator/>
      </w:r>
    </w:p>
  </w:footnote>
  <w:footnote w:type="continuationSeparator" w:id="0">
    <w:p w:rsidR="00F04FF7" w:rsidRDefault="00F04FF7">
      <w:r>
        <w:continuationSeparator/>
      </w:r>
    </w:p>
  </w:footnote>
  <w:footnote w:type="continuationNotice" w:id="1">
    <w:p w:rsidR="00F04FF7" w:rsidRDefault="00F04FF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6024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04FF7">
    <w:pPr>
      <w:tabs>
        <w:tab w:val="center" w:pos="4819"/>
        <w:tab w:val="right" w:pos="9638"/>
      </w:tabs>
      <w:jc w:val="center"/>
    </w:pPr>
    <w:r>
      <w:fldChar w:fldCharType="begin"/>
    </w:r>
    <w:r>
      <w:instrText>PAGE   \* MERGEFORMAT</w:instrText>
    </w:r>
    <w:r>
      <w:fldChar w:fldCharType="separate"/>
    </w:r>
    <w:r w:rsidR="00B9674D">
      <w:rPr>
        <w:noProof/>
      </w:rPr>
      <w:t>21</w:t>
    </w:r>
    <w:r>
      <w:fldChar w:fldCharType="end"/>
    </w:r>
  </w:p>
  <w:p w:rsidR="00F6024A" w:rsidRDefault="00F6024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024A" w:rsidRDefault="00F6024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LcwNjY2tzQyNTexNDFR0lEKTi0uzszPAykwrAUAjv4T1iwAAAA="/>
  </w:docVars>
  <w:rsids>
    <w:rsidRoot w:val="008C627E"/>
    <w:rsid w:val="008C627E"/>
    <w:rsid w:val="00B9674D"/>
    <w:rsid w:val="00F04FF7"/>
    <w:rsid w:val="00F6024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8D7652-6344-4EEC-99C4-04740D956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33027">
      <w:bodyDiv w:val="1"/>
      <w:marLeft w:val="0"/>
      <w:marRight w:val="0"/>
      <w:marTop w:val="0"/>
      <w:marBottom w:val="0"/>
      <w:divBdr>
        <w:top w:val="none" w:sz="0" w:space="0" w:color="auto"/>
        <w:left w:val="none" w:sz="0" w:space="0" w:color="auto"/>
        <w:bottom w:val="none" w:sz="0" w:space="0" w:color="auto"/>
        <w:right w:val="none" w:sz="0" w:space="0" w:color="auto"/>
      </w:divBdr>
    </w:div>
    <w:div w:id="367489768">
      <w:bodyDiv w:val="1"/>
      <w:marLeft w:val="0"/>
      <w:marRight w:val="0"/>
      <w:marTop w:val="0"/>
      <w:marBottom w:val="0"/>
      <w:divBdr>
        <w:top w:val="none" w:sz="0" w:space="0" w:color="auto"/>
        <w:left w:val="none" w:sz="0" w:space="0" w:color="auto"/>
        <w:bottom w:val="none" w:sz="0" w:space="0" w:color="auto"/>
        <w:right w:val="none" w:sz="0" w:space="0" w:color="auto"/>
      </w:divBdr>
    </w:div>
    <w:div w:id="458573735">
      <w:bodyDiv w:val="1"/>
      <w:marLeft w:val="0"/>
      <w:marRight w:val="0"/>
      <w:marTop w:val="0"/>
      <w:marBottom w:val="0"/>
      <w:divBdr>
        <w:top w:val="none" w:sz="0" w:space="0" w:color="auto"/>
        <w:left w:val="none" w:sz="0" w:space="0" w:color="auto"/>
        <w:bottom w:val="none" w:sz="0" w:space="0" w:color="auto"/>
        <w:right w:val="none" w:sz="0" w:space="0" w:color="auto"/>
      </w:divBdr>
    </w:div>
    <w:div w:id="462115751">
      <w:bodyDiv w:val="1"/>
      <w:marLeft w:val="0"/>
      <w:marRight w:val="0"/>
      <w:marTop w:val="0"/>
      <w:marBottom w:val="0"/>
      <w:divBdr>
        <w:top w:val="none" w:sz="0" w:space="0" w:color="auto"/>
        <w:left w:val="none" w:sz="0" w:space="0" w:color="auto"/>
        <w:bottom w:val="none" w:sz="0" w:space="0" w:color="auto"/>
        <w:right w:val="none" w:sz="0" w:space="0" w:color="auto"/>
      </w:divBdr>
      <w:divsChild>
        <w:div w:id="123699174">
          <w:marLeft w:val="0"/>
          <w:marRight w:val="0"/>
          <w:marTop w:val="0"/>
          <w:marBottom w:val="0"/>
          <w:divBdr>
            <w:top w:val="none" w:sz="0" w:space="0" w:color="auto"/>
            <w:left w:val="none" w:sz="0" w:space="0" w:color="auto"/>
            <w:bottom w:val="none" w:sz="0" w:space="0" w:color="auto"/>
            <w:right w:val="none" w:sz="0" w:space="0" w:color="auto"/>
          </w:divBdr>
        </w:div>
        <w:div w:id="1141383961">
          <w:marLeft w:val="0"/>
          <w:marRight w:val="0"/>
          <w:marTop w:val="0"/>
          <w:marBottom w:val="0"/>
          <w:divBdr>
            <w:top w:val="none" w:sz="0" w:space="0" w:color="auto"/>
            <w:left w:val="none" w:sz="0" w:space="0" w:color="auto"/>
            <w:bottom w:val="none" w:sz="0" w:space="0" w:color="auto"/>
            <w:right w:val="none" w:sz="0" w:space="0" w:color="auto"/>
          </w:divBdr>
        </w:div>
      </w:divsChild>
    </w:div>
    <w:div w:id="535389162">
      <w:bodyDiv w:val="1"/>
      <w:marLeft w:val="0"/>
      <w:marRight w:val="0"/>
      <w:marTop w:val="0"/>
      <w:marBottom w:val="0"/>
      <w:divBdr>
        <w:top w:val="none" w:sz="0" w:space="0" w:color="auto"/>
        <w:left w:val="none" w:sz="0" w:space="0" w:color="auto"/>
        <w:bottom w:val="none" w:sz="0" w:space="0" w:color="auto"/>
        <w:right w:val="none" w:sz="0" w:space="0" w:color="auto"/>
      </w:divBdr>
    </w:div>
    <w:div w:id="599408440">
      <w:bodyDiv w:val="1"/>
      <w:marLeft w:val="0"/>
      <w:marRight w:val="0"/>
      <w:marTop w:val="0"/>
      <w:marBottom w:val="0"/>
      <w:divBdr>
        <w:top w:val="none" w:sz="0" w:space="0" w:color="auto"/>
        <w:left w:val="none" w:sz="0" w:space="0" w:color="auto"/>
        <w:bottom w:val="none" w:sz="0" w:space="0" w:color="auto"/>
        <w:right w:val="none" w:sz="0" w:space="0" w:color="auto"/>
      </w:divBdr>
      <w:divsChild>
        <w:div w:id="725687530">
          <w:marLeft w:val="0"/>
          <w:marRight w:val="0"/>
          <w:marTop w:val="0"/>
          <w:marBottom w:val="0"/>
          <w:divBdr>
            <w:top w:val="none" w:sz="0" w:space="0" w:color="auto"/>
            <w:left w:val="none" w:sz="0" w:space="0" w:color="auto"/>
            <w:bottom w:val="none" w:sz="0" w:space="0" w:color="auto"/>
            <w:right w:val="none" w:sz="0" w:space="0" w:color="auto"/>
          </w:divBdr>
        </w:div>
        <w:div w:id="1050225924">
          <w:marLeft w:val="0"/>
          <w:marRight w:val="0"/>
          <w:marTop w:val="0"/>
          <w:marBottom w:val="0"/>
          <w:divBdr>
            <w:top w:val="none" w:sz="0" w:space="0" w:color="auto"/>
            <w:left w:val="none" w:sz="0" w:space="0" w:color="auto"/>
            <w:bottom w:val="none" w:sz="0" w:space="0" w:color="auto"/>
            <w:right w:val="none" w:sz="0" w:space="0" w:color="auto"/>
          </w:divBdr>
        </w:div>
        <w:div w:id="2073696154">
          <w:marLeft w:val="0"/>
          <w:marRight w:val="0"/>
          <w:marTop w:val="0"/>
          <w:marBottom w:val="0"/>
          <w:divBdr>
            <w:top w:val="none" w:sz="0" w:space="0" w:color="auto"/>
            <w:left w:val="none" w:sz="0" w:space="0" w:color="auto"/>
            <w:bottom w:val="none" w:sz="0" w:space="0" w:color="auto"/>
            <w:right w:val="none" w:sz="0" w:space="0" w:color="auto"/>
          </w:divBdr>
        </w:div>
        <w:div w:id="1837454068">
          <w:marLeft w:val="0"/>
          <w:marRight w:val="0"/>
          <w:marTop w:val="0"/>
          <w:marBottom w:val="0"/>
          <w:divBdr>
            <w:top w:val="none" w:sz="0" w:space="0" w:color="auto"/>
            <w:left w:val="none" w:sz="0" w:space="0" w:color="auto"/>
            <w:bottom w:val="none" w:sz="0" w:space="0" w:color="auto"/>
            <w:right w:val="none" w:sz="0" w:space="0" w:color="auto"/>
          </w:divBdr>
        </w:div>
        <w:div w:id="105580715">
          <w:marLeft w:val="0"/>
          <w:marRight w:val="0"/>
          <w:marTop w:val="0"/>
          <w:marBottom w:val="0"/>
          <w:divBdr>
            <w:top w:val="none" w:sz="0" w:space="0" w:color="auto"/>
            <w:left w:val="none" w:sz="0" w:space="0" w:color="auto"/>
            <w:bottom w:val="none" w:sz="0" w:space="0" w:color="auto"/>
            <w:right w:val="none" w:sz="0" w:space="0" w:color="auto"/>
          </w:divBdr>
        </w:div>
        <w:div w:id="606886589">
          <w:marLeft w:val="0"/>
          <w:marRight w:val="0"/>
          <w:marTop w:val="0"/>
          <w:marBottom w:val="0"/>
          <w:divBdr>
            <w:top w:val="none" w:sz="0" w:space="0" w:color="auto"/>
            <w:left w:val="none" w:sz="0" w:space="0" w:color="auto"/>
            <w:bottom w:val="none" w:sz="0" w:space="0" w:color="auto"/>
            <w:right w:val="none" w:sz="0" w:space="0" w:color="auto"/>
          </w:divBdr>
        </w:div>
        <w:div w:id="932011375">
          <w:marLeft w:val="0"/>
          <w:marRight w:val="0"/>
          <w:marTop w:val="0"/>
          <w:marBottom w:val="0"/>
          <w:divBdr>
            <w:top w:val="none" w:sz="0" w:space="0" w:color="auto"/>
            <w:left w:val="none" w:sz="0" w:space="0" w:color="auto"/>
            <w:bottom w:val="none" w:sz="0" w:space="0" w:color="auto"/>
            <w:right w:val="none" w:sz="0" w:space="0" w:color="auto"/>
          </w:divBdr>
        </w:div>
        <w:div w:id="523053757">
          <w:marLeft w:val="0"/>
          <w:marRight w:val="0"/>
          <w:marTop w:val="0"/>
          <w:marBottom w:val="0"/>
          <w:divBdr>
            <w:top w:val="none" w:sz="0" w:space="0" w:color="auto"/>
            <w:left w:val="none" w:sz="0" w:space="0" w:color="auto"/>
            <w:bottom w:val="none" w:sz="0" w:space="0" w:color="auto"/>
            <w:right w:val="none" w:sz="0" w:space="0" w:color="auto"/>
          </w:divBdr>
        </w:div>
        <w:div w:id="719013059">
          <w:marLeft w:val="0"/>
          <w:marRight w:val="0"/>
          <w:marTop w:val="0"/>
          <w:marBottom w:val="0"/>
          <w:divBdr>
            <w:top w:val="none" w:sz="0" w:space="0" w:color="auto"/>
            <w:left w:val="none" w:sz="0" w:space="0" w:color="auto"/>
            <w:bottom w:val="none" w:sz="0" w:space="0" w:color="auto"/>
            <w:right w:val="none" w:sz="0" w:space="0" w:color="auto"/>
          </w:divBdr>
        </w:div>
        <w:div w:id="150610662">
          <w:marLeft w:val="0"/>
          <w:marRight w:val="0"/>
          <w:marTop w:val="0"/>
          <w:marBottom w:val="0"/>
          <w:divBdr>
            <w:top w:val="none" w:sz="0" w:space="0" w:color="auto"/>
            <w:left w:val="none" w:sz="0" w:space="0" w:color="auto"/>
            <w:bottom w:val="none" w:sz="0" w:space="0" w:color="auto"/>
            <w:right w:val="none" w:sz="0" w:space="0" w:color="auto"/>
          </w:divBdr>
        </w:div>
        <w:div w:id="1622763959">
          <w:marLeft w:val="0"/>
          <w:marRight w:val="0"/>
          <w:marTop w:val="0"/>
          <w:marBottom w:val="0"/>
          <w:divBdr>
            <w:top w:val="none" w:sz="0" w:space="0" w:color="auto"/>
            <w:left w:val="none" w:sz="0" w:space="0" w:color="auto"/>
            <w:bottom w:val="none" w:sz="0" w:space="0" w:color="auto"/>
            <w:right w:val="none" w:sz="0" w:space="0" w:color="auto"/>
          </w:divBdr>
        </w:div>
        <w:div w:id="866453746">
          <w:marLeft w:val="0"/>
          <w:marRight w:val="0"/>
          <w:marTop w:val="0"/>
          <w:marBottom w:val="0"/>
          <w:divBdr>
            <w:top w:val="none" w:sz="0" w:space="0" w:color="auto"/>
            <w:left w:val="none" w:sz="0" w:space="0" w:color="auto"/>
            <w:bottom w:val="none" w:sz="0" w:space="0" w:color="auto"/>
            <w:right w:val="none" w:sz="0" w:space="0" w:color="auto"/>
          </w:divBdr>
        </w:div>
        <w:div w:id="1063720619">
          <w:marLeft w:val="0"/>
          <w:marRight w:val="0"/>
          <w:marTop w:val="0"/>
          <w:marBottom w:val="0"/>
          <w:divBdr>
            <w:top w:val="none" w:sz="0" w:space="0" w:color="auto"/>
            <w:left w:val="none" w:sz="0" w:space="0" w:color="auto"/>
            <w:bottom w:val="none" w:sz="0" w:space="0" w:color="auto"/>
            <w:right w:val="none" w:sz="0" w:space="0" w:color="auto"/>
          </w:divBdr>
        </w:div>
        <w:div w:id="499851015">
          <w:marLeft w:val="0"/>
          <w:marRight w:val="0"/>
          <w:marTop w:val="0"/>
          <w:marBottom w:val="0"/>
          <w:divBdr>
            <w:top w:val="none" w:sz="0" w:space="0" w:color="auto"/>
            <w:left w:val="none" w:sz="0" w:space="0" w:color="auto"/>
            <w:bottom w:val="none" w:sz="0" w:space="0" w:color="auto"/>
            <w:right w:val="none" w:sz="0" w:space="0" w:color="auto"/>
          </w:divBdr>
        </w:div>
        <w:div w:id="1903364889">
          <w:marLeft w:val="0"/>
          <w:marRight w:val="0"/>
          <w:marTop w:val="0"/>
          <w:marBottom w:val="0"/>
          <w:divBdr>
            <w:top w:val="none" w:sz="0" w:space="0" w:color="auto"/>
            <w:left w:val="none" w:sz="0" w:space="0" w:color="auto"/>
            <w:bottom w:val="none" w:sz="0" w:space="0" w:color="auto"/>
            <w:right w:val="none" w:sz="0" w:space="0" w:color="auto"/>
          </w:divBdr>
        </w:div>
        <w:div w:id="996224020">
          <w:marLeft w:val="0"/>
          <w:marRight w:val="0"/>
          <w:marTop w:val="0"/>
          <w:marBottom w:val="0"/>
          <w:divBdr>
            <w:top w:val="none" w:sz="0" w:space="0" w:color="auto"/>
            <w:left w:val="none" w:sz="0" w:space="0" w:color="auto"/>
            <w:bottom w:val="none" w:sz="0" w:space="0" w:color="auto"/>
            <w:right w:val="none" w:sz="0" w:space="0" w:color="auto"/>
          </w:divBdr>
        </w:div>
        <w:div w:id="2138252298">
          <w:marLeft w:val="0"/>
          <w:marRight w:val="0"/>
          <w:marTop w:val="0"/>
          <w:marBottom w:val="0"/>
          <w:divBdr>
            <w:top w:val="none" w:sz="0" w:space="0" w:color="auto"/>
            <w:left w:val="none" w:sz="0" w:space="0" w:color="auto"/>
            <w:bottom w:val="none" w:sz="0" w:space="0" w:color="auto"/>
            <w:right w:val="none" w:sz="0" w:space="0" w:color="auto"/>
          </w:divBdr>
        </w:div>
        <w:div w:id="423038611">
          <w:marLeft w:val="0"/>
          <w:marRight w:val="0"/>
          <w:marTop w:val="0"/>
          <w:marBottom w:val="0"/>
          <w:divBdr>
            <w:top w:val="none" w:sz="0" w:space="0" w:color="auto"/>
            <w:left w:val="none" w:sz="0" w:space="0" w:color="auto"/>
            <w:bottom w:val="none" w:sz="0" w:space="0" w:color="auto"/>
            <w:right w:val="none" w:sz="0" w:space="0" w:color="auto"/>
          </w:divBdr>
        </w:div>
        <w:div w:id="766271284">
          <w:marLeft w:val="0"/>
          <w:marRight w:val="0"/>
          <w:marTop w:val="0"/>
          <w:marBottom w:val="0"/>
          <w:divBdr>
            <w:top w:val="none" w:sz="0" w:space="0" w:color="auto"/>
            <w:left w:val="none" w:sz="0" w:space="0" w:color="auto"/>
            <w:bottom w:val="none" w:sz="0" w:space="0" w:color="auto"/>
            <w:right w:val="none" w:sz="0" w:space="0" w:color="auto"/>
          </w:divBdr>
        </w:div>
        <w:div w:id="1734934798">
          <w:marLeft w:val="0"/>
          <w:marRight w:val="0"/>
          <w:marTop w:val="0"/>
          <w:marBottom w:val="0"/>
          <w:divBdr>
            <w:top w:val="none" w:sz="0" w:space="0" w:color="auto"/>
            <w:left w:val="none" w:sz="0" w:space="0" w:color="auto"/>
            <w:bottom w:val="none" w:sz="0" w:space="0" w:color="auto"/>
            <w:right w:val="none" w:sz="0" w:space="0" w:color="auto"/>
          </w:divBdr>
        </w:div>
        <w:div w:id="2032684021">
          <w:marLeft w:val="0"/>
          <w:marRight w:val="0"/>
          <w:marTop w:val="0"/>
          <w:marBottom w:val="0"/>
          <w:divBdr>
            <w:top w:val="none" w:sz="0" w:space="0" w:color="auto"/>
            <w:left w:val="none" w:sz="0" w:space="0" w:color="auto"/>
            <w:bottom w:val="none" w:sz="0" w:space="0" w:color="auto"/>
            <w:right w:val="none" w:sz="0" w:space="0" w:color="auto"/>
          </w:divBdr>
        </w:div>
      </w:divsChild>
    </w:div>
    <w:div w:id="722292672">
      <w:bodyDiv w:val="1"/>
      <w:marLeft w:val="0"/>
      <w:marRight w:val="0"/>
      <w:marTop w:val="0"/>
      <w:marBottom w:val="0"/>
      <w:divBdr>
        <w:top w:val="none" w:sz="0" w:space="0" w:color="auto"/>
        <w:left w:val="none" w:sz="0" w:space="0" w:color="auto"/>
        <w:bottom w:val="none" w:sz="0" w:space="0" w:color="auto"/>
        <w:right w:val="none" w:sz="0" w:space="0" w:color="auto"/>
      </w:divBdr>
    </w:div>
    <w:div w:id="763503183">
      <w:bodyDiv w:val="1"/>
      <w:marLeft w:val="0"/>
      <w:marRight w:val="0"/>
      <w:marTop w:val="0"/>
      <w:marBottom w:val="0"/>
      <w:divBdr>
        <w:top w:val="none" w:sz="0" w:space="0" w:color="auto"/>
        <w:left w:val="none" w:sz="0" w:space="0" w:color="auto"/>
        <w:bottom w:val="none" w:sz="0" w:space="0" w:color="auto"/>
        <w:right w:val="none" w:sz="0" w:space="0" w:color="auto"/>
      </w:divBdr>
      <w:divsChild>
        <w:div w:id="1497498636">
          <w:marLeft w:val="0"/>
          <w:marRight w:val="0"/>
          <w:marTop w:val="0"/>
          <w:marBottom w:val="0"/>
          <w:divBdr>
            <w:top w:val="none" w:sz="0" w:space="0" w:color="auto"/>
            <w:left w:val="none" w:sz="0" w:space="0" w:color="auto"/>
            <w:bottom w:val="none" w:sz="0" w:space="0" w:color="auto"/>
            <w:right w:val="none" w:sz="0" w:space="0" w:color="auto"/>
          </w:divBdr>
        </w:div>
        <w:div w:id="1166163166">
          <w:marLeft w:val="0"/>
          <w:marRight w:val="0"/>
          <w:marTop w:val="0"/>
          <w:marBottom w:val="0"/>
          <w:divBdr>
            <w:top w:val="none" w:sz="0" w:space="0" w:color="auto"/>
            <w:left w:val="none" w:sz="0" w:space="0" w:color="auto"/>
            <w:bottom w:val="none" w:sz="0" w:space="0" w:color="auto"/>
            <w:right w:val="none" w:sz="0" w:space="0" w:color="auto"/>
          </w:divBdr>
        </w:div>
      </w:divsChild>
    </w:div>
    <w:div w:id="875697162">
      <w:bodyDiv w:val="1"/>
      <w:marLeft w:val="0"/>
      <w:marRight w:val="0"/>
      <w:marTop w:val="0"/>
      <w:marBottom w:val="0"/>
      <w:divBdr>
        <w:top w:val="none" w:sz="0" w:space="0" w:color="auto"/>
        <w:left w:val="none" w:sz="0" w:space="0" w:color="auto"/>
        <w:bottom w:val="none" w:sz="0" w:space="0" w:color="auto"/>
        <w:right w:val="none" w:sz="0" w:space="0" w:color="auto"/>
      </w:divBdr>
    </w:div>
    <w:div w:id="917399816">
      <w:bodyDiv w:val="1"/>
      <w:marLeft w:val="0"/>
      <w:marRight w:val="0"/>
      <w:marTop w:val="0"/>
      <w:marBottom w:val="0"/>
      <w:divBdr>
        <w:top w:val="none" w:sz="0" w:space="0" w:color="auto"/>
        <w:left w:val="none" w:sz="0" w:space="0" w:color="auto"/>
        <w:bottom w:val="none" w:sz="0" w:space="0" w:color="auto"/>
        <w:right w:val="none" w:sz="0" w:space="0" w:color="auto"/>
      </w:divBdr>
    </w:div>
    <w:div w:id="981736678">
      <w:bodyDiv w:val="1"/>
      <w:marLeft w:val="0"/>
      <w:marRight w:val="0"/>
      <w:marTop w:val="0"/>
      <w:marBottom w:val="0"/>
      <w:divBdr>
        <w:top w:val="none" w:sz="0" w:space="0" w:color="auto"/>
        <w:left w:val="none" w:sz="0" w:space="0" w:color="auto"/>
        <w:bottom w:val="none" w:sz="0" w:space="0" w:color="auto"/>
        <w:right w:val="none" w:sz="0" w:space="0" w:color="auto"/>
      </w:divBdr>
    </w:div>
    <w:div w:id="1035303416">
      <w:bodyDiv w:val="1"/>
      <w:marLeft w:val="0"/>
      <w:marRight w:val="0"/>
      <w:marTop w:val="0"/>
      <w:marBottom w:val="0"/>
      <w:divBdr>
        <w:top w:val="none" w:sz="0" w:space="0" w:color="auto"/>
        <w:left w:val="none" w:sz="0" w:space="0" w:color="auto"/>
        <w:bottom w:val="none" w:sz="0" w:space="0" w:color="auto"/>
        <w:right w:val="none" w:sz="0" w:space="0" w:color="auto"/>
      </w:divBdr>
    </w:div>
    <w:div w:id="1165777004">
      <w:bodyDiv w:val="1"/>
      <w:marLeft w:val="0"/>
      <w:marRight w:val="0"/>
      <w:marTop w:val="0"/>
      <w:marBottom w:val="0"/>
      <w:divBdr>
        <w:top w:val="none" w:sz="0" w:space="0" w:color="auto"/>
        <w:left w:val="none" w:sz="0" w:space="0" w:color="auto"/>
        <w:bottom w:val="none" w:sz="0" w:space="0" w:color="auto"/>
        <w:right w:val="none" w:sz="0" w:space="0" w:color="auto"/>
      </w:divBdr>
    </w:div>
    <w:div w:id="1232041895">
      <w:bodyDiv w:val="1"/>
      <w:marLeft w:val="0"/>
      <w:marRight w:val="0"/>
      <w:marTop w:val="0"/>
      <w:marBottom w:val="0"/>
      <w:divBdr>
        <w:top w:val="none" w:sz="0" w:space="0" w:color="auto"/>
        <w:left w:val="none" w:sz="0" w:space="0" w:color="auto"/>
        <w:bottom w:val="none" w:sz="0" w:space="0" w:color="auto"/>
        <w:right w:val="none" w:sz="0" w:space="0" w:color="auto"/>
      </w:divBdr>
    </w:div>
    <w:div w:id="1237401024">
      <w:bodyDiv w:val="1"/>
      <w:marLeft w:val="0"/>
      <w:marRight w:val="0"/>
      <w:marTop w:val="0"/>
      <w:marBottom w:val="0"/>
      <w:divBdr>
        <w:top w:val="none" w:sz="0" w:space="0" w:color="auto"/>
        <w:left w:val="none" w:sz="0" w:space="0" w:color="auto"/>
        <w:bottom w:val="none" w:sz="0" w:space="0" w:color="auto"/>
        <w:right w:val="none" w:sz="0" w:space="0" w:color="auto"/>
      </w:divBdr>
    </w:div>
    <w:div w:id="1260212715">
      <w:bodyDiv w:val="1"/>
      <w:marLeft w:val="0"/>
      <w:marRight w:val="0"/>
      <w:marTop w:val="0"/>
      <w:marBottom w:val="0"/>
      <w:divBdr>
        <w:top w:val="none" w:sz="0" w:space="0" w:color="auto"/>
        <w:left w:val="none" w:sz="0" w:space="0" w:color="auto"/>
        <w:bottom w:val="none" w:sz="0" w:space="0" w:color="auto"/>
        <w:right w:val="none" w:sz="0" w:space="0" w:color="auto"/>
      </w:divBdr>
    </w:div>
    <w:div w:id="1280991138">
      <w:bodyDiv w:val="1"/>
      <w:marLeft w:val="0"/>
      <w:marRight w:val="0"/>
      <w:marTop w:val="0"/>
      <w:marBottom w:val="0"/>
      <w:divBdr>
        <w:top w:val="none" w:sz="0" w:space="0" w:color="auto"/>
        <w:left w:val="none" w:sz="0" w:space="0" w:color="auto"/>
        <w:bottom w:val="none" w:sz="0" w:space="0" w:color="auto"/>
        <w:right w:val="none" w:sz="0" w:space="0" w:color="auto"/>
      </w:divBdr>
    </w:div>
    <w:div w:id="1335180284">
      <w:bodyDiv w:val="1"/>
      <w:marLeft w:val="0"/>
      <w:marRight w:val="0"/>
      <w:marTop w:val="0"/>
      <w:marBottom w:val="0"/>
      <w:divBdr>
        <w:top w:val="none" w:sz="0" w:space="0" w:color="auto"/>
        <w:left w:val="none" w:sz="0" w:space="0" w:color="auto"/>
        <w:bottom w:val="none" w:sz="0" w:space="0" w:color="auto"/>
        <w:right w:val="none" w:sz="0" w:space="0" w:color="auto"/>
      </w:divBdr>
    </w:div>
    <w:div w:id="1481536799">
      <w:bodyDiv w:val="1"/>
      <w:marLeft w:val="0"/>
      <w:marRight w:val="0"/>
      <w:marTop w:val="0"/>
      <w:marBottom w:val="0"/>
      <w:divBdr>
        <w:top w:val="none" w:sz="0" w:space="0" w:color="auto"/>
        <w:left w:val="none" w:sz="0" w:space="0" w:color="auto"/>
        <w:bottom w:val="none" w:sz="0" w:space="0" w:color="auto"/>
        <w:right w:val="none" w:sz="0" w:space="0" w:color="auto"/>
      </w:divBdr>
      <w:divsChild>
        <w:div w:id="785395909">
          <w:marLeft w:val="0"/>
          <w:marRight w:val="0"/>
          <w:marTop w:val="0"/>
          <w:marBottom w:val="0"/>
          <w:divBdr>
            <w:top w:val="none" w:sz="0" w:space="0" w:color="auto"/>
            <w:left w:val="none" w:sz="0" w:space="0" w:color="auto"/>
            <w:bottom w:val="none" w:sz="0" w:space="0" w:color="auto"/>
            <w:right w:val="none" w:sz="0" w:space="0" w:color="auto"/>
          </w:divBdr>
        </w:div>
        <w:div w:id="502866054">
          <w:marLeft w:val="0"/>
          <w:marRight w:val="0"/>
          <w:marTop w:val="0"/>
          <w:marBottom w:val="0"/>
          <w:divBdr>
            <w:top w:val="none" w:sz="0" w:space="0" w:color="auto"/>
            <w:left w:val="none" w:sz="0" w:space="0" w:color="auto"/>
            <w:bottom w:val="none" w:sz="0" w:space="0" w:color="auto"/>
            <w:right w:val="none" w:sz="0" w:space="0" w:color="auto"/>
          </w:divBdr>
        </w:div>
        <w:div w:id="1469278311">
          <w:marLeft w:val="0"/>
          <w:marRight w:val="0"/>
          <w:marTop w:val="0"/>
          <w:marBottom w:val="0"/>
          <w:divBdr>
            <w:top w:val="none" w:sz="0" w:space="0" w:color="auto"/>
            <w:left w:val="none" w:sz="0" w:space="0" w:color="auto"/>
            <w:bottom w:val="none" w:sz="0" w:space="0" w:color="auto"/>
            <w:right w:val="none" w:sz="0" w:space="0" w:color="auto"/>
          </w:divBdr>
        </w:div>
        <w:div w:id="1629385757">
          <w:marLeft w:val="0"/>
          <w:marRight w:val="0"/>
          <w:marTop w:val="0"/>
          <w:marBottom w:val="0"/>
          <w:divBdr>
            <w:top w:val="none" w:sz="0" w:space="0" w:color="auto"/>
            <w:left w:val="none" w:sz="0" w:space="0" w:color="auto"/>
            <w:bottom w:val="none" w:sz="0" w:space="0" w:color="auto"/>
            <w:right w:val="none" w:sz="0" w:space="0" w:color="auto"/>
          </w:divBdr>
        </w:div>
        <w:div w:id="439615928">
          <w:marLeft w:val="0"/>
          <w:marRight w:val="0"/>
          <w:marTop w:val="0"/>
          <w:marBottom w:val="0"/>
          <w:divBdr>
            <w:top w:val="none" w:sz="0" w:space="0" w:color="auto"/>
            <w:left w:val="none" w:sz="0" w:space="0" w:color="auto"/>
            <w:bottom w:val="none" w:sz="0" w:space="0" w:color="auto"/>
            <w:right w:val="none" w:sz="0" w:space="0" w:color="auto"/>
          </w:divBdr>
        </w:div>
        <w:div w:id="1890460223">
          <w:marLeft w:val="0"/>
          <w:marRight w:val="0"/>
          <w:marTop w:val="0"/>
          <w:marBottom w:val="0"/>
          <w:divBdr>
            <w:top w:val="none" w:sz="0" w:space="0" w:color="auto"/>
            <w:left w:val="none" w:sz="0" w:space="0" w:color="auto"/>
            <w:bottom w:val="none" w:sz="0" w:space="0" w:color="auto"/>
            <w:right w:val="none" w:sz="0" w:space="0" w:color="auto"/>
          </w:divBdr>
        </w:div>
        <w:div w:id="1603220229">
          <w:marLeft w:val="0"/>
          <w:marRight w:val="0"/>
          <w:marTop w:val="0"/>
          <w:marBottom w:val="0"/>
          <w:divBdr>
            <w:top w:val="none" w:sz="0" w:space="0" w:color="auto"/>
            <w:left w:val="none" w:sz="0" w:space="0" w:color="auto"/>
            <w:bottom w:val="none" w:sz="0" w:space="0" w:color="auto"/>
            <w:right w:val="none" w:sz="0" w:space="0" w:color="auto"/>
          </w:divBdr>
        </w:div>
        <w:div w:id="1582519521">
          <w:marLeft w:val="0"/>
          <w:marRight w:val="0"/>
          <w:marTop w:val="0"/>
          <w:marBottom w:val="0"/>
          <w:divBdr>
            <w:top w:val="none" w:sz="0" w:space="0" w:color="auto"/>
            <w:left w:val="none" w:sz="0" w:space="0" w:color="auto"/>
            <w:bottom w:val="none" w:sz="0" w:space="0" w:color="auto"/>
            <w:right w:val="none" w:sz="0" w:space="0" w:color="auto"/>
          </w:divBdr>
        </w:div>
        <w:div w:id="1285816692">
          <w:marLeft w:val="0"/>
          <w:marRight w:val="0"/>
          <w:marTop w:val="0"/>
          <w:marBottom w:val="0"/>
          <w:divBdr>
            <w:top w:val="none" w:sz="0" w:space="0" w:color="auto"/>
            <w:left w:val="none" w:sz="0" w:space="0" w:color="auto"/>
            <w:bottom w:val="none" w:sz="0" w:space="0" w:color="auto"/>
            <w:right w:val="none" w:sz="0" w:space="0" w:color="auto"/>
          </w:divBdr>
        </w:div>
        <w:div w:id="1051153194">
          <w:marLeft w:val="0"/>
          <w:marRight w:val="0"/>
          <w:marTop w:val="0"/>
          <w:marBottom w:val="0"/>
          <w:divBdr>
            <w:top w:val="none" w:sz="0" w:space="0" w:color="auto"/>
            <w:left w:val="none" w:sz="0" w:space="0" w:color="auto"/>
            <w:bottom w:val="none" w:sz="0" w:space="0" w:color="auto"/>
            <w:right w:val="none" w:sz="0" w:space="0" w:color="auto"/>
          </w:divBdr>
        </w:div>
        <w:div w:id="14305550">
          <w:marLeft w:val="0"/>
          <w:marRight w:val="0"/>
          <w:marTop w:val="0"/>
          <w:marBottom w:val="0"/>
          <w:divBdr>
            <w:top w:val="none" w:sz="0" w:space="0" w:color="auto"/>
            <w:left w:val="none" w:sz="0" w:space="0" w:color="auto"/>
            <w:bottom w:val="none" w:sz="0" w:space="0" w:color="auto"/>
            <w:right w:val="none" w:sz="0" w:space="0" w:color="auto"/>
          </w:divBdr>
        </w:div>
        <w:div w:id="997538201">
          <w:marLeft w:val="0"/>
          <w:marRight w:val="0"/>
          <w:marTop w:val="0"/>
          <w:marBottom w:val="0"/>
          <w:divBdr>
            <w:top w:val="none" w:sz="0" w:space="0" w:color="auto"/>
            <w:left w:val="none" w:sz="0" w:space="0" w:color="auto"/>
            <w:bottom w:val="none" w:sz="0" w:space="0" w:color="auto"/>
            <w:right w:val="none" w:sz="0" w:space="0" w:color="auto"/>
          </w:divBdr>
        </w:div>
        <w:div w:id="895550321">
          <w:marLeft w:val="0"/>
          <w:marRight w:val="0"/>
          <w:marTop w:val="0"/>
          <w:marBottom w:val="0"/>
          <w:divBdr>
            <w:top w:val="none" w:sz="0" w:space="0" w:color="auto"/>
            <w:left w:val="none" w:sz="0" w:space="0" w:color="auto"/>
            <w:bottom w:val="none" w:sz="0" w:space="0" w:color="auto"/>
            <w:right w:val="none" w:sz="0" w:space="0" w:color="auto"/>
          </w:divBdr>
        </w:div>
        <w:div w:id="255747422">
          <w:marLeft w:val="0"/>
          <w:marRight w:val="0"/>
          <w:marTop w:val="0"/>
          <w:marBottom w:val="0"/>
          <w:divBdr>
            <w:top w:val="none" w:sz="0" w:space="0" w:color="auto"/>
            <w:left w:val="none" w:sz="0" w:space="0" w:color="auto"/>
            <w:bottom w:val="none" w:sz="0" w:space="0" w:color="auto"/>
            <w:right w:val="none" w:sz="0" w:space="0" w:color="auto"/>
          </w:divBdr>
        </w:div>
        <w:div w:id="1832714920">
          <w:marLeft w:val="0"/>
          <w:marRight w:val="0"/>
          <w:marTop w:val="0"/>
          <w:marBottom w:val="0"/>
          <w:divBdr>
            <w:top w:val="none" w:sz="0" w:space="0" w:color="auto"/>
            <w:left w:val="none" w:sz="0" w:space="0" w:color="auto"/>
            <w:bottom w:val="none" w:sz="0" w:space="0" w:color="auto"/>
            <w:right w:val="none" w:sz="0" w:space="0" w:color="auto"/>
          </w:divBdr>
        </w:div>
        <w:div w:id="2047487309">
          <w:marLeft w:val="0"/>
          <w:marRight w:val="0"/>
          <w:marTop w:val="0"/>
          <w:marBottom w:val="0"/>
          <w:divBdr>
            <w:top w:val="none" w:sz="0" w:space="0" w:color="auto"/>
            <w:left w:val="none" w:sz="0" w:space="0" w:color="auto"/>
            <w:bottom w:val="none" w:sz="0" w:space="0" w:color="auto"/>
            <w:right w:val="none" w:sz="0" w:space="0" w:color="auto"/>
          </w:divBdr>
        </w:div>
        <w:div w:id="2133592646">
          <w:marLeft w:val="0"/>
          <w:marRight w:val="0"/>
          <w:marTop w:val="0"/>
          <w:marBottom w:val="0"/>
          <w:divBdr>
            <w:top w:val="none" w:sz="0" w:space="0" w:color="auto"/>
            <w:left w:val="none" w:sz="0" w:space="0" w:color="auto"/>
            <w:bottom w:val="none" w:sz="0" w:space="0" w:color="auto"/>
            <w:right w:val="none" w:sz="0" w:space="0" w:color="auto"/>
          </w:divBdr>
        </w:div>
        <w:div w:id="704408000">
          <w:marLeft w:val="0"/>
          <w:marRight w:val="0"/>
          <w:marTop w:val="0"/>
          <w:marBottom w:val="0"/>
          <w:divBdr>
            <w:top w:val="none" w:sz="0" w:space="0" w:color="auto"/>
            <w:left w:val="none" w:sz="0" w:space="0" w:color="auto"/>
            <w:bottom w:val="none" w:sz="0" w:space="0" w:color="auto"/>
            <w:right w:val="none" w:sz="0" w:space="0" w:color="auto"/>
          </w:divBdr>
        </w:div>
        <w:div w:id="274020832">
          <w:marLeft w:val="0"/>
          <w:marRight w:val="0"/>
          <w:marTop w:val="0"/>
          <w:marBottom w:val="0"/>
          <w:divBdr>
            <w:top w:val="none" w:sz="0" w:space="0" w:color="auto"/>
            <w:left w:val="none" w:sz="0" w:space="0" w:color="auto"/>
            <w:bottom w:val="none" w:sz="0" w:space="0" w:color="auto"/>
            <w:right w:val="none" w:sz="0" w:space="0" w:color="auto"/>
          </w:divBdr>
        </w:div>
        <w:div w:id="1487824356">
          <w:marLeft w:val="0"/>
          <w:marRight w:val="0"/>
          <w:marTop w:val="0"/>
          <w:marBottom w:val="0"/>
          <w:divBdr>
            <w:top w:val="none" w:sz="0" w:space="0" w:color="auto"/>
            <w:left w:val="none" w:sz="0" w:space="0" w:color="auto"/>
            <w:bottom w:val="none" w:sz="0" w:space="0" w:color="auto"/>
            <w:right w:val="none" w:sz="0" w:space="0" w:color="auto"/>
          </w:divBdr>
        </w:div>
        <w:div w:id="10255901">
          <w:marLeft w:val="0"/>
          <w:marRight w:val="0"/>
          <w:marTop w:val="0"/>
          <w:marBottom w:val="0"/>
          <w:divBdr>
            <w:top w:val="none" w:sz="0" w:space="0" w:color="auto"/>
            <w:left w:val="none" w:sz="0" w:space="0" w:color="auto"/>
            <w:bottom w:val="none" w:sz="0" w:space="0" w:color="auto"/>
            <w:right w:val="none" w:sz="0" w:space="0" w:color="auto"/>
          </w:divBdr>
        </w:div>
      </w:divsChild>
    </w:div>
    <w:div w:id="1534150165">
      <w:bodyDiv w:val="1"/>
      <w:marLeft w:val="0"/>
      <w:marRight w:val="0"/>
      <w:marTop w:val="0"/>
      <w:marBottom w:val="0"/>
      <w:divBdr>
        <w:top w:val="none" w:sz="0" w:space="0" w:color="auto"/>
        <w:left w:val="none" w:sz="0" w:space="0" w:color="auto"/>
        <w:bottom w:val="none" w:sz="0" w:space="0" w:color="auto"/>
        <w:right w:val="none" w:sz="0" w:space="0" w:color="auto"/>
      </w:divBdr>
    </w:div>
    <w:div w:id="1560242102">
      <w:bodyDiv w:val="1"/>
      <w:marLeft w:val="0"/>
      <w:marRight w:val="0"/>
      <w:marTop w:val="0"/>
      <w:marBottom w:val="0"/>
      <w:divBdr>
        <w:top w:val="none" w:sz="0" w:space="0" w:color="auto"/>
        <w:left w:val="none" w:sz="0" w:space="0" w:color="auto"/>
        <w:bottom w:val="none" w:sz="0" w:space="0" w:color="auto"/>
        <w:right w:val="none" w:sz="0" w:space="0" w:color="auto"/>
      </w:divBdr>
      <w:divsChild>
        <w:div w:id="283342042">
          <w:marLeft w:val="0"/>
          <w:marRight w:val="0"/>
          <w:marTop w:val="0"/>
          <w:marBottom w:val="0"/>
          <w:divBdr>
            <w:top w:val="none" w:sz="0" w:space="0" w:color="auto"/>
            <w:left w:val="none" w:sz="0" w:space="0" w:color="auto"/>
            <w:bottom w:val="none" w:sz="0" w:space="0" w:color="auto"/>
            <w:right w:val="none" w:sz="0" w:space="0" w:color="auto"/>
          </w:divBdr>
          <w:divsChild>
            <w:div w:id="1794710287">
              <w:marLeft w:val="0"/>
              <w:marRight w:val="0"/>
              <w:marTop w:val="0"/>
              <w:marBottom w:val="450"/>
              <w:divBdr>
                <w:top w:val="none" w:sz="0" w:space="0" w:color="auto"/>
                <w:left w:val="none" w:sz="0" w:space="0" w:color="auto"/>
                <w:bottom w:val="none" w:sz="0" w:space="0" w:color="auto"/>
                <w:right w:val="none" w:sz="0" w:space="0" w:color="auto"/>
              </w:divBdr>
              <w:divsChild>
                <w:div w:id="846209306">
                  <w:marLeft w:val="0"/>
                  <w:marRight w:val="0"/>
                  <w:marTop w:val="0"/>
                  <w:marBottom w:val="0"/>
                  <w:divBdr>
                    <w:top w:val="none" w:sz="0" w:space="0" w:color="auto"/>
                    <w:left w:val="none" w:sz="0" w:space="0" w:color="auto"/>
                    <w:bottom w:val="none" w:sz="0" w:space="0" w:color="auto"/>
                    <w:right w:val="none" w:sz="0" w:space="0" w:color="auto"/>
                  </w:divBdr>
                  <w:divsChild>
                    <w:div w:id="1505825881">
                      <w:marLeft w:val="0"/>
                      <w:marRight w:val="0"/>
                      <w:marTop w:val="0"/>
                      <w:marBottom w:val="0"/>
                      <w:divBdr>
                        <w:top w:val="none" w:sz="0" w:space="0" w:color="auto"/>
                        <w:left w:val="none" w:sz="0" w:space="0" w:color="auto"/>
                        <w:bottom w:val="none" w:sz="0" w:space="0" w:color="auto"/>
                        <w:right w:val="none" w:sz="0" w:space="0" w:color="auto"/>
                      </w:divBdr>
                      <w:divsChild>
                        <w:div w:id="651368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2249435">
      <w:bodyDiv w:val="1"/>
      <w:marLeft w:val="0"/>
      <w:marRight w:val="0"/>
      <w:marTop w:val="0"/>
      <w:marBottom w:val="0"/>
      <w:divBdr>
        <w:top w:val="none" w:sz="0" w:space="0" w:color="auto"/>
        <w:left w:val="none" w:sz="0" w:space="0" w:color="auto"/>
        <w:bottom w:val="none" w:sz="0" w:space="0" w:color="auto"/>
        <w:right w:val="none" w:sz="0" w:space="0" w:color="auto"/>
      </w:divBdr>
    </w:div>
    <w:div w:id="1607083430">
      <w:bodyDiv w:val="1"/>
      <w:marLeft w:val="0"/>
      <w:marRight w:val="0"/>
      <w:marTop w:val="0"/>
      <w:marBottom w:val="0"/>
      <w:divBdr>
        <w:top w:val="none" w:sz="0" w:space="0" w:color="auto"/>
        <w:left w:val="none" w:sz="0" w:space="0" w:color="auto"/>
        <w:bottom w:val="none" w:sz="0" w:space="0" w:color="auto"/>
        <w:right w:val="none" w:sz="0" w:space="0" w:color="auto"/>
      </w:divBdr>
    </w:div>
    <w:div w:id="1869026824">
      <w:bodyDiv w:val="1"/>
      <w:marLeft w:val="0"/>
      <w:marRight w:val="0"/>
      <w:marTop w:val="0"/>
      <w:marBottom w:val="0"/>
      <w:divBdr>
        <w:top w:val="none" w:sz="0" w:space="0" w:color="auto"/>
        <w:left w:val="none" w:sz="0" w:space="0" w:color="auto"/>
        <w:bottom w:val="none" w:sz="0" w:space="0" w:color="auto"/>
        <w:right w:val="none" w:sz="0" w:space="0" w:color="auto"/>
      </w:divBdr>
    </w:div>
    <w:div w:id="198010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documenttasks/documenttasks1.xml><?xml version="1.0" encoding="utf-8"?>
<t:Tasks xmlns:t="http://schemas.microsoft.com/office/tasks/2019/documenttasks" xmlns:oel="http://schemas.microsoft.com/office/2019/extlst">
  <t:Task id="{04BCD899-13DC-4F6A-A915-E2DE99330BA8}">
    <t:Anchor>
      <t:Comment id="652644818"/>
    </t:Anchor>
    <t:History>
      <t:Event id="{1C47EE75-ACB3-4803-9DC8-F6BBB0E804ED}" time="2022-10-05T13:23:42.385Z">
        <t:Attribution userId="S::d.kersiene@inovacijuagentura.lt::75e1688f-35e6-4c48-a06e-d4e266847678" userProvider="AD" userName="Daiva Keršienė"/>
        <t:Anchor>
          <t:Comment id="424067905"/>
        </t:Anchor>
        <t:Create/>
      </t:Event>
      <t:Event id="{9D33399A-E71F-44C1-ABDB-C3FC2869576A}" time="2022-10-05T13:23:42.385Z">
        <t:Attribution userId="S::d.kersiene@inovacijuagentura.lt::75e1688f-35e6-4c48-a06e-d4e266847678" userProvider="AD" userName="Daiva Keršienė"/>
        <t:Anchor>
          <t:Comment id="424067905"/>
        </t:Anchor>
        <t:Assign userId="S::p.kamaitis@inovacijuagentura.lt::636c0486-56f6-473d-bbde-2cf47996f715" userProvider="AD" userName="Paulius Kamaitis"/>
      </t:Event>
      <t:Event id="{2F8422CF-6337-4E20-A049-A0902F6BD59E}" time="2022-10-05T13:23:42.385Z">
        <t:Attribution userId="S::d.kersiene@inovacijuagentura.lt::75e1688f-35e6-4c48-a06e-d4e266847678" userProvider="AD" userName="Daiva Keršienė"/>
        <t:Anchor>
          <t:Comment id="424067905"/>
        </t:Anchor>
        <t:SetTitle title="@rasa.kulvietienė, @Paulius Kamaitis čia būtinai turi būti ir MTEPI, nes finansuojama veikla bus investicijos į kompetencijos centra, kurios poveiklė inovacijų paramos paslaugos, jei bus tik MTEP infrastruktūra, tai reiškiasi parkai negalės teikti …"/>
      </t:Event>
    </t:History>
  </t:Task>
  <t:Task id="{7C5B1882-E115-49B3-93A1-9360633E84A4}">
    <t:Anchor>
      <t:Comment id="1158906579"/>
    </t:Anchor>
    <t:History>
      <t:Event id="{475F5A8D-E48E-4D72-878E-15C31FFCB103}" time="2022-10-05T13:26:32.057Z">
        <t:Attribution userId="S::d.kersiene@inovacijuagentura.lt::75e1688f-35e6-4c48-a06e-d4e266847678" userProvider="AD" userName="Daiva Keršienė"/>
        <t:Anchor>
          <t:Comment id="1158906579"/>
        </t:Anchor>
        <t:Create/>
      </t:Event>
      <t:Event id="{87C0E252-2186-4229-9F0D-C268A8E02EE7}" time="2022-10-05T13:26:32.057Z">
        <t:Attribution userId="S::d.kersiene@inovacijuagentura.lt::75e1688f-35e6-4c48-a06e-d4e266847678" userProvider="AD" userName="Daiva Keršienė"/>
        <t:Anchor>
          <t:Comment id="1158906579"/>
        </t:Anchor>
        <t:Assign userId="S::p.kamaitis@inovacijuagentura.lt::636c0486-56f6-473d-bbde-2cf47996f715" userProvider="AD" userName="Paulius Kamaitis"/>
      </t:Event>
      <t:Event id="{12C73B24-4853-46FA-A05B-07D518D09F91}" time="2022-10-05T13:26:32.057Z">
        <t:Attribution userId="S::d.kersiene@inovacijuagentura.lt::75e1688f-35e6-4c48-a06e-d4e266847678" userProvider="AD" userName="Daiva Keršienė"/>
        <t:Anchor>
          <t:Comment id="1158906579"/>
        </t:Anchor>
        <t:SetTitle title="@Paulius Kamaitis negerai su sąvokomis, nes Projekto partneris, konsorciumo narys kuris vykdo MTEP veiklas konsorciumo sutartyje. Parkai nevykdys MTEP veiklų jie vykdys inovacines veiklas, tai reikia tikslinti į MTEPI"/>
      </t:Event>
    </t:History>
  </t:Task>
  <t:Task id="{9D1C02A5-84C9-4908-A07A-68B8ACE4BA21}">
    <t:Anchor>
      <t:Comment id="996845391"/>
    </t:Anchor>
    <t:History>
      <t:Event id="{DC850844-7E30-4DC6-9231-315B8AA3748F}" time="2022-10-05T13:45:28.63Z">
        <t:Attribution userId="S::d.kersiene@inovacijuagentura.lt::75e1688f-35e6-4c48-a06e-d4e266847678" userProvider="AD" userName="Daiva Keršienė"/>
        <t:Anchor>
          <t:Comment id="996845391"/>
        </t:Anchor>
        <t:Create/>
      </t:Event>
      <t:Event id="{21E96A1B-10A2-4643-88C3-E1340F104FD2}" time="2022-10-05T13:45:28.63Z">
        <t:Attribution userId="S::d.kersiene@inovacijuagentura.lt::75e1688f-35e6-4c48-a06e-d4e266847678" userProvider="AD" userName="Daiva Keršienė"/>
        <t:Anchor>
          <t:Comment id="996845391"/>
        </t:Anchor>
        <t:Assign userId="S::m.bieksa@inovacijuagentura.lt::2425c2fa-01eb-4a2c-ab98-ee68c6c6dbbb" userProvider="AD" userName="Mantas Biekša"/>
      </t:Event>
      <t:Event id="{6861DCB1-E50C-4C62-88E7-19AAEE9F9917}" time="2022-10-05T13:45:28.63Z">
        <t:Attribution userId="S::d.kersiene@inovacijuagentura.lt::75e1688f-35e6-4c48-a06e-d4e266847678" userProvider="AD" userName="Daiva Keršienė"/>
        <t:Anchor>
          <t:Comment id="996845391"/>
        </t:Anchor>
        <t:SetTitle title="@Mantas Biekša gal galėtum įdėti tikslią taisyklių nuorodą, su datomis"/>
      </t:Event>
    </t:History>
  </t:Task>
  <t:Task id="{5ED00B24-9983-4CC4-B3B7-09494E2E43C2}">
    <t:Anchor>
      <t:Comment id="50649606"/>
    </t:Anchor>
    <t:History>
      <t:Event id="{938BFA7B-1E5F-4DA7-8CBB-B1D3BE864C26}" time="2022-10-05T14:10:08.652Z">
        <t:Attribution userId="S::d.kersiene@inovacijuagentura.lt::75e1688f-35e6-4c48-a06e-d4e266847678" userProvider="AD" userName="Daiva Keršienė"/>
        <t:Anchor>
          <t:Comment id="50649606"/>
        </t:Anchor>
        <t:Create/>
      </t:Event>
      <t:Event id="{C5AD743F-378B-473D-A344-33BD6B67A1C7}" time="2022-10-05T14:10:08.652Z">
        <t:Attribution userId="S::d.kersiene@inovacijuagentura.lt::75e1688f-35e6-4c48-a06e-d4e266847678" userProvider="AD" userName="Daiva Keršienė"/>
        <t:Anchor>
          <t:Comment id="50649606"/>
        </t:Anchor>
        <t:Assign userId="S::p.kamaitis@inovacijuagentura.lt::636c0486-56f6-473d-bbde-2cf47996f715" userProvider="AD" userName="Paulius Kamaitis"/>
      </t:Event>
      <t:Event id="{5B1767D2-1CA6-407A-AC83-115C7F78F1B1}" time="2022-10-05T14:10:08.652Z">
        <t:Attribution userId="S::d.kersiene@inovacijuagentura.lt::75e1688f-35e6-4c48-a06e-d4e266847678" userProvider="AD" userName="Daiva Keršienė"/>
        <t:Anchor>
          <t:Comment id="50649606"/>
        </t:Anchor>
        <t:SetTitle title="@Paulius Kamaitis gal čia tikslinti ne pagalba konsultavimui o kai teikiama valstybės pagalba inovacijų paslaugoms. Nes sutarėm kad konsultavimo nėr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1" Abbr="11 pr." Title="2022–2030 M. PLĖTROS PROGRAMOS VALDYTOJOS LIETUVOS RESPUBLIKOS ŠVIETIMO, MOKSLO IR SPORTO MINISTERIJOS MOKSLO PLĖTROS PROGRAMOS PAŽANGOS PRIEMONĖS NR. 12-001-01-02-01 „STIPRINTI INOVACIJŲ EKOSISTEMAS MOKSLO CENTRUOSE“ PROJEKTŲ FINANSAVIMO SĄLYGŲ APRAŠAS NR. 11" DocPartId="2e40b99c68ec4dd5bcc865124b91c008" PartId="9ca73d9b4af04190a8b5e652d1f20f22">
    <Part Type="pabaiga" DocPartId="6c6feca663434bc2b3d89e98b8995dc9" PartId="6481810f99d74d57a30ac0431eb55a18"/>
  </Part>
  <Part Type="priedas" Nr="1" Abbr="1 pr." Title="PROJEKTO (ĮSKAITANT JUNGTINĮ PROJEKTĄ) ATITIKTIES REIKŠMINGOS ŽALOS NEDARYMO HORIZONTALIAJAM PRINCIPUI VERTINIMO REIKALAVIMŲ APRAŠAS" DocPartId="b5f0004bd7a5458f97be8427b017bb2c" PartId="d84e63c914824dff8a656b65ece28adc"/>
  <Part Type="priedas" Nr="2" Abbr="2 pr." Title="INFORMACIJOS, REIKALINGOS PROJEKTO ATITIKČIAI SUMANIOSIOS SPECIALIZACIJOS KONCEPCIJAI ĮVERTINTI, FORMA" DocPartId="f9a3ae64e0ab42bdb218547b20d4eddf" PartId="1eaa3770f7c54aeeab82aa45de6545f0">
    <Part Type="punktas" Nr="1" Abbr="2 pr. 1 p." DocPartId="4f79b3e8d0e74ac398ede1af2877eda9" PartId="beb4fa9f4b2841a9ba08b630a9dd2954"/>
  </Part>
  <Part Type="priedas" Nr="3" Abbr="3 pr." Title="ATITIKTIES VALSTYBĖS PAGALBOS TAISYKLĖMS PATIKROS LAPAS" DocPartId="f6ad339c2c004267a509c4b7e068181b" PartId="9843370fcd3640628f264175cbe3b041"/>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1AD9D1-DD07-46DC-A9F3-818AD6DB3008}">
  <ds:schemaRefs>
    <ds:schemaRef ds:uri="http://lrs.lt/TAIS/DocParts"/>
  </ds:schemaRefs>
</ds:datastoreItem>
</file>

<file path=customXml/itemProps2.xml><?xml version="1.0" encoding="utf-8"?>
<ds:datastoreItem xmlns:ds="http://schemas.openxmlformats.org/officeDocument/2006/customXml" ds:itemID="{0A03A47C-5F31-454B-9FFA-59C7138B0C84}">
  <ds:schemaRefs>
    <ds:schemaRef ds:uri="http://schemas.microsoft.com/sharepoint/v3/contenttype/forms"/>
  </ds:schemaRefs>
</ds:datastoreItem>
</file>

<file path=customXml/itemProps3.xml><?xml version="1.0" encoding="utf-8"?>
<ds:datastoreItem xmlns:ds="http://schemas.openxmlformats.org/officeDocument/2006/customXml" ds:itemID="{34B62911-1CA9-4E00-A4E2-4CB98BF0FDE4}">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274EBCD8-23D5-454E-846D-0FD49E1A8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849158F-5E07-4BA2-8DB1-6E4CC2D9E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33949</Words>
  <Characters>19351</Characters>
  <Application>Microsoft Office Word</Application>
  <DocSecurity>0</DocSecurity>
  <Lines>161</Lines>
  <Paragraphs>106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ba9e28eb-85c0-4a48-9266-0caf6812e428</vt:lpstr>
      <vt:lpstr>ba9e28eb-85c0-4a48-9266-0caf6812e428</vt:lpstr>
    </vt:vector>
  </TitlesOfParts>
  <Company/>
  <LinksUpToDate>false</LinksUpToDate>
  <CharactersWithSpaces>53194</CharactersWithSpaces>
  <SharedDoc>false</SharedDoc>
  <HyperlinkBase/>
  <HLinks>
    <vt:vector size="18" baseType="variant">
      <vt:variant>
        <vt:i4>5046279</vt:i4>
      </vt:variant>
      <vt:variant>
        <vt:i4>0</vt:i4>
      </vt:variant>
      <vt:variant>
        <vt:i4>0</vt:i4>
      </vt:variant>
      <vt:variant>
        <vt:i4>5</vt:i4>
      </vt:variant>
      <vt:variant>
        <vt:lpwstr>http://www.esinvesticijos.lt/lt/dokumentai/vienos-imones-deklaracijos-pagal-komisijos-reglamenta-es-nr-1407-2013</vt:lpwstr>
      </vt:variant>
      <vt:variant>
        <vt:lpwstr/>
      </vt:variant>
      <vt:variant>
        <vt:i4>1572892</vt:i4>
      </vt:variant>
      <vt:variant>
        <vt:i4>3</vt:i4>
      </vt:variant>
      <vt:variant>
        <vt:i4>0</vt:i4>
      </vt:variant>
      <vt:variant>
        <vt:i4>5</vt:i4>
      </vt:variant>
      <vt:variant>
        <vt:lpwstr>https://www.esf.lt/lt/dokumentai-ir-leidiniai/metodines-pagalbos-centras/803</vt:lpwstr>
      </vt:variant>
      <vt:variant>
        <vt:lpwstr/>
      </vt:variant>
      <vt:variant>
        <vt:i4>3801112</vt:i4>
      </vt:variant>
      <vt:variant>
        <vt:i4>0</vt:i4>
      </vt:variant>
      <vt:variant>
        <vt:i4>0</vt:i4>
      </vt:variant>
      <vt:variant>
        <vt:i4>5</vt:i4>
      </vt:variant>
      <vt:variant>
        <vt:lpwstr>https://eur-lex.europa.eu/legal-content/LT/TXT/HTML/?uri=CELEX:32014R0651&amp;from=LT</vt:lpwstr>
      </vt:variant>
      <vt:variant>
        <vt:lpwstr>ntr40-L_2014187LT.01000101-E0040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ba9e28eb-85c0-4a48-9266-0caf6812e428</dc:title>
  <dc:creator>Gitana Cieminienė</dc:creator>
  <cp:lastModifiedBy>TAMALIŪNIENĖ Vilija</cp:lastModifiedBy>
  <cp:revision>2</cp:revision>
  <cp:lastPrinted>2023-08-17T11:08:00Z</cp:lastPrinted>
  <dcterms:created xsi:type="dcterms:W3CDTF">2023-09-07T13:47:00Z</dcterms:created>
  <dcterms:modified xsi:type="dcterms:W3CDTF">2023-09-07T13:47:00Z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MediaServiceImageTags">
    <vt:lpwstr/>
  </property>
  <property fmtid="{D5CDD505-2E9C-101B-9397-08002B2CF9AE}" pid="4" name="GrammarlyDocumentId">
    <vt:lpwstr>0fadc7242014d3c2adf638054eec6c87081628b2cec26011dbb92e884e06a858</vt:lpwstr>
  </property>
  <property fmtid="{D5CDD505-2E9C-101B-9397-08002B2CF9AE}" pid="5" name="Komentarai">
    <vt:lpwstr>Pridėta vizavimo metu</vt:lpwstr>
  </property>
  <property fmtid="{D5CDD505-2E9C-101B-9397-08002B2CF9AE}" pid="6" name="DmsPermissionsFlags">
    <vt:lpwstr>,SECTRUE,</vt:lpwstr>
  </property>
  <property fmtid="{D5CDD505-2E9C-101B-9397-08002B2CF9AE}" pid="7" name="DmsPermissionsDivisions">
    <vt:lpwstr/>
  </property>
  <property fmtid="{D5CDD505-2E9C-101B-9397-08002B2CF9AE}" pid="8" name="DmsPermissionsUsers">
    <vt:lpwstr>827;#Marija Samavičiūtė;#1119;#Mantas Bernotas;#166;#Margarita Kairienė;#1096;#Gytis Petrukaitis;#63;#Eglė Vizbarė</vt:lpwstr>
  </property>
  <property fmtid="{D5CDD505-2E9C-101B-9397-08002B2CF9AE}" pid="9" name="TaxCatchAll">
    <vt:lpwstr/>
  </property>
</Properties>
</file>