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sz w:val="22"/>
          <w:szCs w:val="22"/>
        </w:rPr>
        <w:alias w:val="6 pr."/>
        <w:tag w:val="part_c01df685bede4e1bb565c7b3d85091aa"/>
        <w:id w:val="-879011528"/>
        <w:lock w:val="sdtLocked"/>
        <w:placeholder>
          <w:docPart w:val="DefaultPlaceholder_-1854013440"/>
        </w:placeholder>
      </w:sdtPr>
      <w:sdtEndPr>
        <w:rPr>
          <w:rFonts w:ascii="Calibri" w:eastAsia="Calibri" w:hAnsi="Calibri"/>
        </w:rPr>
      </w:sdtEndPr>
      <w:sdtContent>
        <w:p w:rsidR="00203713" w:rsidRDefault="00203713">
          <w:pPr>
            <w:tabs>
              <w:tab w:val="center" w:pos="4819"/>
              <w:tab w:val="right" w:pos="9638"/>
            </w:tabs>
            <w:jc w:val="center"/>
            <w:rPr>
              <w:sz w:val="22"/>
              <w:szCs w:val="22"/>
            </w:rPr>
          </w:pPr>
        </w:p>
        <w:p w:rsidR="00203713" w:rsidRDefault="00652E26">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rsidR="00203713" w:rsidRDefault="003137FC">
          <w:pPr>
            <w:ind w:left="9639"/>
            <w:rPr>
              <w:szCs w:val="24"/>
            </w:rPr>
          </w:pPr>
          <w:sdt>
            <w:sdtPr>
              <w:alias w:val="Numeris"/>
              <w:tag w:val="nr_c01df685bede4e1bb565c7b3d85091aa"/>
              <w:id w:val="-567809327"/>
              <w:lock w:val="sdtLocked"/>
            </w:sdtPr>
            <w:sdtEndPr/>
            <w:sdtContent>
              <w:r w:rsidR="00652E26">
                <w:rPr>
                  <w:szCs w:val="24"/>
                </w:rPr>
                <w:t>6</w:t>
              </w:r>
            </w:sdtContent>
          </w:sdt>
          <w:r w:rsidR="00652E26">
            <w:rPr>
              <w:szCs w:val="24"/>
            </w:rPr>
            <w:t xml:space="preserve"> priedas</w:t>
          </w:r>
        </w:p>
        <w:p w:rsidR="00203713" w:rsidRDefault="00203713">
          <w:pPr>
            <w:rPr>
              <w:szCs w:val="24"/>
            </w:rPr>
          </w:pPr>
        </w:p>
        <w:p w:rsidR="00203713" w:rsidRDefault="003137FC">
          <w:pPr>
            <w:jc w:val="center"/>
            <w:rPr>
              <w:szCs w:val="24"/>
            </w:rPr>
          </w:pPr>
          <w:sdt>
            <w:sdtPr>
              <w:alias w:val="Pavadinimas"/>
              <w:tag w:val="title_c01df685bede4e1bb565c7b3d85091aa"/>
              <w:id w:val="-998958372"/>
              <w:lock w:val="sdtLocked"/>
            </w:sdtPr>
            <w:sdtEndPr/>
            <w:sdtContent>
              <w:r w:rsidR="00652E26">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sidR="00652E26">
                <w:rPr>
                  <w:b/>
                </w:rPr>
                <w:t>NR. 6</w:t>
              </w:r>
            </w:sdtContent>
          </w:sdt>
        </w:p>
        <w:p w:rsidR="00203713" w:rsidRDefault="00203713">
          <w:pPr>
            <w:rPr>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559"/>
            <w:gridCol w:w="1134"/>
            <w:gridCol w:w="1134"/>
            <w:gridCol w:w="1134"/>
            <w:gridCol w:w="1276"/>
            <w:gridCol w:w="1275"/>
            <w:gridCol w:w="993"/>
            <w:gridCol w:w="992"/>
            <w:gridCol w:w="850"/>
            <w:gridCol w:w="1134"/>
            <w:gridCol w:w="1134"/>
          </w:tblGrid>
          <w:tr w:rsidR="00203713">
            <w:tc>
              <w:tcPr>
                <w:tcW w:w="14170" w:type="dxa"/>
                <w:gridSpan w:val="12"/>
                <w:vAlign w:val="center"/>
              </w:tcPr>
              <w:p w:rsidR="00203713" w:rsidRDefault="00652E26">
                <w:pPr>
                  <w:jc w:val="center"/>
                  <w:rPr>
                    <w:b/>
                    <w:szCs w:val="24"/>
                  </w:rPr>
                </w:pPr>
                <w:r>
                  <w:rPr>
                    <w:b/>
                    <w:szCs w:val="24"/>
                  </w:rPr>
                  <w:t>VEIKLOS AR POVEIKLĖS, KURIOMS NUSTATOMOS PROJEKTŲ FINANSAVIMO SĄLYGOS</w:t>
                </w:r>
              </w:p>
            </w:tc>
          </w:tr>
          <w:tr w:rsidR="00203713">
            <w:tc>
              <w:tcPr>
                <w:tcW w:w="1555" w:type="dxa"/>
                <w:vAlign w:val="center"/>
              </w:tcPr>
              <w:p w:rsidR="00203713" w:rsidRDefault="00652E26">
                <w:pPr>
                  <w:jc w:val="center"/>
                  <w:rPr>
                    <w:b/>
                    <w:sz w:val="20"/>
                  </w:rPr>
                </w:pPr>
                <w:r>
                  <w:rPr>
                    <w:b/>
                    <w:sz w:val="20"/>
                  </w:rPr>
                  <w:t>Veiklos pavadinimas</w:t>
                </w:r>
              </w:p>
            </w:tc>
            <w:tc>
              <w:tcPr>
                <w:tcW w:w="1559" w:type="dxa"/>
                <w:vAlign w:val="center"/>
              </w:tcPr>
              <w:p w:rsidR="00203713" w:rsidRDefault="00652E26">
                <w:pPr>
                  <w:jc w:val="center"/>
                  <w:rPr>
                    <w:b/>
                    <w:sz w:val="20"/>
                  </w:rPr>
                </w:pPr>
                <w:r>
                  <w:rPr>
                    <w:b/>
                    <w:sz w:val="20"/>
                  </w:rPr>
                  <w:t>Finansavimo šaltinis</w:t>
                </w:r>
              </w:p>
            </w:tc>
            <w:tc>
              <w:tcPr>
                <w:tcW w:w="1134" w:type="dxa"/>
                <w:vAlign w:val="center"/>
              </w:tcPr>
              <w:p w:rsidR="00203713" w:rsidRDefault="00652E26">
                <w:pPr>
                  <w:jc w:val="center"/>
                  <w:rPr>
                    <w:b/>
                    <w:sz w:val="20"/>
                  </w:rPr>
                </w:pPr>
                <w:r>
                  <w:rPr>
                    <w:b/>
                    <w:bCs/>
                    <w:sz w:val="20"/>
                  </w:rPr>
                  <w:t>Prioritetas ar komponentas</w:t>
                </w:r>
              </w:p>
            </w:tc>
            <w:tc>
              <w:tcPr>
                <w:tcW w:w="1134" w:type="dxa"/>
                <w:vAlign w:val="center"/>
              </w:tcPr>
              <w:p w:rsidR="00203713" w:rsidRDefault="00652E26">
                <w:pPr>
                  <w:jc w:val="center"/>
                  <w:rPr>
                    <w:b/>
                    <w:sz w:val="20"/>
                  </w:rPr>
                </w:pPr>
                <w:r>
                  <w:rPr>
                    <w:b/>
                    <w:bCs/>
                    <w:sz w:val="20"/>
                  </w:rPr>
                  <w:t>Uždavinys ar priemonė</w:t>
                </w:r>
              </w:p>
            </w:tc>
            <w:tc>
              <w:tcPr>
                <w:tcW w:w="1134" w:type="dxa"/>
                <w:vAlign w:val="center"/>
              </w:tcPr>
              <w:p w:rsidR="00203713" w:rsidRDefault="00652E26">
                <w:pPr>
                  <w:jc w:val="center"/>
                  <w:rPr>
                    <w:b/>
                    <w:sz w:val="20"/>
                  </w:rPr>
                </w:pPr>
                <w:r>
                  <w:rPr>
                    <w:b/>
                    <w:bCs/>
                    <w:sz w:val="20"/>
                  </w:rPr>
                  <w:t>Veikla ar papriemonė</w:t>
                </w:r>
              </w:p>
            </w:tc>
            <w:tc>
              <w:tcPr>
                <w:tcW w:w="1276" w:type="dxa"/>
                <w:shd w:val="clear" w:color="auto" w:fill="auto"/>
                <w:vAlign w:val="center"/>
              </w:tcPr>
              <w:p w:rsidR="00203713" w:rsidRDefault="00652E26">
                <w:pPr>
                  <w:jc w:val="center"/>
                  <w:rPr>
                    <w:b/>
                    <w:sz w:val="20"/>
                  </w:rPr>
                </w:pPr>
                <w:r>
                  <w:rPr>
                    <w:b/>
                    <w:sz w:val="20"/>
                  </w:rPr>
                  <w:t>Intervencinės priemonės kodas</w:t>
                </w:r>
              </w:p>
            </w:tc>
            <w:tc>
              <w:tcPr>
                <w:tcW w:w="1275" w:type="dxa"/>
                <w:vAlign w:val="center"/>
              </w:tcPr>
              <w:p w:rsidR="00203713" w:rsidRDefault="00652E26">
                <w:pPr>
                  <w:jc w:val="center"/>
                  <w:rPr>
                    <w:b/>
                    <w:sz w:val="20"/>
                  </w:rPr>
                </w:pPr>
                <w:r>
                  <w:rPr>
                    <w:b/>
                    <w:sz w:val="20"/>
                  </w:rPr>
                  <w:t>Regionas, kuriam priskiriama veikla ar poveiklė</w:t>
                </w:r>
              </w:p>
            </w:tc>
            <w:tc>
              <w:tcPr>
                <w:tcW w:w="993" w:type="dxa"/>
                <w:vAlign w:val="center"/>
              </w:tcPr>
              <w:p w:rsidR="00203713" w:rsidRDefault="00652E26">
                <w:pPr>
                  <w:jc w:val="center"/>
                  <w:rPr>
                    <w:b/>
                    <w:sz w:val="20"/>
                  </w:rPr>
                </w:pPr>
                <w:r>
                  <w:rPr>
                    <w:b/>
                    <w:bCs/>
                    <w:sz w:val="20"/>
                  </w:rPr>
                  <w:t>Paramos formos kodas</w:t>
                </w:r>
              </w:p>
            </w:tc>
            <w:tc>
              <w:tcPr>
                <w:tcW w:w="992" w:type="dxa"/>
                <w:vAlign w:val="center"/>
              </w:tcPr>
              <w:p w:rsidR="00203713" w:rsidRDefault="00652E26">
                <w:pPr>
                  <w:jc w:val="center"/>
                  <w:rPr>
                    <w:b/>
                    <w:sz w:val="20"/>
                  </w:rPr>
                </w:pPr>
                <w:r>
                  <w:rPr>
                    <w:b/>
                    <w:bCs/>
                    <w:sz w:val="20"/>
                  </w:rPr>
                  <w:t>Pagrindinės teritorinės srities kodas (-ai)</w:t>
                </w:r>
              </w:p>
            </w:tc>
            <w:tc>
              <w:tcPr>
                <w:tcW w:w="850" w:type="dxa"/>
                <w:vAlign w:val="center"/>
              </w:tcPr>
              <w:p w:rsidR="00203713" w:rsidRDefault="00652E26">
                <w:pPr>
                  <w:jc w:val="center"/>
                  <w:rPr>
                    <w:b/>
                    <w:sz w:val="20"/>
                  </w:rPr>
                </w:pPr>
                <w:r>
                  <w:rPr>
                    <w:b/>
                    <w:bCs/>
                    <w:sz w:val="20"/>
                  </w:rPr>
                  <w:t>Ekonominės veiklos kodas (-ai)</w:t>
                </w:r>
              </w:p>
            </w:tc>
            <w:tc>
              <w:tcPr>
                <w:tcW w:w="1134" w:type="dxa"/>
                <w:vAlign w:val="center"/>
              </w:tcPr>
              <w:p w:rsidR="00203713" w:rsidRDefault="00652E26">
                <w:pPr>
                  <w:jc w:val="center"/>
                  <w:rPr>
                    <w:b/>
                    <w:sz w:val="20"/>
                  </w:rPr>
                </w:pPr>
                <w:r>
                  <w:rPr>
                    <w:b/>
                    <w:bCs/>
                    <w:sz w:val="20"/>
                  </w:rPr>
                  <w:t>„Europos socialinio fondo +“ (toliau – ESF+) antrinių temų kodai</w:t>
                </w:r>
              </w:p>
            </w:tc>
            <w:tc>
              <w:tcPr>
                <w:tcW w:w="1134" w:type="dxa"/>
                <w:vAlign w:val="center"/>
              </w:tcPr>
              <w:p w:rsidR="00203713" w:rsidRDefault="00652E26">
                <w:pPr>
                  <w:jc w:val="center"/>
                  <w:rPr>
                    <w:b/>
                    <w:sz w:val="20"/>
                  </w:rPr>
                </w:pPr>
                <w:r>
                  <w:rPr>
                    <w:b/>
                    <w:bCs/>
                    <w:sz w:val="20"/>
                  </w:rPr>
                  <w:t>Lyčių lygybės matmens kodas</w:t>
                </w:r>
              </w:p>
            </w:tc>
          </w:tr>
          <w:tr w:rsidR="00203713">
            <w:trPr>
              <w:trHeight w:val="278"/>
            </w:trPr>
            <w:tc>
              <w:tcPr>
                <w:tcW w:w="1555" w:type="dxa"/>
              </w:tcPr>
              <w:p w:rsidR="00203713" w:rsidRDefault="00652E26">
                <w:pPr>
                  <w:rPr>
                    <w:szCs w:val="24"/>
                  </w:rPr>
                </w:pPr>
                <w:r>
                  <w:rPr>
                    <w:szCs w:val="24"/>
                  </w:rPr>
                  <w:t xml:space="preserve">Parama mokslo ir MVĮ projektams, gavusiems Europos Komisijos kokybės ženklą, ir Marie Skłodowskos-Curie veiklos, Europos </w:t>
                </w:r>
                <w:r>
                  <w:rPr>
                    <w:szCs w:val="24"/>
                  </w:rPr>
                  <w:lastRenderedPageBreak/>
                  <w:t>mokslo tarybos, Pažangos sklaidos ir mokslinių tyrimų erdvės teigiamai įvertintiems, tačiau dėl lėšų trūkumo negavusiems Europos Komisijos finansavimo projektams</w:t>
                </w:r>
              </w:p>
            </w:tc>
            <w:tc>
              <w:tcPr>
                <w:tcW w:w="1559" w:type="dxa"/>
              </w:tcPr>
              <w:p w:rsidR="00203713" w:rsidRDefault="00652E26">
                <w:pPr>
                  <w:jc w:val="center"/>
                  <w:rPr>
                    <w:b/>
                    <w:szCs w:val="24"/>
                  </w:rPr>
                </w:pPr>
                <w:r>
                  <w:rPr>
                    <w:szCs w:val="24"/>
                  </w:rPr>
                  <w:lastRenderedPageBreak/>
                  <w:t>Ekonomikos gaivinimo ir atsparumo didinimo priemonės (toliau – EGADP) lėšos ir Lietuvos Respublikos valstybės biudžeto lėšos</w:t>
                </w:r>
              </w:p>
            </w:tc>
            <w:tc>
              <w:tcPr>
                <w:tcW w:w="1134" w:type="dxa"/>
              </w:tcPr>
              <w:p w:rsidR="00203713" w:rsidRDefault="00652E26">
                <w:pPr>
                  <w:jc w:val="center"/>
                  <w:rPr>
                    <w:b/>
                    <w:szCs w:val="24"/>
                    <w:lang w:val="en-GB"/>
                  </w:rPr>
                </w:pPr>
                <w:r>
                  <w:rPr>
                    <w:iCs/>
                    <w:szCs w:val="24"/>
                  </w:rPr>
                  <w:t>5</w:t>
                </w:r>
              </w:p>
            </w:tc>
            <w:tc>
              <w:tcPr>
                <w:tcW w:w="1134" w:type="dxa"/>
              </w:tcPr>
              <w:p w:rsidR="00203713" w:rsidRDefault="00652E26">
                <w:pPr>
                  <w:jc w:val="center"/>
                  <w:rPr>
                    <w:b/>
                    <w:szCs w:val="24"/>
                  </w:rPr>
                </w:pPr>
                <w:r>
                  <w:rPr>
                    <w:szCs w:val="24"/>
                  </w:rPr>
                  <w:t>E.1.3.</w:t>
                </w:r>
              </w:p>
            </w:tc>
            <w:tc>
              <w:tcPr>
                <w:tcW w:w="1134" w:type="dxa"/>
              </w:tcPr>
              <w:p w:rsidR="00203713" w:rsidRDefault="00652E26">
                <w:pPr>
                  <w:jc w:val="center"/>
                  <w:rPr>
                    <w:b/>
                    <w:szCs w:val="24"/>
                  </w:rPr>
                </w:pPr>
                <w:r>
                  <w:rPr>
                    <w:iCs/>
                    <w:szCs w:val="24"/>
                  </w:rPr>
                  <w:t>E.1.3.3.</w:t>
                </w:r>
              </w:p>
            </w:tc>
            <w:tc>
              <w:tcPr>
                <w:tcW w:w="1276" w:type="dxa"/>
              </w:tcPr>
              <w:p w:rsidR="00203713" w:rsidRDefault="00652E26">
                <w:pPr>
                  <w:jc w:val="center"/>
                  <w:rPr>
                    <w:iCs/>
                    <w:szCs w:val="24"/>
                  </w:rPr>
                </w:pPr>
                <w:r>
                  <w:rPr>
                    <w:szCs w:val="24"/>
                  </w:rPr>
                  <w:t>021</w:t>
                </w:r>
              </w:p>
            </w:tc>
            <w:tc>
              <w:tcPr>
                <w:tcW w:w="1275" w:type="dxa"/>
              </w:tcPr>
              <w:p w:rsidR="00203713" w:rsidRDefault="00652E26">
                <w:pPr>
                  <w:jc w:val="center"/>
                  <w:rPr>
                    <w:szCs w:val="24"/>
                  </w:rPr>
                </w:pPr>
                <w:r>
                  <w:rPr>
                    <w:szCs w:val="24"/>
                  </w:rPr>
                  <w:t>-</w:t>
                </w:r>
              </w:p>
            </w:tc>
            <w:tc>
              <w:tcPr>
                <w:tcW w:w="993" w:type="dxa"/>
              </w:tcPr>
              <w:p w:rsidR="00203713" w:rsidRDefault="00652E26">
                <w:pPr>
                  <w:jc w:val="center"/>
                  <w:rPr>
                    <w:szCs w:val="24"/>
                  </w:rPr>
                </w:pPr>
                <w:r>
                  <w:rPr>
                    <w:szCs w:val="24"/>
                  </w:rPr>
                  <w:t>-</w:t>
                </w:r>
              </w:p>
            </w:tc>
            <w:tc>
              <w:tcPr>
                <w:tcW w:w="992" w:type="dxa"/>
              </w:tcPr>
              <w:p w:rsidR="00203713" w:rsidRDefault="00652E26">
                <w:pPr>
                  <w:jc w:val="center"/>
                  <w:rPr>
                    <w:szCs w:val="24"/>
                  </w:rPr>
                </w:pPr>
                <w:r>
                  <w:rPr>
                    <w:szCs w:val="24"/>
                  </w:rPr>
                  <w:t>-</w:t>
                </w:r>
              </w:p>
            </w:tc>
            <w:tc>
              <w:tcPr>
                <w:tcW w:w="850" w:type="dxa"/>
              </w:tcPr>
              <w:p w:rsidR="00203713" w:rsidRDefault="00652E26">
                <w:pPr>
                  <w:jc w:val="center"/>
                  <w:rPr>
                    <w:szCs w:val="24"/>
                  </w:rPr>
                </w:pPr>
                <w:r>
                  <w:rPr>
                    <w:szCs w:val="24"/>
                  </w:rPr>
                  <w:t>-</w:t>
                </w:r>
              </w:p>
            </w:tc>
            <w:tc>
              <w:tcPr>
                <w:tcW w:w="1134" w:type="dxa"/>
              </w:tcPr>
              <w:p w:rsidR="00203713" w:rsidRDefault="00652E26">
                <w:pPr>
                  <w:jc w:val="center"/>
                  <w:rPr>
                    <w:szCs w:val="24"/>
                  </w:rPr>
                </w:pPr>
                <w:r>
                  <w:rPr>
                    <w:szCs w:val="24"/>
                  </w:rPr>
                  <w:t>-</w:t>
                </w:r>
              </w:p>
            </w:tc>
            <w:tc>
              <w:tcPr>
                <w:tcW w:w="1134" w:type="dxa"/>
              </w:tcPr>
              <w:p w:rsidR="00203713" w:rsidRDefault="00652E26">
                <w:pPr>
                  <w:jc w:val="center"/>
                  <w:rPr>
                    <w:szCs w:val="24"/>
                  </w:rPr>
                </w:pPr>
                <w:r>
                  <w:rPr>
                    <w:szCs w:val="24"/>
                  </w:rPr>
                  <w:t>-</w:t>
                </w:r>
              </w:p>
            </w:tc>
          </w:tr>
        </w:tbl>
        <w:p w:rsidR="00203713" w:rsidRDefault="00203713">
          <w:pPr>
            <w:rPr>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2"/>
            <w:gridCol w:w="3543"/>
            <w:gridCol w:w="3542"/>
            <w:gridCol w:w="3543"/>
          </w:tblGrid>
          <w:tr w:rsidR="00203713">
            <w:trPr>
              <w:trHeight w:val="403"/>
            </w:trPr>
            <w:tc>
              <w:tcPr>
                <w:tcW w:w="3542" w:type="dxa"/>
                <w:shd w:val="clear" w:color="auto" w:fill="auto"/>
              </w:tcPr>
              <w:p w:rsidR="00203713" w:rsidRDefault="00652E26">
                <w:pPr>
                  <w:jc w:val="center"/>
                  <w:rPr>
                    <w:szCs w:val="24"/>
                  </w:rPr>
                </w:pPr>
                <w:r>
                  <w:rPr>
                    <w:szCs w:val="24"/>
                  </w:rPr>
                  <w:t>Rodiklio pavadinimas</w:t>
                </w:r>
              </w:p>
            </w:tc>
            <w:tc>
              <w:tcPr>
                <w:tcW w:w="3543" w:type="dxa"/>
                <w:shd w:val="clear" w:color="auto" w:fill="auto"/>
              </w:tcPr>
              <w:p w:rsidR="00203713" w:rsidRDefault="00652E26">
                <w:pPr>
                  <w:jc w:val="center"/>
                  <w:rPr>
                    <w:szCs w:val="24"/>
                  </w:rPr>
                </w:pPr>
                <w:r>
                  <w:rPr>
                    <w:szCs w:val="24"/>
                  </w:rPr>
                  <w:t>Rodiklio kodas</w:t>
                </w:r>
              </w:p>
            </w:tc>
            <w:tc>
              <w:tcPr>
                <w:tcW w:w="3542" w:type="dxa"/>
                <w:shd w:val="clear" w:color="auto" w:fill="auto"/>
              </w:tcPr>
              <w:p w:rsidR="00203713" w:rsidRDefault="00652E26">
                <w:pPr>
                  <w:jc w:val="center"/>
                  <w:rPr>
                    <w:szCs w:val="24"/>
                  </w:rPr>
                </w:pPr>
                <w:r>
                  <w:rPr>
                    <w:szCs w:val="24"/>
                  </w:rPr>
                  <w:t>Matavimo vienetai</w:t>
                </w:r>
              </w:p>
            </w:tc>
            <w:tc>
              <w:tcPr>
                <w:tcW w:w="3543" w:type="dxa"/>
                <w:shd w:val="clear" w:color="auto" w:fill="auto"/>
              </w:tcPr>
              <w:p w:rsidR="00203713" w:rsidRDefault="00652E26">
                <w:pPr>
                  <w:jc w:val="center"/>
                  <w:rPr>
                    <w:szCs w:val="24"/>
                  </w:rPr>
                </w:pPr>
                <w:r>
                  <w:rPr>
                    <w:szCs w:val="24"/>
                  </w:rPr>
                  <w:t>Siektina reikšmė</w:t>
                </w:r>
              </w:p>
            </w:tc>
          </w:tr>
          <w:tr w:rsidR="00203713">
            <w:trPr>
              <w:trHeight w:val="721"/>
            </w:trPr>
            <w:tc>
              <w:tcPr>
                <w:tcW w:w="3542" w:type="dxa"/>
                <w:tcBorders>
                  <w:bottom w:val="single" w:sz="4" w:space="0" w:color="auto"/>
                </w:tcBorders>
              </w:tcPr>
              <w:p w:rsidR="00203713" w:rsidRDefault="00652E26">
                <w:pPr>
                  <w:jc w:val="center"/>
                  <w:rPr>
                    <w:color w:val="000000"/>
                    <w:szCs w:val="24"/>
                    <w:shd w:val="clear" w:color="auto" w:fill="FFFFFF"/>
                  </w:rPr>
                </w:pPr>
                <w:r>
                  <w:rPr>
                    <w:color w:val="000000"/>
                    <w:szCs w:val="24"/>
                    <w:shd w:val="clear" w:color="auto" w:fill="FFFFFF"/>
                  </w:rPr>
                  <w:t>Finansuoti projektai ir konsultavimo paslaugos mokslo ir studijų institucijų ir mažų ir vidutinių įmonių potencialiems  programos „Europos horizontas“ pareiškėjams</w:t>
                </w:r>
              </w:p>
              <w:p w:rsidR="00203713" w:rsidRDefault="00203713">
                <w:pPr>
                  <w:jc w:val="center"/>
                  <w:rPr>
                    <w:i/>
                    <w:iCs/>
                  </w:rPr>
                </w:pPr>
              </w:p>
            </w:tc>
            <w:tc>
              <w:tcPr>
                <w:tcW w:w="3543" w:type="dxa"/>
                <w:tcBorders>
                  <w:bottom w:val="single" w:sz="4" w:space="0" w:color="auto"/>
                </w:tcBorders>
              </w:tcPr>
              <w:p w:rsidR="00203713" w:rsidRDefault="00652E26">
                <w:pPr>
                  <w:jc w:val="center"/>
                  <w:rPr>
                    <w:bCs/>
                    <w:color w:val="000000"/>
                    <w:szCs w:val="24"/>
                    <w:shd w:val="clear" w:color="auto" w:fill="FFFFFF"/>
                  </w:rPr>
                </w:pPr>
                <w:r>
                  <w:rPr>
                    <w:bCs/>
                    <w:color w:val="000000"/>
                    <w:szCs w:val="24"/>
                    <w:shd w:val="clear" w:color="auto" w:fill="FFFFFF"/>
                  </w:rPr>
                  <w:t>P-12-001-01-02-01-14</w:t>
                </w:r>
              </w:p>
              <w:p w:rsidR="00203713" w:rsidRDefault="00203713">
                <w:pPr>
                  <w:jc w:val="center"/>
                  <w:rPr>
                    <w:bCs/>
                    <w:color w:val="000000"/>
                    <w:szCs w:val="24"/>
                    <w:shd w:val="clear" w:color="auto" w:fill="FFFFFF"/>
                  </w:rPr>
                </w:pPr>
              </w:p>
              <w:p w:rsidR="00203713" w:rsidRDefault="00652E26">
                <w:pPr>
                  <w:jc w:val="center"/>
                  <w:rPr>
                    <w:bCs/>
                    <w:color w:val="000000"/>
                    <w:szCs w:val="24"/>
                    <w:shd w:val="clear" w:color="auto" w:fill="FFFFFF"/>
                  </w:rPr>
                </w:pPr>
                <w:r>
                  <w:rPr>
                    <w:bCs/>
                    <w:color w:val="000000"/>
                    <w:szCs w:val="24"/>
                    <w:shd w:val="clear" w:color="auto" w:fill="FFFFFF"/>
                  </w:rPr>
                  <w:t>P.S.1.1136</w:t>
                </w:r>
              </w:p>
            </w:tc>
            <w:tc>
              <w:tcPr>
                <w:tcW w:w="3542" w:type="dxa"/>
                <w:tcBorders>
                  <w:bottom w:val="single" w:sz="4" w:space="0" w:color="auto"/>
                </w:tcBorders>
              </w:tcPr>
              <w:p w:rsidR="00203713" w:rsidRDefault="00652E26">
                <w:pPr>
                  <w:jc w:val="center"/>
                  <w:rPr>
                    <w:i/>
                    <w:iCs/>
                    <w:szCs w:val="24"/>
                  </w:rPr>
                </w:pPr>
                <w:r>
                  <w:rPr>
                    <w:color w:val="000000"/>
                    <w:szCs w:val="24"/>
                    <w:bdr w:val="none" w:sz="0" w:space="0" w:color="auto" w:frame="1"/>
                  </w:rPr>
                  <w:t>skaičius</w:t>
                </w:r>
              </w:p>
            </w:tc>
            <w:tc>
              <w:tcPr>
                <w:tcW w:w="3543" w:type="dxa"/>
              </w:tcPr>
              <w:p w:rsidR="00203713" w:rsidRDefault="00652E26">
                <w:pPr>
                  <w:jc w:val="center"/>
                  <w:rPr>
                    <w:iCs/>
                    <w:szCs w:val="24"/>
                    <w:lang w:val="en-GB"/>
                  </w:rPr>
                </w:pPr>
                <w:r>
                  <w:rPr>
                    <w:iCs/>
                    <w:szCs w:val="24"/>
                    <w:lang w:val="en-GB"/>
                  </w:rPr>
                  <w:t>24</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shd w:val="clear" w:color="auto" w:fill="FFFFFF"/>
                  </w:rPr>
                </w:pPr>
                <w:r>
                  <w:rPr>
                    <w:iCs/>
                    <w:szCs w:val="24"/>
                  </w:rPr>
                  <w:t>Paramą gavusiose mokslinių tyrimų įstaigose dirbantys mokslininkai</w:t>
                </w:r>
              </w:p>
            </w:tc>
            <w:tc>
              <w:tcPr>
                <w:tcW w:w="3543" w:type="dxa"/>
                <w:tcBorders>
                  <w:top w:val="single" w:sz="4" w:space="0" w:color="auto"/>
                  <w:left w:val="single" w:sz="4" w:space="0" w:color="auto"/>
                  <w:bottom w:val="single" w:sz="4" w:space="0" w:color="auto"/>
                  <w:right w:val="single" w:sz="4" w:space="0" w:color="auto"/>
                </w:tcBorders>
              </w:tcPr>
              <w:p w:rsidR="00203713" w:rsidRDefault="00652E26">
                <w:pPr>
                  <w:jc w:val="center"/>
                  <w:rPr>
                    <w:bCs/>
                    <w:color w:val="000000"/>
                    <w:szCs w:val="24"/>
                    <w:shd w:val="clear" w:color="auto" w:fill="FFFFFF"/>
                  </w:rPr>
                </w:pPr>
                <w:r>
                  <w:rPr>
                    <w:bCs/>
                    <w:color w:val="000000"/>
                    <w:szCs w:val="24"/>
                    <w:shd w:val="clear" w:color="auto" w:fill="FFFFFF"/>
                  </w:rPr>
                  <w:t>P-12-001-01-02-01-17</w:t>
                </w:r>
              </w:p>
              <w:p w:rsidR="00203713" w:rsidRDefault="00203713">
                <w:pPr>
                  <w:jc w:val="center"/>
                  <w:rPr>
                    <w:bCs/>
                    <w:color w:val="000000"/>
                    <w:szCs w:val="24"/>
                    <w:shd w:val="clear" w:color="auto" w:fill="FFFFFF"/>
                  </w:rPr>
                </w:pPr>
              </w:p>
              <w:p w:rsidR="00203713" w:rsidRDefault="00652E26">
                <w:pPr>
                  <w:jc w:val="center"/>
                  <w:rPr>
                    <w:bCs/>
                    <w:color w:val="000000"/>
                    <w:szCs w:val="24"/>
                    <w:shd w:val="clear" w:color="auto" w:fill="FFFFFF"/>
                  </w:rPr>
                </w:pPr>
                <w:r>
                  <w:rPr>
                    <w:bCs/>
                    <w:color w:val="000000"/>
                    <w:szCs w:val="24"/>
                    <w:shd w:val="clear" w:color="auto" w:fill="FFFFFF"/>
                  </w:rPr>
                  <w:t>R.B.1.1008</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3543" w:type="dxa"/>
                <w:tcBorders>
                  <w:left w:val="single" w:sz="4" w:space="0" w:color="auto"/>
                </w:tcBorders>
              </w:tcPr>
              <w:p w:rsidR="00203713" w:rsidRDefault="00652E26">
                <w:pPr>
                  <w:jc w:val="center"/>
                  <w:rPr>
                    <w:iCs/>
                    <w:szCs w:val="24"/>
                    <w:lang w:val="en-GB"/>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t>Paramą gavusios įmonės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P-12-001-01-02-01-18</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t>Paramą gavusios įmonės, iš jų: mažos ir labai mažos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P-12-001-01-02-01-19</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R.B.1.2009.1</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lastRenderedPageBreak/>
                  <w:t>Paramą gavusios įmonės, iš jų: vidutinės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P-12-001-01-02-01-20</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R.B.1.2009.2</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bl>
        <w:p w:rsidR="00203713" w:rsidRDefault="00203713">
          <w:pPr>
            <w:ind w:firstLine="567"/>
            <w:jc w:val="both"/>
            <w:rPr>
              <w:iCs/>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0"/>
          </w:tblGrid>
          <w:tr w:rsidR="00203713">
            <w:tc>
              <w:tcPr>
                <w:tcW w:w="14170" w:type="dxa"/>
              </w:tcPr>
              <w:p w:rsidR="00203713" w:rsidRDefault="00652E26">
                <w:pPr>
                  <w:rPr>
                    <w:b/>
                    <w:szCs w:val="24"/>
                  </w:rPr>
                </w:pPr>
                <w:r>
                  <w:rPr>
                    <w:b/>
                    <w:szCs w:val="24"/>
                  </w:rPr>
                  <w:t>SPECIALIEJI FINANSAVIMO REIKALAVIMAI</w:t>
                </w:r>
              </w:p>
            </w:tc>
          </w:tr>
          <w:tr w:rsidR="00203713">
            <w:tc>
              <w:tcPr>
                <w:tcW w:w="14170" w:type="dxa"/>
              </w:tcPr>
              <w:p w:rsidR="00203713" w:rsidRDefault="00652E26">
                <w:pPr>
                  <w:rPr>
                    <w:b/>
                    <w:bCs/>
                    <w:szCs w:val="24"/>
                  </w:rPr>
                </w:pPr>
                <w:r>
                  <w:rPr>
                    <w:b/>
                    <w:bCs/>
                    <w:szCs w:val="24"/>
                  </w:rPr>
                  <w:t>1. Taikomi teisės aktai</w:t>
                </w:r>
              </w:p>
            </w:tc>
          </w:tr>
          <w:tr w:rsidR="00203713">
            <w:tc>
              <w:tcPr>
                <w:tcW w:w="14170" w:type="dxa"/>
              </w:tcPr>
              <w:p w:rsidR="00203713" w:rsidRDefault="00652E26">
                <w:pPr>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6 (toliau –Aprašas):</w:t>
                </w:r>
              </w:p>
              <w:p w:rsidR="00203713" w:rsidRDefault="00203713">
                <w:pPr>
                  <w:jc w:val="both"/>
                  <w:rPr>
                    <w:iCs/>
                    <w:szCs w:val="24"/>
                  </w:rPr>
                </w:pPr>
              </w:p>
              <w:p w:rsidR="00203713" w:rsidRDefault="00652E26">
                <w:pPr>
                  <w:jc w:val="both"/>
                  <w:rPr>
                    <w:iCs/>
                    <w:szCs w:val="24"/>
                  </w:rPr>
                </w:pPr>
                <w:r>
                  <w:rPr>
                    <w:iCs/>
                    <w:szCs w:val="24"/>
                  </w:rPr>
                  <w:t>1.1.1. Bendrieji teisės aktai:</w:t>
                </w:r>
              </w:p>
              <w:p w:rsidR="00203713" w:rsidRDefault="00652E26">
                <w:pPr>
                  <w:tabs>
                    <w:tab w:val="left" w:pos="601"/>
                  </w:tabs>
                  <w:ind w:left="29" w:hanging="15"/>
                  <w:jc w:val="both"/>
                  <w:rPr>
                    <w:iCs/>
                    <w:szCs w:val="24"/>
                  </w:rPr>
                </w:pPr>
                <w:r>
                  <w:rPr>
                    <w:iCs/>
                    <w:szCs w:val="24"/>
                  </w:rPr>
                  <w:t xml:space="preserve">1.1.1.1. 2021 m. vasario 12 d. Europos Parlamento ir Tarybos reglamentas </w:t>
                </w:r>
                <w:r>
                  <w:rPr>
                    <w:iCs/>
                    <w:color w:val="0563C1"/>
                    <w:szCs w:val="24"/>
                    <w:u w:val="single"/>
                  </w:rPr>
                  <w:t>(ES) 2021/241</w:t>
                </w:r>
                <w:r>
                  <w:rPr>
                    <w:iCs/>
                    <w:szCs w:val="24"/>
                  </w:rPr>
                  <w:t>, kuriuo nustatoma ekonomikos gaivinimo ir atsparumo didinimo priemonė;</w:t>
                </w:r>
              </w:p>
              <w:p w:rsidR="00203713" w:rsidRDefault="00652E26">
                <w:pPr>
                  <w:tabs>
                    <w:tab w:val="left" w:pos="601"/>
                  </w:tabs>
                  <w:ind w:left="29" w:hanging="15"/>
                  <w:jc w:val="both"/>
                  <w:rPr>
                    <w:iCs/>
                    <w:szCs w:val="24"/>
                  </w:rPr>
                </w:pPr>
                <w:r>
                  <w:rPr>
                    <w:iCs/>
                    <w:szCs w:val="24"/>
                  </w:rPr>
                  <w:t>1.1.1.2. Planas „Naujos kartos Lietuva“, priimtas 2021 m. liepos 28 d. Europos Sąjungos Tarybos įgyvendinimo sprendimu dėl Lietuvos ekonomikos gaivinimo ir atsparumo didinimo plano patvirtinimo;</w:t>
                </w:r>
              </w:p>
              <w:p w:rsidR="00203713" w:rsidRDefault="00652E26">
                <w:pPr>
                  <w:tabs>
                    <w:tab w:val="left" w:pos="601"/>
                  </w:tabs>
                  <w:jc w:val="both"/>
                  <w:rPr>
                    <w:iCs/>
                    <w:szCs w:val="24"/>
                  </w:rPr>
                </w:pPr>
                <w:r>
                  <w:rPr>
                    <w:iCs/>
                    <w:szCs w:val="24"/>
                  </w:rPr>
                  <w:t xml:space="preserve">1.1.1.3.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rsidR="00203713" w:rsidRDefault="00652E26">
                <w:pPr>
                  <w:tabs>
                    <w:tab w:val="left" w:pos="601"/>
                  </w:tabs>
                  <w:jc w:val="both"/>
                  <w:rPr>
                    <w:iCs/>
                    <w:szCs w:val="24"/>
                  </w:rPr>
                </w:pPr>
                <w:r>
                  <w:rPr>
                    <w:iCs/>
                    <w:szCs w:val="24"/>
                  </w:rPr>
                  <w:t>1.1.1.4.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203713" w:rsidRDefault="00203713">
                <w:pPr>
                  <w:tabs>
                    <w:tab w:val="left" w:pos="601"/>
                  </w:tabs>
                  <w:jc w:val="both"/>
                  <w:rPr>
                    <w:iCs/>
                    <w:szCs w:val="24"/>
                  </w:rPr>
                </w:pPr>
              </w:p>
              <w:p w:rsidR="00203713" w:rsidRDefault="00652E26">
                <w:pPr>
                  <w:tabs>
                    <w:tab w:val="left" w:pos="601"/>
                  </w:tabs>
                  <w:jc w:val="both"/>
                  <w:rPr>
                    <w:iCs/>
                    <w:szCs w:val="24"/>
                  </w:rPr>
                </w:pPr>
                <w:r>
                  <w:rPr>
                    <w:iCs/>
                    <w:szCs w:val="24"/>
                  </w:rPr>
                  <w:t>1.1.2. Specialieji teisės aktai:</w:t>
                </w:r>
              </w:p>
              <w:p w:rsidR="00203713" w:rsidRDefault="00652E26">
                <w:pPr>
                  <w:tabs>
                    <w:tab w:val="left" w:pos="601"/>
                  </w:tabs>
                  <w:jc w:val="both"/>
                  <w:rPr>
                    <w:iCs/>
                    <w:szCs w:val="24"/>
                  </w:rPr>
                </w:pPr>
                <w:r>
                  <w:rPr>
                    <w:iCs/>
                    <w:szCs w:val="24"/>
                  </w:rPr>
                  <w:t>1.1.2.1. Lietuvos Respublikos mokslo ir studijų įstatymas;</w:t>
                </w:r>
              </w:p>
              <w:p w:rsidR="00203713" w:rsidRDefault="00652E26">
                <w:pPr>
                  <w:tabs>
                    <w:tab w:val="left" w:pos="601"/>
                  </w:tabs>
                  <w:jc w:val="both"/>
                  <w:rPr>
                    <w:iCs/>
                    <w:szCs w:val="24"/>
                  </w:rPr>
                </w:pPr>
                <w:r>
                  <w:rPr>
                    <w:iCs/>
                    <w:szCs w:val="24"/>
                  </w:rPr>
                  <w:t>1.1.2.2. Lietuvos Respublikos smulkaus ir vidutinio verslo įstatymas;</w:t>
                </w:r>
              </w:p>
              <w:p w:rsidR="00203713" w:rsidRDefault="00652E26">
                <w:pPr>
                  <w:tabs>
                    <w:tab w:val="left" w:pos="601"/>
                  </w:tabs>
                  <w:jc w:val="both"/>
                  <w:rPr>
                    <w:iCs/>
                    <w:szCs w:val="24"/>
                  </w:rPr>
                </w:pPr>
                <w:r>
                  <w:rPr>
                    <w:iCs/>
                    <w:szCs w:val="24"/>
                  </w:rPr>
                  <w:t>1.1.2.3. Aštuonioliktosios Lietuvos Respublikos Vyriausybės programa, patvirtinta Lietuvos Respublikos Seimo 2020 m. gruodžio 11 d. nutarimu Nr. XIV-72 „Dėl aštuonioliktosios Lietuvos Respublikos Vyriausybės programos“;</w:t>
                </w:r>
              </w:p>
              <w:p w:rsidR="00203713" w:rsidRDefault="00652E26">
                <w:pPr>
                  <w:tabs>
                    <w:tab w:val="left" w:pos="601"/>
                  </w:tabs>
                  <w:jc w:val="both"/>
                </w:pPr>
                <w:r>
                  <w:t xml:space="preserve">1.1.2.4. 2021 m. balandžio 28 d. Europos Parlamento ir Tarybos reglamentas </w:t>
                </w:r>
                <w:r>
                  <w:rPr>
                    <w:color w:val="0563C1"/>
                    <w:u w:val="single"/>
                  </w:rPr>
                  <w:t>(ES) 2021/695</w:t>
                </w:r>
                <w:r>
                  <w:t xml:space="preserve">, kuriuo sukuriama bendroji mokslinių tyrimų ir inovacijų programa „Europos horizontas“, nustatomos su ja susijusios dalyvavimo ir sklaidos taisyklės ir panaikinami reglamentai </w:t>
                </w:r>
                <w:r>
                  <w:rPr>
                    <w:color w:val="0563C1"/>
                    <w:u w:val="single"/>
                  </w:rPr>
                  <w:t>(ES) Nr. 1290/2013</w:t>
                </w:r>
                <w:r>
                  <w:t xml:space="preserve"> ir </w:t>
                </w:r>
                <w:r>
                  <w:rPr>
                    <w:color w:val="0563C1"/>
                    <w:u w:val="single"/>
                  </w:rPr>
                  <w:t>(ES) Nr. 1291/2013</w:t>
                </w:r>
                <w:r>
                  <w:t>;</w:t>
                </w:r>
              </w:p>
              <w:p w:rsidR="00203713" w:rsidRDefault="00652E26">
                <w:pPr>
                  <w:tabs>
                    <w:tab w:val="left" w:pos="601"/>
                  </w:tabs>
                  <w:ind w:left="29" w:hanging="29"/>
                  <w:jc w:val="both"/>
                  <w:rPr>
                    <w:iCs/>
                    <w:szCs w:val="24"/>
                  </w:rPr>
                </w:pPr>
                <w:r>
                  <w:rPr>
                    <w:iCs/>
                    <w:szCs w:val="24"/>
                  </w:rPr>
                  <w:lastRenderedPageBreak/>
                  <w:t xml:space="preserve">1.1.2.5. 2014 m. birželio 17 d. Europos Komisijos reglamentas </w:t>
                </w:r>
                <w:r>
                  <w:rPr>
                    <w:iCs/>
                    <w:color w:val="0563C1"/>
                    <w:szCs w:val="24"/>
                    <w:u w:val="single"/>
                  </w:rPr>
                  <w:t>(ES) Nr. 651/2014</w:t>
                </w:r>
                <w:r>
                  <w:rPr>
                    <w:iCs/>
                    <w:szCs w:val="24"/>
                  </w:rPr>
                  <w:t>, kuriuo tam tikrų kategorijų pagalba skelbiama suderinama su vidaus rinka taikant Sutarties 107 ir 108 straipsnius su visais pakeitimais (toliau – BBIR);</w:t>
                </w:r>
              </w:p>
              <w:p w:rsidR="00203713" w:rsidRDefault="00652E26">
                <w:pPr>
                  <w:tabs>
                    <w:tab w:val="left" w:pos="601"/>
                  </w:tabs>
                  <w:ind w:left="29" w:hanging="29"/>
                  <w:jc w:val="both"/>
                  <w:rPr>
                    <w:iCs/>
                    <w:szCs w:val="24"/>
                  </w:rPr>
                </w:pPr>
                <w:r>
                  <w:rPr>
                    <w:iCs/>
                    <w:szCs w:val="24"/>
                  </w:rPr>
                  <w:t>1.1.2.6. Europos Komisijos komunikatas „Valstybės pagalbos moksliniams tyrimams, plėtrai ir inovacijoms sistema“ (2022/C 414/01) (toliau – Komunikatas);</w:t>
                </w:r>
              </w:p>
              <w:p w:rsidR="00203713" w:rsidRDefault="00652E26">
                <w:pPr>
                  <w:tabs>
                    <w:tab w:val="left" w:pos="601"/>
                  </w:tabs>
                  <w:ind w:left="29" w:hanging="29"/>
                  <w:jc w:val="both"/>
                </w:pPr>
                <w:r>
                  <w:t>1.1.2.7.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rsidR="00203713" w:rsidRDefault="00203713">
                <w:pPr>
                  <w:tabs>
                    <w:tab w:val="left" w:pos="601"/>
                  </w:tabs>
                  <w:ind w:left="29" w:hanging="29"/>
                  <w:jc w:val="both"/>
                  <w:rPr>
                    <w:iCs/>
                    <w:szCs w:val="24"/>
                  </w:rPr>
                </w:pPr>
              </w:p>
              <w:p w:rsidR="00203713" w:rsidRDefault="00652E26">
                <w:pPr>
                  <w:tabs>
                    <w:tab w:val="left" w:pos="601"/>
                  </w:tabs>
                  <w:ind w:left="22"/>
                  <w:jc w:val="both"/>
                  <w:rPr>
                    <w:iCs/>
                    <w:szCs w:val="24"/>
                  </w:rPr>
                </w:pPr>
                <w:r>
                  <w:rPr>
                    <w:iCs/>
                    <w:szCs w:val="24"/>
                  </w:rPr>
                  <w:t>1.2. Apraše vartojamos sąvokos suprantamos taip, kaip jos apibrėžtos Projektų administravimo ir finansavimo taisyklėse, Lietuvos Respublikos mokslo ir studijų įstatyme ir kituose anksčiau paminėtuose teisės aktuose.</w:t>
                </w:r>
              </w:p>
              <w:p w:rsidR="00203713" w:rsidRDefault="00203713">
                <w:pPr>
                  <w:jc w:val="both"/>
                  <w:rPr>
                    <w:iCs/>
                    <w:szCs w:val="24"/>
                  </w:rPr>
                </w:pPr>
              </w:p>
            </w:tc>
          </w:tr>
          <w:tr w:rsidR="00203713">
            <w:tc>
              <w:tcPr>
                <w:tcW w:w="14170" w:type="dxa"/>
              </w:tcPr>
              <w:p w:rsidR="00203713" w:rsidRDefault="00652E26">
                <w:pPr>
                  <w:rPr>
                    <w:b/>
                    <w:szCs w:val="24"/>
                  </w:rPr>
                </w:pPr>
                <w:r>
                  <w:rPr>
                    <w:b/>
                    <w:szCs w:val="24"/>
                  </w:rPr>
                  <w:lastRenderedPageBreak/>
                  <w:t>2. Reikalavimai projektams</w:t>
                </w:r>
              </w:p>
            </w:tc>
          </w:tr>
          <w:tr w:rsidR="00203713">
            <w:tc>
              <w:tcPr>
                <w:tcW w:w="14170" w:type="dxa"/>
              </w:tcPr>
              <w:p w:rsidR="00203713" w:rsidRDefault="00652E26">
                <w:pPr>
                  <w:jc w:val="both"/>
                </w:pPr>
                <w:r>
                  <w:t>2.1. Galimi pareiškėjai (toliau – Pareiškėjai):</w:t>
                </w:r>
              </w:p>
              <w:p w:rsidR="00203713" w:rsidRDefault="00652E26">
                <w:pPr>
                  <w:jc w:val="both"/>
                </w:pPr>
                <w:r>
                  <w:t>2.1.1. mokslo ir studijų institucijos, įtrauktos į Atviros informavimo konsultavimo orientavimo sistemos registrą (toliau – MSI) – veiklai, numatytai Aprašo 2.6.2 papunktyje;</w:t>
                </w:r>
              </w:p>
              <w:p w:rsidR="00203713" w:rsidRDefault="00652E26">
                <w:pPr>
                  <w:jc w:val="both"/>
                </w:pPr>
                <w:r>
                  <w:t>2.1.2. labai mažos, mažos ir vidutinės įmonės (toliau – MVĮ) – veikloms, numatytoms Aprašo 2.6.1 ir 2.6.2 papunkčiuose.</w:t>
                </w:r>
              </w:p>
              <w:p w:rsidR="00203713" w:rsidRDefault="00652E26">
                <w:pPr>
                  <w:jc w:val="both"/>
                </w:pPr>
                <w:r>
                  <w:t xml:space="preserve">2.2. </w:t>
                </w:r>
                <w:r>
                  <w:rPr>
                    <w:shd w:val="clear" w:color="auto" w:fill="FFFFFF"/>
                  </w:rPr>
                  <w:t>Tikslinė grupė – MSI, MVĮ.</w:t>
                </w:r>
              </w:p>
              <w:p w:rsidR="00203713" w:rsidRDefault="00652E26">
                <w:pPr>
                  <w:jc w:val="both"/>
                  <w:rPr>
                    <w:iCs/>
                    <w:szCs w:val="24"/>
                  </w:rPr>
                </w:pPr>
                <w:r>
                  <w:rPr>
                    <w:iCs/>
                    <w:szCs w:val="24"/>
                  </w:rPr>
                  <w:t>2.3. Galimybė Pareiškėjui teikti PĮP su partneriu nenumatoma.</w:t>
                </w:r>
              </w:p>
              <w:p w:rsidR="00203713" w:rsidRDefault="00652E26">
                <w:pPr>
                  <w:jc w:val="both"/>
                  <w:rPr>
                    <w:iCs/>
                    <w:szCs w:val="24"/>
                  </w:rPr>
                </w:pPr>
                <w:r>
                  <w:rPr>
                    <w:iCs/>
                    <w:szCs w:val="24"/>
                  </w:rPr>
                  <w:t>2.4. Pagal Aprašą, teikiamo finansavimo forma – dotacija. Projektai atrenkami tęstinės atrankos būdu.</w:t>
                </w:r>
              </w:p>
              <w:p w:rsidR="00203713" w:rsidRDefault="00652E26">
                <w:pPr>
                  <w:jc w:val="both"/>
                  <w:rPr>
                    <w:iCs/>
                    <w:szCs w:val="24"/>
                  </w:rPr>
                </w:pPr>
                <w:r>
                  <w:rPr>
                    <w:iCs/>
                    <w:szCs w:val="24"/>
                  </w:rPr>
                  <w:t>2.5. Pagal Aprašą, projektams įgyvendinti numatoma skirti iki 19 500 000 Eur (devyniolikos milijonų penkių šimtų tūkstančių eurų) EGADP lėšų ir ne daugiau kaip 4 095 000 Eur (keturis milijonus devyniasdešimt penkis tūkstančius eurų) Lietuvos Respublikos valstybės biudžeto lėšų pridėtinės vertės mokesčiui (toliau – PVM) kompensuoti:</w:t>
                </w:r>
              </w:p>
              <w:p w:rsidR="00203713" w:rsidRDefault="00652E26">
                <w:pPr>
                  <w:jc w:val="both"/>
                  <w:rPr>
                    <w:iCs/>
                    <w:szCs w:val="24"/>
                  </w:rPr>
                </w:pPr>
                <w:r>
                  <w:rPr>
                    <w:iCs/>
                    <w:szCs w:val="24"/>
                  </w:rPr>
                  <w:t>2.5.1. Aprašo 2.6.1 papunktyje nurodytos veiklos projektams įgyvendinti numatoma skirti iki 10 000 000 Eur (dešimties milijonų eurų) EGADP lėšų;</w:t>
                </w:r>
              </w:p>
              <w:p w:rsidR="00203713" w:rsidRDefault="00652E26">
                <w:pPr>
                  <w:jc w:val="both"/>
                  <w:rPr>
                    <w:iCs/>
                    <w:szCs w:val="24"/>
                  </w:rPr>
                </w:pPr>
                <w:r>
                  <w:rPr>
                    <w:iCs/>
                    <w:szCs w:val="24"/>
                  </w:rPr>
                  <w:t>2.5.2. Aprašo 2.6.2 papunktyje nurodytos veiklos projektams įgyvendinti numatoma skirti iki 9 500 000 Eur (devynių milijonų penkių šimtų tūkstančių eurų) EGADP lėšų.</w:t>
                </w:r>
              </w:p>
              <w:p w:rsidR="00203713" w:rsidRDefault="00652E26">
                <w:pPr>
                  <w:jc w:val="both"/>
                  <w:rPr>
                    <w:iCs/>
                    <w:szCs w:val="24"/>
                  </w:rPr>
                </w:pPr>
                <w:r>
                  <w:rPr>
                    <w:iCs/>
                    <w:szCs w:val="24"/>
                  </w:rPr>
                  <w:t>2.6. Pagal Aprašą remiamos veiklos:</w:t>
                </w:r>
              </w:p>
              <w:p w:rsidR="00203713" w:rsidRDefault="00652E26">
                <w:pPr>
                  <w:jc w:val="both"/>
                  <w:rPr>
                    <w:color w:val="000000"/>
                  </w:rPr>
                </w:pPr>
                <w:r>
                  <w:t xml:space="preserve">2.6.1. ES bendrosios mokslinių tyrimų ir inovacijų programos „Europos horizontas“ (toliau – programa „Europos horizontas“) Europos inovacijų tarybos (angl. </w:t>
                </w:r>
                <w:r>
                  <w:rPr>
                    <w:i/>
                    <w:iCs/>
                  </w:rPr>
                  <w:t>European Innovation Council, EIC</w:t>
                </w:r>
                <w:r>
                  <w:t xml:space="preserve">) priemonės „Akceleratorius“ (angl. </w:t>
                </w:r>
                <w:r>
                  <w:rPr>
                    <w:i/>
                    <w:iCs/>
                  </w:rPr>
                  <w:t>EIC Accelerator</w:t>
                </w:r>
                <w:r>
                  <w:t>) projektų, pateiktų pagal finansavimo schemas</w:t>
                </w:r>
                <w:r>
                  <w:rPr>
                    <w:iCs/>
                    <w:szCs w:val="24"/>
                  </w:rPr>
                  <w:t>: Tik dotacija</w:t>
                </w:r>
                <w:r>
                  <w:t xml:space="preserve"> (angl. </w:t>
                </w:r>
                <w:r>
                  <w:rPr>
                    <w:i/>
                    <w:iCs/>
                  </w:rPr>
                  <w:t>Grant only</w:t>
                </w:r>
                <w:r>
                  <w:t>)</w:t>
                </w:r>
                <w:r>
                  <w:rPr>
                    <w:i/>
                    <w:iCs/>
                  </w:rPr>
                  <w:t xml:space="preserve">, </w:t>
                </w:r>
                <w:r>
                  <w:t>Dotacija, vėliau investicija</w:t>
                </w:r>
                <w:r>
                  <w:rPr>
                    <w:i/>
                    <w:iCs/>
                  </w:rPr>
                  <w:t xml:space="preserve"> </w:t>
                </w:r>
                <w:r>
                  <w:t>(angl.</w:t>
                </w:r>
                <w:r>
                  <w:rPr>
                    <w:i/>
                    <w:iCs/>
                  </w:rPr>
                  <w:t xml:space="preserve"> Grant first</w:t>
                </w:r>
                <w:r>
                  <w:t>)</w:t>
                </w:r>
                <w:r>
                  <w:rPr>
                    <w:i/>
                    <w:iCs/>
                  </w:rPr>
                  <w:t xml:space="preserve">, </w:t>
                </w:r>
                <w:r>
                  <w:t>Mišrus finansavimas (angl.</w:t>
                </w:r>
                <w:r>
                  <w:rPr>
                    <w:i/>
                    <w:iCs/>
                  </w:rPr>
                  <w:t xml:space="preserve"> Blended finance</w:t>
                </w:r>
                <w:r>
                  <w:t>),</w:t>
                </w:r>
                <w:r>
                  <w:rPr>
                    <w:iCs/>
                    <w:szCs w:val="24"/>
                  </w:rPr>
                  <w:t xml:space="preserve"> </w:t>
                </w:r>
                <w:r>
                  <w:t xml:space="preserve">dotacijos komponento (angl. </w:t>
                </w:r>
                <w:r>
                  <w:rPr>
                    <w:i/>
                    <w:iCs/>
                  </w:rPr>
                  <w:t>grant component</w:t>
                </w:r>
                <w:r>
                  <w:t xml:space="preserve">), kuriems neskirtas Europos Komisijos (toliau – EK) finansavimas, bet suteiktas EK Kokybės ženklas (angl. </w:t>
                </w:r>
                <w:r>
                  <w:rPr>
                    <w:i/>
                    <w:iCs/>
                  </w:rPr>
                  <w:t>Seal of Excellence</w:t>
                </w:r>
                <w:r>
                  <w:t>), veikla. EIC priemonė „Akceleratorius“ patvirtinta Europos inovacijų tarybos metinėse darbo programose, kurios skelbiamos EK finansavimo ir konkursų portale:</w:t>
                </w:r>
                <w:r>
                  <w:rPr>
                    <w:color w:val="000000"/>
                    <w:szCs w:val="24"/>
                  </w:rPr>
                  <w:t xml:space="preserve"> </w:t>
                </w:r>
                <w:r>
                  <w:t xml:space="preserve">EIC 2021 metų darbo programa </w:t>
                </w:r>
                <w:r>
                  <w:rPr>
                    <w:color w:val="0563C1"/>
                    <w:u w:val="single"/>
                  </w:rPr>
                  <w:t>https://ec.europa.eu/info/funding-tenders/opportunities/docs/2021-</w:t>
                </w:r>
                <w:r>
                  <w:rPr>
                    <w:color w:val="0563C1"/>
                    <w:u w:val="single"/>
                  </w:rPr>
                  <w:lastRenderedPageBreak/>
                  <w:t>2027/horizon/wp-call/2021/wp_horizon-eic-2021_en.pdf</w:t>
                </w:r>
                <w:r>
                  <w:t xml:space="preserve">; EIC 2022 metų darbo programa </w:t>
                </w:r>
                <w:r>
                  <w:rPr>
                    <w:color w:val="0563C1"/>
                    <w:u w:val="single"/>
                  </w:rPr>
                  <w:t>https://ec.europa.eu/info/funding-tenders/opportunities/docs/2021-2027/horizon/wp-call/2022/wp_horizon-eic-2022_en.pdf</w:t>
                </w:r>
                <w:r>
                  <w:t xml:space="preserve">; EIC 2023 metų darbo programa </w:t>
                </w:r>
                <w:r>
                  <w:rPr>
                    <w:color w:val="0563C1"/>
                    <w:u w:val="single"/>
                  </w:rPr>
                  <w:t>https://ec.europa.eu/info/funding-tenders/opportunities/docs/2021-2027/horizon/wp-call/2023/wp_horizon-eic-2023_en.pdf</w:t>
                </w:r>
                <w:r>
                  <w:t>.</w:t>
                </w:r>
              </w:p>
              <w:p w:rsidR="00203713" w:rsidRDefault="00652E26">
                <w:pPr>
                  <w:jc w:val="both"/>
                  <w:rPr>
                    <w:iCs/>
                    <w:szCs w:val="24"/>
                  </w:rPr>
                </w:pPr>
                <w:r>
                  <w:rPr>
                    <w:iCs/>
                    <w:szCs w:val="24"/>
                  </w:rPr>
                  <w:t xml:space="preserve">2.6.2. mokslininkų individualių podoktorantūros stažuočių Lietuvos institucijose (Europinė stažuotė, angl. </w:t>
                </w:r>
                <w:r>
                  <w:rPr>
                    <w:i/>
                    <w:szCs w:val="24"/>
                  </w:rPr>
                  <w:t>European fellowship</w:t>
                </w:r>
                <w:r>
                  <w:rPr>
                    <w:iCs/>
                    <w:szCs w:val="24"/>
                  </w:rPr>
                  <w:t xml:space="preserve">) ir trečiosiose šalyse (Pasaulinė stažuotė, angl. </w:t>
                </w:r>
                <w:r>
                  <w:rPr>
                    <w:i/>
                    <w:szCs w:val="24"/>
                  </w:rPr>
                  <w:t>Global fellowship</w:t>
                </w:r>
                <w:r>
                  <w:rPr>
                    <w:iCs/>
                    <w:szCs w:val="24"/>
                  </w:rPr>
                  <w:t>) projektai, negavę EK finansavimo pagal programos „Europos horizontas“ programos „</w:t>
                </w:r>
                <w:r>
                  <w:rPr>
                    <w:i/>
                    <w:szCs w:val="24"/>
                  </w:rPr>
                  <w:t>Marie Sk</w:t>
                </w:r>
                <w:r>
                  <w:rPr>
                    <w:i/>
                    <w:sz w:val="20"/>
                    <w:szCs w:val="24"/>
                  </w:rPr>
                  <w:t>ł</w:t>
                </w:r>
                <w:r>
                  <w:rPr>
                    <w:i/>
                    <w:szCs w:val="24"/>
                  </w:rPr>
                  <w:t>odowska-Curie</w:t>
                </w:r>
                <w:r>
                  <w:rPr>
                    <w:iCs/>
                    <w:szCs w:val="24"/>
                  </w:rPr>
                  <w:t xml:space="preserve"> veiksmai“ (toliau – MSC veiksmai) schemą:</w:t>
                </w:r>
              </w:p>
              <w:p w:rsidR="00203713" w:rsidRDefault="00652E26">
                <w:pPr>
                  <w:jc w:val="both"/>
                  <w:rPr>
                    <w:szCs w:val="24"/>
                  </w:rPr>
                </w:pPr>
                <w:r>
                  <w:rPr>
                    <w:szCs w:val="24"/>
                  </w:rPr>
                  <w:t xml:space="preserve">2.6.2.1. gavę EK Kokybės ženklą (angl. </w:t>
                </w:r>
                <w:r>
                  <w:rPr>
                    <w:i/>
                    <w:iCs/>
                    <w:szCs w:val="24"/>
                  </w:rPr>
                  <w:t>Seal of Excellence</w:t>
                </w:r>
                <w:r>
                  <w:rPr>
                    <w:szCs w:val="24"/>
                  </w:rPr>
                  <w:t>);</w:t>
                </w:r>
              </w:p>
              <w:p w:rsidR="00203713" w:rsidRDefault="00652E26">
                <w:pPr>
                  <w:jc w:val="both"/>
                  <w:rPr>
                    <w:szCs w:val="24"/>
                  </w:rPr>
                </w:pPr>
                <w:r>
                  <w:rPr>
                    <w:szCs w:val="24"/>
                  </w:rPr>
                  <w:t xml:space="preserve">2.6.2.2. negavę Kokybės ženklo, bet įvertinti ne mažesniu kaip programos „Europos horizontas“ MSC veiksmų darbo programoje nustatytu slenkstiniu balu – 70 proc. (MSC veiksmų darbo programos skelbiamos EK finansavimo ir konkursų portale: 2021–2022 m. darbo programa </w:t>
                </w:r>
                <w:r>
                  <w:rPr>
                    <w:color w:val="0563C1"/>
                    <w:szCs w:val="24"/>
                    <w:u w:val="single"/>
                  </w:rPr>
                  <w:t>https://ec.europa.eu/info/funding-tenders/opportunities/docs/2021-2027/horizon/wp-call/2021-2022/wp-2-msca-actions_horizon-2021-2022_en.pdf</w:t>
                </w:r>
                <w:r>
                  <w:rPr>
                    <w:szCs w:val="24"/>
                  </w:rPr>
                  <w:t xml:space="preserve">; 2023–2024 m. darbo programa </w:t>
                </w:r>
                <w:r>
                  <w:rPr>
                    <w:color w:val="0563C1"/>
                    <w:szCs w:val="24"/>
                    <w:u w:val="single"/>
                  </w:rPr>
                  <w:t>https://ec.europa.eu/info/funding-tenders/opportunities/docs/2021-2027/horizon/wp-call/2023-2024/wp-2-msca-actions_horizon-2023-2024_en.pdf)</w:t>
                </w:r>
                <w:r>
                  <w:rPr>
                    <w:szCs w:val="24"/>
                  </w:rPr>
                  <w:t>.</w:t>
                </w:r>
              </w:p>
              <w:p w:rsidR="00203713" w:rsidRDefault="00652E26">
                <w:pPr>
                  <w:jc w:val="both"/>
                </w:pPr>
                <w:r>
                  <w:t>2.7. Didžiausia vienam projektui galima skirti lėšų suma pagal veiklą, numatytą Aprašo 2.6.1 papunktyje, – iki 2 500 000 Eur (dviejų milijonų penkių šimtų tūkstančių eurų), kuri turi sudaryti ne daugiau kaip 70 proc. tinkamų finansuoti išlaidų sumos.</w:t>
                </w:r>
              </w:p>
              <w:p w:rsidR="00203713" w:rsidRDefault="00652E26">
                <w:pPr>
                  <w:jc w:val="both"/>
                  <w:rPr>
                    <w:iCs/>
                    <w:szCs w:val="24"/>
                  </w:rPr>
                </w:pPr>
                <w:r>
                  <w:rPr>
                    <w:iCs/>
                    <w:szCs w:val="24"/>
                  </w:rPr>
                  <w:t>2.8. Didžiausia galima projektui skirti finansavimo lėšų suma pagal veiklą, numatytą Aprašo 2.6.2 papunktyje:</w:t>
                </w:r>
              </w:p>
              <w:p w:rsidR="00203713" w:rsidRDefault="00652E26">
                <w:pPr>
                  <w:jc w:val="both"/>
                  <w:rPr>
                    <w:iCs/>
                    <w:szCs w:val="24"/>
                  </w:rPr>
                </w:pPr>
                <w:r>
                  <w:rPr>
                    <w:iCs/>
                    <w:szCs w:val="24"/>
                  </w:rPr>
                  <w:t>2.8.1. Europinėms stažuotėms – iki 200 000 Eur (dviejų šimtų tūkstančių eurų);</w:t>
                </w:r>
              </w:p>
              <w:p w:rsidR="00203713" w:rsidRDefault="00652E26">
                <w:pPr>
                  <w:jc w:val="both"/>
                  <w:rPr>
                    <w:iCs/>
                    <w:szCs w:val="24"/>
                  </w:rPr>
                </w:pPr>
                <w:r>
                  <w:rPr>
                    <w:iCs/>
                    <w:szCs w:val="24"/>
                  </w:rPr>
                  <w:t>2.8.2. Pasaulinėms stažuotėms – iki 300 000 Eur (trijų šimtų tūkstančių eurų).</w:t>
                </w:r>
              </w:p>
              <w:p w:rsidR="00203713" w:rsidRDefault="00652E26">
                <w:pPr>
                  <w:jc w:val="both"/>
                  <w:rPr>
                    <w:iCs/>
                    <w:szCs w:val="24"/>
                  </w:rPr>
                </w:pPr>
                <w:r>
                  <w:rPr>
                    <w:iCs/>
                    <w:szCs w:val="24"/>
                  </w:rPr>
                  <w:t>2.9. Didžiausia galima projektų finansuojamoji dalis veiklai, nurodytai Aprašo 2.6.2 papunktyje:</w:t>
                </w:r>
              </w:p>
              <w:p w:rsidR="00203713" w:rsidRDefault="00652E26">
                <w:pPr>
                  <w:jc w:val="both"/>
                  <w:rPr>
                    <w:iCs/>
                    <w:szCs w:val="24"/>
                  </w:rPr>
                </w:pPr>
                <w:r>
                  <w:rPr>
                    <w:iCs/>
                    <w:szCs w:val="24"/>
                  </w:rPr>
                  <w:t>2.9.1. sudaro iki 100 proc. visų tinkamų finansuoti projekto išlaidų, kai pareiškėjas yra MSI ir jos vykdoma veikla atitinka sąlygą, nurodytą Aprašo 5.1 papunktyje;</w:t>
                </w:r>
              </w:p>
              <w:p w:rsidR="00203713" w:rsidRDefault="00652E26">
                <w:pPr>
                  <w:jc w:val="both"/>
                  <w:rPr>
                    <w:iCs/>
                    <w:szCs w:val="24"/>
                  </w:rPr>
                </w:pPr>
                <w:r>
                  <w:rPr>
                    <w:iCs/>
                    <w:szCs w:val="24"/>
                  </w:rPr>
                  <w:t>2.9.2. nustatoma atskirai kiekvienam Pareiškėjui</w:t>
                </w:r>
                <w:r>
                  <w:t>, vadovaujantis Aprašo 5 skyriaus nuostatomis,</w:t>
                </w:r>
                <w:r>
                  <w:rPr>
                    <w:iCs/>
                    <w:szCs w:val="24"/>
                  </w:rPr>
                  <w:t xml:space="preserve"> kai pareiškėjas yra MSI, kurios vykdoma veikla neatitinka Aprašo 5.1 papunktyje nurodytos sąlygos, arba MVĮ</w:t>
                </w:r>
                <w:r>
                  <w:t>.</w:t>
                </w:r>
              </w:p>
              <w:p w:rsidR="00203713" w:rsidRDefault="00652E26">
                <w:pPr>
                  <w:jc w:val="both"/>
                  <w:rPr>
                    <w:iCs/>
                    <w:szCs w:val="24"/>
                  </w:rPr>
                </w:pPr>
                <w:r>
                  <w:rPr>
                    <w:iCs/>
                    <w:szCs w:val="24"/>
                  </w:rPr>
                  <w:t>2.10. Projektas turi atitikti projekto bendruosius atrankos kriterijus, nustatytus Projektų administravimo ir finansavimo taisyklių 2 priede.</w:t>
                </w:r>
              </w:p>
              <w:p w:rsidR="00203713" w:rsidRDefault="00652E26">
                <w:pPr>
                  <w:jc w:val="both"/>
                  <w:rPr>
                    <w:iCs/>
                    <w:szCs w:val="24"/>
                  </w:rPr>
                </w:pPr>
                <w:r>
                  <w:rPr>
                    <w:iCs/>
                    <w:szCs w:val="24"/>
                  </w:rPr>
                  <w:t>2.11. Projektai turi būti pradėti įgyvendinti ne vėliau kaip per 3 mėnesius nuo sutarties pasirašymo dienos.</w:t>
                </w:r>
              </w:p>
              <w:p w:rsidR="00203713" w:rsidRDefault="00652E26">
                <w:pPr>
                  <w:jc w:val="both"/>
                  <w:rPr>
                    <w:iCs/>
                    <w:szCs w:val="24"/>
                  </w:rPr>
                </w:pPr>
                <w:r>
                  <w:rPr>
                    <w:iCs/>
                    <w:szCs w:val="24"/>
                  </w:rPr>
                  <w:t>2.12. Projektai turi būti baigti įgyvendinti ne vėliau kaip iki 2026 m. balandžio 30 dienos.</w:t>
                </w:r>
              </w:p>
              <w:p w:rsidR="00203713" w:rsidRDefault="00652E26">
                <w:pPr>
                  <w:jc w:val="both"/>
                  <w:rPr>
                    <w:szCs w:val="24"/>
                    <w:lang w:eastAsia="en-GB"/>
                  </w:rPr>
                </w:pPr>
                <w:r>
                  <w:rPr>
                    <w:iCs/>
                    <w:szCs w:val="24"/>
                  </w:rPr>
                  <w:t xml:space="preserve">2.13. Projektams, </w:t>
                </w:r>
                <w:r>
                  <w:rPr>
                    <w:szCs w:val="24"/>
                    <w:lang w:eastAsia="en-GB"/>
                  </w:rPr>
                  <w:t xml:space="preserve">finansuojamiems pagal Aprašo 2.6.2 papunktyje nurodytą veiklą, taikomas parengtumo reikalavimas – Pareiškėjas turi būti pateikęs projekto paraišką pagal MSC veiksmų schemas; šis MSC veiksmų projektas EK įgyvendinančių institucijų organizuojamo ekspertinio vertinimo metu turi būti pripažintas tinkamu finansuoti, t. y. surinkęs ne mažesnį kaip </w:t>
                </w:r>
                <w:r>
                  <w:rPr>
                    <w:iCs/>
                    <w:szCs w:val="24"/>
                    <w:lang w:eastAsia="en-GB"/>
                  </w:rPr>
                  <w:t xml:space="preserve">programos „Europos horizontas“ </w:t>
                </w:r>
                <w:r>
                  <w:rPr>
                    <w:szCs w:val="24"/>
                  </w:rPr>
                  <w:t xml:space="preserve">MSC veiksmų </w:t>
                </w:r>
                <w:r>
                  <w:rPr>
                    <w:iCs/>
                    <w:szCs w:val="24"/>
                    <w:lang w:eastAsia="en-GB"/>
                  </w:rPr>
                  <w:t>darbo programoje nustatytą slenkstinį balą (70 proc.)</w:t>
                </w:r>
                <w:r>
                  <w:rPr>
                    <w:szCs w:val="24"/>
                    <w:lang w:eastAsia="en-GB"/>
                  </w:rPr>
                  <w:t>, įskaitant EK Kokybės ženklą gavusius projektus.</w:t>
                </w:r>
              </w:p>
              <w:p w:rsidR="00203713" w:rsidRDefault="00652E26">
                <w:pPr>
                  <w:jc w:val="both"/>
                </w:pPr>
                <w:r>
                  <w:t>2.1</w:t>
                </w:r>
                <w:r>
                  <w:rPr>
                    <w:lang w:val="fr-FR"/>
                  </w:rPr>
                  <w:t>4</w:t>
                </w:r>
                <w:r>
                  <w:t>. Kartu su PĮP turi būti pateikta:</w:t>
                </w:r>
              </w:p>
              <w:p w:rsidR="00203713" w:rsidRDefault="00652E26">
                <w:pPr>
                  <w:jc w:val="both"/>
                </w:pPr>
                <w:r>
                  <w:t>2.14.1. Programos „Europos horizontas“ paraiškos kopija (2.6.1 veiklos atveju – ilgoji paraiška su priedais);</w:t>
                </w:r>
              </w:p>
              <w:p w:rsidR="00203713" w:rsidRDefault="00652E26">
                <w:pPr>
                  <w:jc w:val="both"/>
                </w:pPr>
                <w:r>
                  <w:t xml:space="preserve">2.14.2. Kokybės ženklo (angl. </w:t>
                </w:r>
                <w:r>
                  <w:rPr>
                    <w:i/>
                    <w:iCs/>
                  </w:rPr>
                  <w:t>Seal of Excellence</w:t>
                </w:r>
                <w:r>
                  <w:t>) sertifikato kopija (taikoma, jei numatoma vykdyti Aprašo 2.6.1 ir 2.6.2.1 papunkčiuose nurodytą veiklą);</w:t>
                </w:r>
              </w:p>
              <w:p w:rsidR="00203713" w:rsidRDefault="00652E26">
                <w:pPr>
                  <w:jc w:val="both"/>
                </w:pPr>
                <w:r>
                  <w:lastRenderedPageBreak/>
                  <w:t>2.14.3. paraiškos, pateiktos pagal programos „Europos horizontas“ MSC veiksmų schemą, įvertinimo suvestinės ataskaitos kopija (taikoma, jei numatoma vykdyti Aprašo 2.6.2.2 papunktyje nurodytą veiklą);</w:t>
                </w:r>
              </w:p>
              <w:p w:rsidR="00203713" w:rsidRDefault="00652E26">
                <w:pPr>
                  <w:jc w:val="both"/>
                </w:pPr>
                <w:r>
                  <w:t>2.14.4. pareiškėjo Smulkiojo ar vidutinio verslo subjekto statuso deklaracija, kurios forma patvirtinta Lietuvos Respublikos ūkio ministro 2008 m. kovo 26 d. įsakymu Nr. 4-119 „Dėl Smulkiojo ar vidutinio verslo subjekto statuso deklaravimo tvarkos aprašo ir Smulkiojo ar vidutinio verslo subjekto statuso deklaracijos formos patvirtinimo“ (taikoma MVĮ);</w:t>
                </w:r>
              </w:p>
              <w:p w:rsidR="00203713" w:rsidRDefault="00652E26">
                <w:pPr>
                  <w:ind w:firstLine="22"/>
                  <w:jc w:val="both"/>
                  <w:rPr>
                    <w:szCs w:val="24"/>
                    <w:lang w:eastAsia="lt-LT"/>
                  </w:rPr>
                </w:pPr>
                <w:r>
                  <w:t xml:space="preserve">2.14.5. duomenys apie </w:t>
                </w:r>
                <w:r>
                  <w:rPr>
                    <w:szCs w:val="24"/>
                    <w:lang w:eastAsia="lt-LT"/>
                  </w:rPr>
                  <w:t xml:space="preserve">preliminarius </w:t>
                </w:r>
                <w:r>
                  <w:rPr>
                    <w:bCs/>
                    <w:szCs w:val="24"/>
                    <w:lang w:eastAsia="lt-LT"/>
                  </w:rPr>
                  <w:t>finansavimo šaltinius</w:t>
                </w:r>
                <w:r>
                  <w:rPr>
                    <w:szCs w:val="24"/>
                    <w:lang w:eastAsia="lt-LT"/>
                  </w:rPr>
                  <w:t xml:space="preserve"> (pareiškėjo įnašą ir netinkamų išlaidų padengimą), kai pareiškėjas yra MVĮ;</w:t>
                </w:r>
              </w:p>
              <w:p w:rsidR="00203713" w:rsidRDefault="00652E26">
                <w:pPr>
                  <w:jc w:val="both"/>
                </w:pPr>
                <w:r>
                  <w:rPr>
                    <w:lang w:eastAsia="lt-LT"/>
                  </w:rPr>
                  <w:t>2.14.6.</w:t>
                </w:r>
                <w:r>
                  <w:rPr>
                    <w:rFonts w:eastAsia="Calibri"/>
                  </w:rPr>
                  <w:t xml:space="preserve"> </w:t>
                </w:r>
                <w:r>
                  <w:rPr>
                    <w:rFonts w:eastAsia="Calibri"/>
                    <w:bCs/>
                  </w:rPr>
                  <w:t>paskutinių trejų finansinių metų patvirtintų metinių finansinių ataskaitų rinkiniai</w:t>
                </w:r>
                <w:r>
                  <w:rPr>
                    <w:rFonts w:eastAsia="Calibri"/>
                  </w:rPr>
                  <w:t xml:space="preserve"> (netaikoma Lietuvos Respublikos juridiniams asmenims, </w:t>
                </w:r>
                <w:r>
                  <w:rPr>
                    <w:lang w:eastAsia="lt-LT"/>
                  </w:rPr>
                  <w:t>kurie yra pateikę metinių finansinių ataskaitų rinkinius Juridinių asmenų registrui, kai pareiškėjas yra MVĮ)</w:t>
                </w:r>
                <w:r>
                  <w:t>.</w:t>
                </w:r>
              </w:p>
              <w:p w:rsidR="00203713" w:rsidRDefault="00652E26">
                <w:pPr>
                  <w:jc w:val="both"/>
                </w:pPr>
                <w:r>
                  <w:t>2.15. Projekto įgyvendinimo metu turi būti įgyvendintos privalomos projektų matomumo ir informavimo apie projektus priemonės pagal Projektų administravimo ir finansavimo taisyklių 341.1</w:t>
                </w:r>
                <w:r>
                  <w:rPr>
                    <w:iCs/>
                    <w:szCs w:val="24"/>
                  </w:rPr>
                  <w:t>–341.4 papunkčiu</w:t>
                </w:r>
                <w:r>
                  <w:t>ose</w:t>
                </w:r>
                <w:r>
                  <w:rPr>
                    <w:iCs/>
                    <w:szCs w:val="24"/>
                  </w:rPr>
                  <w:t xml:space="preserve"> nustatytus reikalavimus</w:t>
                </w:r>
                <w:r>
                  <w:t>.</w:t>
                </w:r>
              </w:p>
              <w:p w:rsidR="00203713" w:rsidRDefault="00203713">
                <w:pPr>
                  <w:jc w:val="both"/>
                  <w:rPr>
                    <w:iCs/>
                    <w:szCs w:val="24"/>
                  </w:rPr>
                </w:pPr>
              </w:p>
            </w:tc>
          </w:tr>
          <w:tr w:rsidR="00203713">
            <w:tc>
              <w:tcPr>
                <w:tcW w:w="14170" w:type="dxa"/>
              </w:tcPr>
              <w:p w:rsidR="00203713" w:rsidRDefault="00652E26">
                <w:pPr>
                  <w:jc w:val="both"/>
                  <w:rPr>
                    <w:iCs/>
                    <w:szCs w:val="24"/>
                  </w:rPr>
                </w:pPr>
                <w:r>
                  <w:rPr>
                    <w:b/>
                    <w:szCs w:val="24"/>
                  </w:rPr>
                  <w:lastRenderedPageBreak/>
                  <w:t>2.1. Reikalavimai jungtinio projekto projektams</w:t>
                </w:r>
              </w:p>
            </w:tc>
          </w:tr>
          <w:tr w:rsidR="00203713">
            <w:trPr>
              <w:trHeight w:val="361"/>
            </w:trPr>
            <w:tc>
              <w:tcPr>
                <w:tcW w:w="14170" w:type="dxa"/>
              </w:tcPr>
              <w:p w:rsidR="00203713" w:rsidRDefault="00652E26">
                <w:pPr>
                  <w:jc w:val="both"/>
                  <w:rPr>
                    <w:szCs w:val="24"/>
                  </w:rPr>
                </w:pPr>
                <w:r>
                  <w:rPr>
                    <w:szCs w:val="24"/>
                  </w:rPr>
                  <w:t>Netaikoma.</w:t>
                </w:r>
              </w:p>
              <w:p w:rsidR="00203713" w:rsidRDefault="00203713">
                <w:pPr>
                  <w:jc w:val="both"/>
                  <w:rPr>
                    <w:szCs w:val="24"/>
                  </w:rPr>
                </w:pPr>
              </w:p>
            </w:tc>
          </w:tr>
          <w:tr w:rsidR="00203713">
            <w:trPr>
              <w:trHeight w:val="285"/>
            </w:trPr>
            <w:tc>
              <w:tcPr>
                <w:tcW w:w="14170" w:type="dxa"/>
              </w:tcPr>
              <w:p w:rsidR="00203713" w:rsidRDefault="00652E26">
                <w:pPr>
                  <w:rPr>
                    <w:sz w:val="22"/>
                    <w:szCs w:val="22"/>
                  </w:rPr>
                </w:pPr>
                <w:r>
                  <w:rPr>
                    <w:b/>
                    <w:szCs w:val="24"/>
                  </w:rPr>
                  <w:t>3. Horizontaliųjų principų (toliau – HP) reikalavimai</w:t>
                </w:r>
              </w:p>
            </w:tc>
          </w:tr>
          <w:tr w:rsidR="00203713">
            <w:tc>
              <w:tcPr>
                <w:tcW w:w="14170" w:type="dxa"/>
              </w:tcPr>
              <w:p w:rsidR="00203713" w:rsidRDefault="00652E26">
                <w:pPr>
                  <w:tabs>
                    <w:tab w:val="left" w:pos="675"/>
                  </w:tabs>
                  <w:ind w:left="22" w:hanging="22"/>
                  <w:jc w:val="both"/>
                  <w:rPr>
                    <w:szCs w:val="24"/>
                  </w:rPr>
                </w:pPr>
                <w:r>
                  <w:rPr>
                    <w:szCs w:val="24"/>
                  </w:rPr>
                  <w:t>3.1.</w:t>
                </w:r>
                <w:r>
                  <w:rPr>
                    <w:szCs w:val="24"/>
                  </w:rPr>
                  <w:tab/>
                  <w:t xml:space="preserve">Projektuose negali būti numatyta: </w:t>
                </w:r>
              </w:p>
              <w:p w:rsidR="00203713" w:rsidRDefault="00652E26">
                <w:pPr>
                  <w:tabs>
                    <w:tab w:val="left" w:pos="720"/>
                  </w:tabs>
                  <w:ind w:left="22" w:hanging="22"/>
                  <w:jc w:val="both"/>
                  <w:rPr>
                    <w:szCs w:val="24"/>
                  </w:rPr>
                </w:pPr>
                <w:r>
                  <w:rPr>
                    <w:szCs w:val="24"/>
                  </w:rPr>
                  <w:t>3.1.1.</w:t>
                </w:r>
                <w:r>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rsidR="00203713" w:rsidRDefault="00652E26">
                <w:pPr>
                  <w:tabs>
                    <w:tab w:val="left" w:pos="705"/>
                  </w:tabs>
                  <w:ind w:left="22" w:hanging="22"/>
                  <w:jc w:val="both"/>
                  <w:rPr>
                    <w:szCs w:val="24"/>
                  </w:rPr>
                </w:pPr>
                <w:r>
                  <w:rPr>
                    <w:szCs w:val="24"/>
                  </w:rPr>
                  <w:t>3.1.2.</w:t>
                </w:r>
                <w:r>
                  <w:rPr>
                    <w:szCs w:val="24"/>
                  </w:rPr>
                  <w:tab/>
                  <w:t xml:space="preserve">veiksmų, kurie turėtų neigiamą poveikį darnaus vystymosi principui įgyvendinti. </w:t>
                </w:r>
              </w:p>
              <w:p w:rsidR="00203713" w:rsidRDefault="00652E26">
                <w:pPr>
                  <w:jc w:val="both"/>
                  <w:rPr>
                    <w:iCs/>
                    <w:szCs w:val="24"/>
                  </w:rPr>
                </w:pPr>
                <w:r>
                  <w:rPr>
                    <w:iCs/>
                    <w:szCs w:val="24"/>
                  </w:rPr>
                  <w:t xml:space="preserve">3.2.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Reikalavimai projektų atitikčiai šiam principui įvertinti pateikiami Aprašo 1 priede.</w:t>
                </w:r>
              </w:p>
              <w:p w:rsidR="00203713" w:rsidRDefault="00652E26">
                <w:pPr>
                  <w:jc w:val="both"/>
                </w:pPr>
                <w:r>
                  <w:rPr>
                    <w:iCs/>
                    <w:szCs w:val="24"/>
                  </w:rPr>
                  <w:t xml:space="preserve">3.3. </w:t>
                </w:r>
                <w:r>
                  <w:t xml:space="preserve">Atsižvelgiant į tai, kad pagal Aprašą </w:t>
                </w:r>
                <w:r>
                  <w:rPr>
                    <w:color w:val="000000"/>
                  </w:rPr>
                  <w:t xml:space="preserve">finansuojami </w:t>
                </w:r>
                <w:r>
                  <w:t>projektai, kurie yra gavę teigiamą EK įvertinimą, papildomi konkretūs reikalavimai dėl horizontaliųjų principų įgyvendinimo nėra nustatomi.</w:t>
                </w:r>
              </w:p>
              <w:p w:rsidR="00203713" w:rsidRDefault="00203713">
                <w:pPr>
                  <w:jc w:val="both"/>
                  <w:rPr>
                    <w:iCs/>
                    <w:szCs w:val="24"/>
                  </w:rPr>
                </w:pPr>
              </w:p>
            </w:tc>
          </w:tr>
          <w:tr w:rsidR="00203713">
            <w:tc>
              <w:tcPr>
                <w:tcW w:w="14170" w:type="dxa"/>
              </w:tcPr>
              <w:p w:rsidR="00203713" w:rsidRDefault="00652E26">
                <w:pPr>
                  <w:tabs>
                    <w:tab w:val="left" w:pos="675"/>
                  </w:tabs>
                  <w:ind w:left="22" w:hanging="22"/>
                  <w:jc w:val="both"/>
                  <w:rPr>
                    <w:szCs w:val="24"/>
                  </w:rPr>
                </w:pPr>
                <w:r>
                  <w:rPr>
                    <w:b/>
                    <w:iCs/>
                    <w:szCs w:val="24"/>
                  </w:rPr>
                  <w:t>3.1. Europos Sąjungos pagrindinių teisių chartijos (toliau – Chartija) reikalavimai</w:t>
                </w:r>
              </w:p>
            </w:tc>
          </w:tr>
          <w:tr w:rsidR="00203713">
            <w:tc>
              <w:tcPr>
                <w:tcW w:w="14170" w:type="dxa"/>
              </w:tcPr>
              <w:p w:rsidR="00203713" w:rsidRDefault="00652E26">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rsidR="00203713" w:rsidRDefault="00203713">
                <w:pPr>
                  <w:tabs>
                    <w:tab w:val="left" w:pos="675"/>
                  </w:tabs>
                  <w:ind w:left="22" w:hanging="22"/>
                  <w:jc w:val="both"/>
                  <w:rPr>
                    <w:szCs w:val="24"/>
                  </w:rPr>
                </w:pPr>
              </w:p>
            </w:tc>
          </w:tr>
          <w:tr w:rsidR="00203713">
            <w:tc>
              <w:tcPr>
                <w:tcW w:w="14170" w:type="dxa"/>
              </w:tcPr>
              <w:p w:rsidR="00203713" w:rsidRDefault="00652E26">
                <w:pPr>
                  <w:rPr>
                    <w:b/>
                    <w:szCs w:val="24"/>
                  </w:rPr>
                </w:pPr>
                <w:r>
                  <w:rPr>
                    <w:b/>
                    <w:szCs w:val="24"/>
                  </w:rPr>
                  <w:t>4. Apskritis, kurioje gali būti įgyvendinami projektai</w:t>
                </w:r>
              </w:p>
            </w:tc>
          </w:tr>
          <w:tr w:rsidR="00203713">
            <w:tc>
              <w:tcPr>
                <w:tcW w:w="14170" w:type="dxa"/>
              </w:tcPr>
              <w:p w:rsidR="00203713" w:rsidRDefault="00652E26">
                <w:pPr>
                  <w:jc w:val="both"/>
                  <w:rPr>
                    <w:szCs w:val="24"/>
                  </w:rPr>
                </w:pPr>
                <w:r>
                  <w:rPr>
                    <w:szCs w:val="24"/>
                  </w:rPr>
                  <w:lastRenderedPageBreak/>
                  <w:t>Netaikoma.</w:t>
                </w:r>
              </w:p>
              <w:p w:rsidR="00203713" w:rsidRDefault="00203713">
                <w:pPr>
                  <w:jc w:val="both"/>
                  <w:rPr>
                    <w:szCs w:val="24"/>
                  </w:rPr>
                </w:pPr>
              </w:p>
            </w:tc>
          </w:tr>
          <w:tr w:rsidR="00203713">
            <w:tc>
              <w:tcPr>
                <w:tcW w:w="14170" w:type="dxa"/>
              </w:tcPr>
              <w:p w:rsidR="00203713" w:rsidRDefault="00652E26">
                <w:pPr>
                  <w:jc w:val="both"/>
                  <w:rPr>
                    <w:b/>
                    <w:szCs w:val="24"/>
                  </w:rPr>
                </w:pPr>
                <w:r>
                  <w:rPr>
                    <w:b/>
                    <w:szCs w:val="24"/>
                  </w:rPr>
                  <w:t xml:space="preserve">5. Reikalavimai valstybės pagalbai </w:t>
                </w:r>
              </w:p>
            </w:tc>
          </w:tr>
          <w:tr w:rsidR="00203713">
            <w:tc>
              <w:tcPr>
                <w:tcW w:w="14170" w:type="dxa"/>
              </w:tcPr>
              <w:p w:rsidR="00203713" w:rsidRDefault="00652E26">
                <w:pPr>
                  <w:jc w:val="both"/>
                </w:pPr>
                <w:r>
                  <w:t>5.1. Pareiškėjas (MSI) pagal šį Aprašą nelaikomas valstybės pagalbos gavėju, jeigu jis projekte dalyvauja vykdydamas neekonominę veiklą, kaip tai apibrėžiama Komunikato 20 punkte.</w:t>
                </w:r>
              </w:p>
              <w:p w:rsidR="00203713" w:rsidRDefault="00652E26">
                <w:pPr>
                  <w:jc w:val="both"/>
                </w:pPr>
                <w:r>
                  <w:t>5.2. PĮP vertinimo metu nustačius, kad MSI vykdoma projekto veikla neatitinka sąlygų, nurodytų Aprašo 5.1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nuostatas ir:</w:t>
                </w:r>
              </w:p>
              <w:p w:rsidR="00203713" w:rsidRDefault="00652E26">
                <w:pPr>
                  <w:jc w:val="both"/>
                </w:pPr>
                <w:r>
                  <w:t>5.2.1. 25b straipsnį (kai vykdoma Aprašo 2.6.2.1 papunktyje nurodyta veikla);</w:t>
                </w:r>
              </w:p>
              <w:p w:rsidR="00203713" w:rsidRDefault="00652E26">
                <w:pPr>
                  <w:jc w:val="both"/>
                </w:pPr>
                <w:r>
                  <w:t>5.2.2. 25 straipsnį (kai vykdoma Aprašo 2.6.2.2 papunktyje nurodyta veikla).</w:t>
                </w:r>
              </w:p>
              <w:p w:rsidR="00203713" w:rsidRDefault="00652E26">
                <w:pPr>
                  <w:jc w:val="both"/>
                </w:pPr>
                <w:r>
                  <w:t>5.3. Kai projekto Pareiškėjas yra MVĮ ir vykdo veiklą, nurodytą:</w:t>
                </w:r>
              </w:p>
              <w:p w:rsidR="00203713" w:rsidRDefault="00652E26">
                <w:pPr>
                  <w:jc w:val="both"/>
                </w:pPr>
                <w:r>
                  <w:t>5.3.1. Aprašo 2.6.1 papunktyje, finansavimas yra teikiamas kaip valstybės pagalba, taikant BBIR I skyriaus nuostatas ir 25a straipsnį.</w:t>
                </w:r>
              </w:p>
              <w:p w:rsidR="00203713" w:rsidRDefault="00652E26">
                <w:pPr>
                  <w:jc w:val="both"/>
                </w:pPr>
                <w:r>
                  <w:t>5.3.2. Aprašo 2.6.2.1 papunktyje, finansavimas yra teikiamas kaip valstybės pagalba, taikant BBIR I skyriaus nuostatas ir 25b straipsnį.</w:t>
                </w:r>
              </w:p>
              <w:p w:rsidR="00203713" w:rsidRDefault="00652E26">
                <w:pPr>
                  <w:jc w:val="both"/>
                  <w:rPr>
                    <w:szCs w:val="24"/>
                  </w:rPr>
                </w:pPr>
                <w:r>
                  <w:rPr>
                    <w:szCs w:val="24"/>
                  </w:rPr>
                  <w:t>5.3.3. Aprašo 2.6.2.2 papunktyje, finansavimas teikiamas kaip valstybės pagalba pagal BBIR I skyriaus nuostatas ir BBIR 25 str.</w:t>
                </w:r>
              </w:p>
              <w:p w:rsidR="00203713" w:rsidRDefault="00652E26">
                <w:pPr>
                  <w:jc w:val="both"/>
                  <w:rPr>
                    <w:szCs w:val="24"/>
                  </w:rPr>
                </w:pPr>
                <w:r>
                  <w:rPr>
                    <w:szCs w:val="24"/>
                  </w:rPr>
                  <w:t>5.3. Vadovaujantis BBIR 25a straipsnio 5 dalimi ir atsižvelgiant į EIC priemonės „Akceleratorius“ taisykles, pagalbos intensyvumas turi neviršyti 70 procentų tinkamų finansuoti išlaidų.</w:t>
                </w:r>
              </w:p>
              <w:p w:rsidR="00203713" w:rsidRDefault="00652E26">
                <w:pPr>
                  <w:jc w:val="both"/>
                  <w:rPr>
                    <w:szCs w:val="24"/>
                  </w:rPr>
                </w:pPr>
                <w:r>
                  <w:rPr>
                    <w:szCs w:val="24"/>
                  </w:rPr>
                  <w:t>5.4. Vadovaujantis BBIR 25b straipsnio 4 dalimi ir atsižvelgiant į MSC veiksmų taisykles, pagalbos intensyvumas gali siekti iki 100 procentų tinkamų finansuoti išlaidų.</w:t>
                </w:r>
              </w:p>
              <w:p w:rsidR="00203713" w:rsidRDefault="00652E26">
                <w:pPr>
                  <w:jc w:val="both"/>
                  <w:rPr>
                    <w:szCs w:val="24"/>
                  </w:rPr>
                </w:pPr>
                <w:r>
                  <w:rPr>
                    <w:szCs w:val="24"/>
                  </w:rPr>
                  <w:t>5.5. Vadovaujantis BBIR 25 straipsnio 5 dalies a, b ir c punktais, pagalbos intensyvumas kiekvienam pagalbos gavėjui neturi viršyti:</w:t>
                </w:r>
              </w:p>
              <w:p w:rsidR="00203713" w:rsidRDefault="00652E26">
                <w:pPr>
                  <w:jc w:val="both"/>
                  <w:rPr>
                    <w:szCs w:val="24"/>
                  </w:rPr>
                </w:pPr>
                <w:r>
                  <w:rPr>
                    <w:szCs w:val="24"/>
                  </w:rPr>
                  <w:t>5.5.1 100 % tinkamų finansuoti išlaidų – fundamentiniams tyrimams;</w:t>
                </w:r>
              </w:p>
              <w:p w:rsidR="00203713" w:rsidRDefault="00652E26">
                <w:pPr>
                  <w:jc w:val="both"/>
                  <w:rPr>
                    <w:szCs w:val="24"/>
                  </w:rPr>
                </w:pPr>
                <w:r>
                  <w:rPr>
                    <w:szCs w:val="24"/>
                  </w:rPr>
                  <w:t>5.5.2. 50 % tinkamų finansuoti išlaidų – pramoniniams tyrimams;</w:t>
                </w:r>
              </w:p>
              <w:p w:rsidR="00203713" w:rsidRDefault="00652E26">
                <w:pPr>
                  <w:jc w:val="both"/>
                  <w:rPr>
                    <w:szCs w:val="24"/>
                  </w:rPr>
                </w:pPr>
                <w:r>
                  <w:rPr>
                    <w:szCs w:val="24"/>
                  </w:rPr>
                  <w:t>5.5.3. 25 % tinkamų finansuoti išlaidų – bandomajai taikomajai veiklai.</w:t>
                </w:r>
              </w:p>
              <w:p w:rsidR="00203713" w:rsidRDefault="00652E26">
                <w:pPr>
                  <w:jc w:val="both"/>
                  <w:rPr>
                    <w:szCs w:val="24"/>
                  </w:rPr>
                </w:pPr>
                <w:r>
                  <w:rPr>
                    <w:szCs w:val="24"/>
                  </w:rPr>
                  <w:t>5.6. Aprašo 5.5.2 ir 5.5.3 papunkčiuose nurodytas pagalbos intensyvumas gali būti padidintas iki 80 procentų, kai tenkinamos BBIR 25 straipsnio 6 dalies a ir b punktuose nurodytos sąlygos.</w:t>
                </w:r>
              </w:p>
              <w:p w:rsidR="00203713" w:rsidRDefault="00652E26">
                <w:pPr>
                  <w:jc w:val="both"/>
                  <w:rPr>
                    <w:szCs w:val="24"/>
                  </w:rPr>
                </w:pPr>
                <w:r>
                  <w:rPr>
                    <w:szCs w:val="24"/>
                  </w:rPr>
                  <w:t>5.</w:t>
                </w:r>
                <w:r>
                  <w:t>7</w:t>
                </w:r>
                <w:r>
                  <w:rPr>
                    <w:szCs w:val="24"/>
                  </w:rPr>
                  <w:t>. Administruojančioji institucija, vertindama projektų atitiktį valstybės pagalbos taisyklėms, pildo Projekto atitikties valstybės pagalbos taisyklėms patikros lapą (Aprašo 2 priedas).</w:t>
                </w:r>
              </w:p>
              <w:p w:rsidR="00203713" w:rsidRDefault="00652E26">
                <w:pPr>
                  <w:jc w:val="both"/>
                  <w:rPr>
                    <w:szCs w:val="24"/>
                  </w:rPr>
                </w:pPr>
                <w:r>
                  <w:rPr>
                    <w:szCs w:val="24"/>
                  </w:rPr>
                  <w:t>5.8. Nustačiusi, kad teikiamas finansavimas yra valstybės pagalba, Administruojančioji institucija pildo Projekto atitikties valstybės pagalbos taisyklėms patikros lapą (Aprašo 3 priedas).</w:t>
                </w:r>
              </w:p>
              <w:p w:rsidR="00203713" w:rsidRDefault="00652E26">
                <w:pPr>
                  <w:jc w:val="both"/>
                </w:pPr>
                <w:r>
                  <w:t>5.9. Valstybės pagalba neteikiama:</w:t>
                </w:r>
              </w:p>
              <w:p w:rsidR="00203713" w:rsidRDefault="00652E26">
                <w:pPr>
                  <w:jc w:val="both"/>
                </w:pPr>
                <w:r>
                  <w:t>5.9.1. sunkumus patiriančioms įmonėms, kaip apibrėžta BBIR 2 straipsnio 18 punkte;</w:t>
                </w:r>
              </w:p>
              <w:p w:rsidR="00203713" w:rsidRDefault="00652E26">
                <w:pPr>
                  <w:jc w:val="both"/>
                </w:pPr>
                <w:r>
                  <w:lastRenderedPageBreak/>
                  <w:t>5.9.2. ūkio subjektams, kuriems išduotas vykdomasis raštas sumoms išieškoti pagal ankstesnį Europos Komisijos sprendimą, kuriame pagalba skelbiama neteisėta ir nesuderinama su vidaus rinka. Nauja valstybės pagalba negali būti teikiama tol, kol nebus sugrąžinta neteisėta ir nesuderinama su vidaus rinka gauta valstybės pagalba;</w:t>
                </w:r>
              </w:p>
              <w:p w:rsidR="00203713" w:rsidRDefault="00652E26">
                <w:pPr>
                  <w:jc w:val="both"/>
                </w:pPr>
                <w:r>
                  <w:t>5.9.3. jei ji neturi skatinamojo poveikio, nustatyto BBIR 6 straipsnyje (taikoma, kai valstybės pagalba teikiama pagal BBIR 25 str.).</w:t>
                </w:r>
              </w:p>
              <w:p w:rsidR="00203713" w:rsidRDefault="00652E26">
                <w:pPr>
                  <w:jc w:val="both"/>
                </w:pPr>
                <w:r>
                  <w:t>5.10. Valstybės pagalba, kurios tinkamas finansuoti išlaidas galima nustatyti ir kuriai pagal BBIR taikoma išimtis, gali būti sumuojama su:</w:t>
                </w:r>
              </w:p>
              <w:p w:rsidR="00203713" w:rsidRDefault="00652E26">
                <w:pPr>
                  <w:jc w:val="both"/>
                </w:pPr>
                <w:r>
                  <w:t>5.10.1. bet kokia kita valstybės pagalba, jei tos veiklos yra susijusios su skirtingomis tinkamomis finansuoti išlaidomis, kurias galima nustatyti;</w:t>
                </w:r>
              </w:p>
              <w:p w:rsidR="00203713" w:rsidRDefault="00652E26">
                <w:pPr>
                  <w:jc w:val="both"/>
                </w:pPr>
                <w:r>
                  <w:t>5.10.2.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rsidR="00203713" w:rsidRDefault="00652E26">
                <w:pPr>
                  <w:jc w:val="both"/>
                </w:pPr>
                <w:r>
                  <w:t xml:space="preserve">5.11. Valstybės pagalba, kuriai pagal BBIR taikoma išimtis, nesumuojama su jokia </w:t>
                </w:r>
                <w:r>
                  <w:rPr>
                    <w:i/>
                    <w:iCs/>
                  </w:rPr>
                  <w:t>de minimis</w:t>
                </w:r>
                <w:r>
                  <w:t xml:space="preserve"> pagalba, susijusia su tomis pačiomis tinkamomis finansuoti išlaidomis, jei susumavus būtų viršytas pagalbos intensyvumas, kaip nustatyta BBIR 8 straipsnio 5 dalyje.</w:t>
                </w:r>
              </w:p>
              <w:p w:rsidR="00203713" w:rsidRDefault="00652E26">
                <w:pPr>
                  <w:jc w:val="both"/>
                </w:pPr>
                <w:r>
                  <w:t>5.12. Administruojančioji institucija PĮP vertinimo metu patikrina pareiškėjo teisę gauti valstybės pagalbą pagal BBIR, o Ministerijai priėmus sprendimą finansuoti projektą, per 20 (dvidešimt) darbo dienų registruoja suteiktos valstybės pagalbos sumą Suteiktos valstybės pagalbos ir nereikšmingos (</w:t>
                </w:r>
                <w:r>
                  <w:rPr>
                    <w:i/>
                  </w:rPr>
                  <w:t>de minimis</w:t>
                </w:r>
                <w:r>
                  <w:t>) pagalbos registre, kurio nuostatai patvirtinti Lietuvos Respublikos Vyriausybės 2005 m. sausio 19 d. nutarimu Nr. 35 „Dėl Suteiktos valstybės pagalbos ir nereikšmingos (</w:t>
                </w:r>
                <w:r>
                  <w:rPr>
                    <w:i/>
                  </w:rPr>
                  <w:t>de minimis</w:t>
                </w:r>
                <w:r>
                  <w:t>) pagalbos registro nuostatų patvirtinimo“.</w:t>
                </w:r>
              </w:p>
              <w:p w:rsidR="00203713" w:rsidRDefault="00652E26">
                <w:pPr>
                  <w:jc w:val="both"/>
                </w:pPr>
                <w:r>
                  <w:t>5.13.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rsidR="00203713" w:rsidRDefault="00652E26">
                <w:pPr>
                  <w:jc w:val="both"/>
                </w:pPr>
                <w:r>
                  <w:t>5.14. Finansavimas projektams, skiriamas kaip valstybės pagalba, teikiamas per BBIR taikymo laikotarpį arba jo taikymo laikotarpio pratęsimą. 5.15.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tc>
          </w:tr>
          <w:tr w:rsidR="00203713">
            <w:tc>
              <w:tcPr>
                <w:tcW w:w="14170" w:type="dxa"/>
              </w:tcPr>
              <w:p w:rsidR="00203713" w:rsidRDefault="00652E26">
                <w:pPr>
                  <w:ind w:left="426" w:hanging="426"/>
                  <w:jc w:val="both"/>
                  <w:rPr>
                    <w:i/>
                    <w:szCs w:val="24"/>
                  </w:rPr>
                </w:pPr>
                <w:r>
                  <w:rPr>
                    <w:b/>
                    <w:szCs w:val="24"/>
                  </w:rPr>
                  <w:lastRenderedPageBreak/>
                  <w:t>6. Projektų atrankos kriterijai</w:t>
                </w:r>
              </w:p>
            </w:tc>
          </w:tr>
          <w:tr w:rsidR="00203713">
            <w:trPr>
              <w:trHeight w:val="416"/>
            </w:trPr>
            <w:tc>
              <w:tcPr>
                <w:tcW w:w="14170" w:type="dxa"/>
              </w:tcPr>
              <w:p w:rsidR="00203713" w:rsidRDefault="00652E26">
                <w:pPr>
                  <w:jc w:val="both"/>
                  <w:rPr>
                    <w:iCs/>
                    <w:szCs w:val="24"/>
                  </w:rPr>
                </w:pPr>
                <w:r>
                  <w:rPr>
                    <w:iCs/>
                    <w:szCs w:val="24"/>
                  </w:rPr>
                  <w:t>Specialieji ir prioritetiniai projektų atrankos kriterijai nėra nustatomi.</w:t>
                </w:r>
              </w:p>
              <w:p w:rsidR="00203713" w:rsidRDefault="00203713">
                <w:pPr>
                  <w:jc w:val="both"/>
                  <w:rPr>
                    <w:iCs/>
                    <w:szCs w:val="24"/>
                  </w:rPr>
                </w:pPr>
              </w:p>
            </w:tc>
          </w:tr>
          <w:tr w:rsidR="00203713">
            <w:tc>
              <w:tcPr>
                <w:tcW w:w="14170" w:type="dxa"/>
              </w:tcPr>
              <w:p w:rsidR="00203713" w:rsidRDefault="00652E26">
                <w:pPr>
                  <w:rPr>
                    <w:b/>
                    <w:szCs w:val="24"/>
                  </w:rPr>
                </w:pPr>
                <w:r>
                  <w:rPr>
                    <w:b/>
                    <w:szCs w:val="24"/>
                  </w:rPr>
                  <w:t xml:space="preserve">7. Reikalavimai įgyvendinus projektų veiklas </w:t>
                </w:r>
              </w:p>
            </w:tc>
          </w:tr>
          <w:tr w:rsidR="00203713">
            <w:tc>
              <w:tcPr>
                <w:tcW w:w="14170" w:type="dxa"/>
              </w:tcPr>
              <w:p w:rsidR="00203713" w:rsidRDefault="00652E26">
                <w:pPr>
                  <w:rPr>
                    <w:szCs w:val="24"/>
                  </w:rPr>
                </w:pPr>
                <w:r>
                  <w:rPr>
                    <w:szCs w:val="24"/>
                  </w:rPr>
                  <w:t xml:space="preserve">Papildomi reikalavimai, nei numatyta </w:t>
                </w:r>
                <w:r>
                  <w:t>Projektų administravimo ir finansavimo taisyklėse</w:t>
                </w:r>
                <w:r>
                  <w:rPr>
                    <w:szCs w:val="24"/>
                  </w:rPr>
                  <w:t>, nenustatomi.</w:t>
                </w:r>
              </w:p>
              <w:p w:rsidR="00203713" w:rsidRDefault="00203713">
                <w:pPr>
                  <w:rPr>
                    <w:szCs w:val="24"/>
                  </w:rPr>
                </w:pPr>
              </w:p>
            </w:tc>
          </w:tr>
          <w:tr w:rsidR="00203713">
            <w:tc>
              <w:tcPr>
                <w:tcW w:w="14170" w:type="dxa"/>
              </w:tcPr>
              <w:p w:rsidR="00203713" w:rsidRDefault="00652E26">
                <w:pPr>
                  <w:rPr>
                    <w:szCs w:val="24"/>
                  </w:rPr>
                </w:pPr>
                <w:r>
                  <w:rPr>
                    <w:b/>
                    <w:szCs w:val="24"/>
                  </w:rPr>
                  <w:t>8. Kiti reikalavimai</w:t>
                </w:r>
              </w:p>
            </w:tc>
          </w:tr>
          <w:tr w:rsidR="00203713">
            <w:tc>
              <w:tcPr>
                <w:tcW w:w="14170" w:type="dxa"/>
              </w:tcPr>
              <w:p w:rsidR="00203713" w:rsidRDefault="00652E26">
                <w:pPr>
                  <w:tabs>
                    <w:tab w:val="left" w:pos="1134"/>
                  </w:tabs>
                  <w:jc w:val="both"/>
                  <w:rPr>
                    <w:szCs w:val="24"/>
                  </w:rPr>
                </w:pPr>
                <w:r>
                  <w:rPr>
                    <w:szCs w:val="24"/>
                  </w:rPr>
                  <w:t>Netaikoma.</w:t>
                </w:r>
              </w:p>
              <w:p w:rsidR="00203713" w:rsidRDefault="00203713">
                <w:pPr>
                  <w:tabs>
                    <w:tab w:val="left" w:pos="1134"/>
                  </w:tabs>
                  <w:jc w:val="both"/>
                  <w:rPr>
                    <w:iCs/>
                  </w:rPr>
                </w:pPr>
              </w:p>
            </w:tc>
          </w:tr>
          <w:tr w:rsidR="00203713">
            <w:tc>
              <w:tcPr>
                <w:tcW w:w="14170" w:type="dxa"/>
              </w:tcPr>
              <w:p w:rsidR="00203713" w:rsidRDefault="00652E26">
                <w:pPr>
                  <w:rPr>
                    <w:b/>
                    <w:bCs/>
                  </w:rPr>
                </w:pPr>
                <w:r>
                  <w:rPr>
                    <w:b/>
                    <w:bCs/>
                  </w:rPr>
                  <w:t>IŠLAIDŲ TINKAMUMO FINANSUOTI REIKALAVIMAI</w:t>
                </w:r>
              </w:p>
            </w:tc>
          </w:tr>
          <w:tr w:rsidR="00203713">
            <w:tc>
              <w:tcPr>
                <w:tcW w:w="14170" w:type="dxa"/>
              </w:tcPr>
              <w:p w:rsidR="00203713" w:rsidRDefault="00652E26">
                <w:pPr>
                  <w:jc w:val="both"/>
                  <w:rPr>
                    <w:b/>
                    <w:szCs w:val="24"/>
                  </w:rPr>
                </w:pPr>
                <w:r>
                  <w:rPr>
                    <w:b/>
                    <w:szCs w:val="24"/>
                  </w:rPr>
                  <w:t>9. Išlaidų tinkamumo finansuoti reikalavimai</w:t>
                </w:r>
              </w:p>
            </w:tc>
          </w:tr>
          <w:tr w:rsidR="00203713">
            <w:tc>
              <w:tcPr>
                <w:tcW w:w="14170" w:type="dxa"/>
              </w:tcPr>
              <w:p w:rsidR="00203713" w:rsidRDefault="00652E26">
                <w:pPr>
                  <w:jc w:val="both"/>
                  <w:rPr>
                    <w:iCs/>
                    <w:szCs w:val="24"/>
                  </w:rPr>
                </w:pPr>
                <w:r>
                  <w:rPr>
                    <w:iCs/>
                    <w:szCs w:val="24"/>
                  </w:rPr>
                  <w:lastRenderedPageBreak/>
                  <w:t>9.1. Atsižvelgiant į tai, kad pagal Aprašą finansuojami teigiamai EK įvertinti projektai, tinkamomis yra pripažįstamos išlaidos, kurios laikomos tinkamomis pagal programą „Europos horizontas“ ir buvo numatytos EK teiktoje paraiškoje, jeigu jos atitinka išlaidų tinkamumo finansuoti reikalavimus, nustatytus Projektų administravimo ir finansavimo taisyklėse, taip pat projekto viešinimo ir netiesioginės projekto išlaidos.</w:t>
                </w:r>
              </w:p>
              <w:p w:rsidR="00203713" w:rsidRDefault="00652E26">
                <w:pPr>
                  <w:jc w:val="both"/>
                  <w:rPr>
                    <w:iCs/>
                    <w:szCs w:val="24"/>
                  </w:rPr>
                </w:pPr>
                <w:r>
                  <w:rPr>
                    <w:iCs/>
                    <w:szCs w:val="24"/>
                  </w:rPr>
                  <w:t>9.2. Teikiant valstybės pagalbą pagal BBIR 25a straipsnį, tinkama finansuoti yra tokia remiamo mokslinių tyrimų ir technologinės plėtros projekto arba galimybių studijos veikla, kokia laikoma atitinkančia reikalavimus pagal programos „Europos horizontas“ taisykles, išskyrus veiklą, kuri viršija bandomosios taikomosios veiklos apibrėžties ribas.</w:t>
                </w:r>
              </w:p>
              <w:p w:rsidR="00203713" w:rsidRDefault="00652E26">
                <w:pPr>
                  <w:jc w:val="both"/>
                  <w:rPr>
                    <w:iCs/>
                    <w:szCs w:val="24"/>
                  </w:rPr>
                </w:pPr>
                <w:r>
                  <w:rPr>
                    <w:iCs/>
                    <w:szCs w:val="24"/>
                  </w:rPr>
                  <w:t>9.3. Teikiant valstybės pagalbą pagal BBIR 25b straipsnį, tinkama finansuoti yra tokia remiamo veiksmo veikla, kokia laikoma atitinkančia reikalavimus pagal programos „Europos horizontas“ taisykles.</w:t>
                </w:r>
              </w:p>
              <w:p w:rsidR="00203713" w:rsidRDefault="00652E26">
                <w:pPr>
                  <w:jc w:val="both"/>
                  <w:rPr>
                    <w:iCs/>
                    <w:szCs w:val="24"/>
                  </w:rPr>
                </w:pPr>
                <w:r>
                  <w:rPr>
                    <w:iCs/>
                    <w:szCs w:val="24"/>
                  </w:rPr>
                  <w:t>9.4. Teikiant valstybės pagalbą pagal BBIR 25 straipsnį, tinkamomis finansuoti yra mokslinių tyrimų ir technologinės plėtros išlaidos, nurodytos BBIR 25 straipsnio 3 dalies a, b, d ir e punktuose.</w:t>
                </w:r>
              </w:p>
              <w:p w:rsidR="00203713" w:rsidRDefault="00652E26">
                <w:pPr>
                  <w:jc w:val="both"/>
                </w:pPr>
                <w:r>
                  <w:rPr>
                    <w:iCs/>
                    <w:szCs w:val="24"/>
                  </w:rPr>
                  <w:t>9.5. PVM nėra tinkamas finansuoti EGADP lėšomis. PVM gali būti finansuojamas Lietuvos biudžeto lėšomis vadovaujantis Projektų administravimo ir finansavimo taisyklių VII skyriaus ketvirtajame skirsnyje nustatyta tvarka.</w:t>
                </w:r>
              </w:p>
              <w:p w:rsidR="00203713" w:rsidRDefault="00652E26">
                <w:pPr>
                  <w:tabs>
                    <w:tab w:val="left" w:pos="645"/>
                  </w:tabs>
                  <w:jc w:val="both"/>
                  <w:rPr>
                    <w:lang w:val="lt"/>
                  </w:rPr>
                </w:pPr>
                <w:r>
                  <w:rPr>
                    <w:lang w:val="lt"/>
                  </w:rPr>
                  <w:t>9.</w:t>
                </w:r>
                <w:r>
                  <w:t>6</w:t>
                </w:r>
                <w:r>
                  <w:rPr>
                    <w:lang w:val="lt"/>
                  </w:rPr>
                  <w:t>. PĮP parengimo išlaidos nėra finansuojamos.</w:t>
                </w:r>
              </w:p>
              <w:p w:rsidR="00203713" w:rsidRDefault="00652E26">
                <w:pPr>
                  <w:tabs>
                    <w:tab w:val="left" w:pos="645"/>
                  </w:tabs>
                  <w:jc w:val="both"/>
                </w:pPr>
                <w:r>
                  <w:t>9.7. Pareiškėjas savo iniciatyva ir savo ir (arba) kitų šaltinių lėšomis gali prisidėti prie projekto įgyvendinimo didesne, nei reikalaujama, lėšų suma.</w:t>
                </w:r>
              </w:p>
              <w:p w:rsidR="00203713" w:rsidRDefault="00652E26">
                <w:pPr>
                  <w:tabs>
                    <w:tab w:val="left" w:pos="645"/>
                  </w:tabs>
                  <w:ind w:left="22" w:hanging="22"/>
                  <w:jc w:val="both"/>
                </w:pPr>
                <w:r>
                  <w:rPr>
                    <w:szCs w:val="24"/>
                  </w:rPr>
                  <w:t xml:space="preserve">9.8. Projekto tinkamų finansuoti išlaidų dalis, kurios nepadengia projektui skiriamo finansavimo lėšos, turi būti finansuojama </w:t>
                </w:r>
                <w:r>
                  <w:t>iš projekto vykdytojo lėšų.</w:t>
                </w:r>
              </w:p>
              <w:p w:rsidR="00203713" w:rsidRDefault="00652E26">
                <w:pPr>
                  <w:jc w:val="both"/>
                  <w:rPr>
                    <w:sz w:val="22"/>
                    <w:szCs w:val="22"/>
                  </w:rPr>
                </w:pPr>
                <w:r>
                  <w:rPr>
                    <w:szCs w:val="24"/>
                    <w:lang w:val="lt"/>
                  </w:rPr>
                  <w:t xml:space="preserve">9.9. Projekto vykdytojui </w:t>
                </w:r>
                <w:r>
                  <w:rPr>
                    <w:lang w:val="lt"/>
                  </w:rPr>
                  <w:t>gali būti mokamas avansa</w:t>
                </w:r>
                <w:r>
                  <w:rPr>
                    <w:szCs w:val="24"/>
                    <w:lang w:val="lt"/>
                  </w:rPr>
                  <w:t>s, vadovaujantis Projektų administravimo ir finansavimo taisyklių 153–159 punktais. Ateityje mokėtina pagalba, įskaitant kelioms dalimis mokamą pagalbą, diskontuojama iki suteikimo momentu esamos jos vertės. Tinkamos finansuoti išlaidos diskontuojamos iki jų vertės pagalbos suteikimo metu. Palūkanų norma, naudojama diskontuojant, yra pagalbos suteikimo metu taikoma diskonto norma.</w:t>
                </w:r>
              </w:p>
              <w:p w:rsidR="00203713" w:rsidRDefault="00652E26">
                <w:pPr>
                  <w:tabs>
                    <w:tab w:val="left" w:pos="645"/>
                  </w:tabs>
                  <w:ind w:left="22" w:hanging="22"/>
                  <w:jc w:val="both"/>
                  <w:rPr>
                    <w:bCs/>
                    <w:szCs w:val="24"/>
                  </w:rPr>
                </w:pPr>
                <w:r>
                  <w:rPr>
                    <w:bCs/>
                    <w:szCs w:val="24"/>
                  </w:rPr>
                  <w:t>9.10. Kryžminis finansavimas netaikomas.</w:t>
                </w:r>
              </w:p>
              <w:p w:rsidR="00203713" w:rsidRDefault="00652E26">
                <w:pPr>
                  <w:tabs>
                    <w:tab w:val="left" w:pos="645"/>
                  </w:tabs>
                  <w:ind w:left="22" w:hanging="22"/>
                  <w:jc w:val="both"/>
                  <w:rPr>
                    <w:bCs/>
                    <w:szCs w:val="24"/>
                  </w:rPr>
                </w:pPr>
                <w:r>
                  <w:rPr>
                    <w:szCs w:val="24"/>
                    <w:lang w:val="lt"/>
                  </w:rPr>
                  <w:t xml:space="preserve">9.11. </w:t>
                </w:r>
                <w:r>
                  <w:rPr>
                    <w:bCs/>
                    <w:szCs w:val="24"/>
                  </w:rPr>
                  <w:t xml:space="preserve">Projektų išlaidos gali būti patirtos </w:t>
                </w:r>
                <w:r>
                  <w:t>nuo kvietimo teikti PĮP</w:t>
                </w:r>
                <w:r>
                  <w:rPr>
                    <w:bCs/>
                    <w:szCs w:val="24"/>
                  </w:rPr>
                  <w:t xml:space="preserve"> paskelbimo dienos.</w:t>
                </w:r>
              </w:p>
              <w:p w:rsidR="00203713" w:rsidRDefault="00203713">
                <w:pPr>
                  <w:tabs>
                    <w:tab w:val="left" w:pos="645"/>
                  </w:tabs>
                  <w:ind w:left="22" w:hanging="22"/>
                  <w:jc w:val="both"/>
                  <w:rPr>
                    <w:bCs/>
                    <w:szCs w:val="24"/>
                  </w:rPr>
                </w:pPr>
              </w:p>
            </w:tc>
          </w:tr>
          <w:tr w:rsidR="00203713">
            <w:trPr>
              <w:trHeight w:val="349"/>
            </w:trPr>
            <w:tc>
              <w:tcPr>
                <w:tcW w:w="14170" w:type="dxa"/>
              </w:tcPr>
              <w:p w:rsidR="00203713" w:rsidRDefault="00652E26">
                <w:pPr>
                  <w:jc w:val="both"/>
                  <w:rPr>
                    <w:szCs w:val="24"/>
                  </w:rPr>
                </w:pPr>
                <w:r>
                  <w:rPr>
                    <w:b/>
                    <w:szCs w:val="24"/>
                  </w:rPr>
                  <w:t>10. Projektų veiklų ir jungtinio projekto projektų įgyvendinimui taikomi supaprastintai apmokamų išlaidų dydžiai</w:t>
                </w:r>
              </w:p>
            </w:tc>
          </w:tr>
          <w:tr w:rsidR="00203713">
            <w:tc>
              <w:tcPr>
                <w:tcW w:w="14170" w:type="dxa"/>
              </w:tcPr>
              <w:p w:rsidR="00203713" w:rsidRDefault="00203713">
                <w:pPr>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2741"/>
                  <w:gridCol w:w="2742"/>
                  <w:gridCol w:w="2742"/>
                  <w:gridCol w:w="2971"/>
                </w:tblGrid>
                <w:tr w:rsidR="00203713">
                  <w:tc>
                    <w:tcPr>
                      <w:tcW w:w="5000" w:type="pct"/>
                      <w:gridSpan w:val="5"/>
                      <w:tcBorders>
                        <w:top w:val="single" w:sz="8" w:space="0" w:color="auto"/>
                        <w:left w:val="single" w:sz="8" w:space="0" w:color="auto"/>
                        <w:bottom w:val="single" w:sz="8" w:space="0" w:color="auto"/>
                        <w:right w:val="single" w:sz="8" w:space="0" w:color="auto"/>
                      </w:tcBorders>
                    </w:tcPr>
                    <w:p w:rsidR="00203713" w:rsidRDefault="00652E26">
                      <w:pPr>
                        <w:jc w:val="both"/>
                        <w:rPr>
                          <w:b/>
                          <w:bCs/>
                          <w:sz w:val="22"/>
                          <w:szCs w:val="22"/>
                        </w:rPr>
                      </w:pPr>
                      <w:r>
                        <w:rPr>
                          <w:rFonts w:ascii="MS Gothic" w:eastAsia="MS Gothic" w:hAnsi="MS Gothic"/>
                          <w:b/>
                          <w:bCs/>
                          <w:sz w:val="22"/>
                          <w:szCs w:val="22"/>
                        </w:rPr>
                        <w:t>☐</w:t>
                      </w:r>
                      <w:r>
                        <w:rPr>
                          <w:b/>
                          <w:bCs/>
                          <w:sz w:val="22"/>
                          <w:szCs w:val="22"/>
                        </w:rPr>
                        <w:t xml:space="preserve"> Indeksuojama</w:t>
                      </w:r>
                    </w:p>
                    <w:p w:rsidR="00203713" w:rsidRDefault="00652E26">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203713">
                  <w:tc>
                    <w:tcPr>
                      <w:tcW w:w="983"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sz w:val="22"/>
                          <w:szCs w:val="22"/>
                        </w:rPr>
                      </w:pPr>
                      <w:r>
                        <w:rPr>
                          <w:b/>
                          <w:bCs/>
                          <w:sz w:val="22"/>
                          <w:szCs w:val="22"/>
                        </w:rPr>
                        <w:t>Veiklos ir (ar) išlaidos, kurioms taikomi supaprastintai apmokamų išlaidų dydžiai</w:t>
                      </w:r>
                    </w:p>
                  </w:tc>
                  <w:tc>
                    <w:tcPr>
                      <w:tcW w:w="984"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sz w:val="22"/>
                          <w:szCs w:val="22"/>
                        </w:rPr>
                      </w:pPr>
                      <w:r>
                        <w:rPr>
                          <w:b/>
                          <w:bCs/>
                          <w:sz w:val="22"/>
                          <w:szCs w:val="22"/>
                        </w:rPr>
                        <w:t>Supaprastintai apmokamų išlaidų dydžio kodas</w:t>
                      </w:r>
                    </w:p>
                  </w:tc>
                  <w:tc>
                    <w:tcPr>
                      <w:tcW w:w="984"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i/>
                          <w:iCs/>
                          <w:color w:val="808080"/>
                          <w:sz w:val="22"/>
                          <w:szCs w:val="22"/>
                        </w:rPr>
                      </w:pPr>
                      <w:r>
                        <w:rPr>
                          <w:b/>
                          <w:bCs/>
                          <w:sz w:val="22"/>
                          <w:szCs w:val="22"/>
                        </w:rPr>
                        <w:t>Supaprastintai apmokamų išlaidų dydžio versija</w:t>
                      </w:r>
                    </w:p>
                  </w:tc>
                  <w:tc>
                    <w:tcPr>
                      <w:tcW w:w="984"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sz w:val="22"/>
                          <w:szCs w:val="22"/>
                        </w:rPr>
                      </w:pPr>
                      <w:r>
                        <w:rPr>
                          <w:b/>
                          <w:bCs/>
                          <w:sz w:val="22"/>
                          <w:szCs w:val="22"/>
                        </w:rPr>
                        <w:t>Supaprastintai apmokamų išlaidų dydžio pavadinimas</w:t>
                      </w:r>
                    </w:p>
                  </w:tc>
                  <w:tc>
                    <w:tcPr>
                      <w:tcW w:w="1066" w:type="pct"/>
                      <w:tcBorders>
                        <w:top w:val="single" w:sz="8" w:space="0" w:color="auto"/>
                        <w:left w:val="single" w:sz="8" w:space="0" w:color="auto"/>
                        <w:bottom w:val="single" w:sz="8" w:space="0" w:color="auto"/>
                        <w:right w:val="single" w:sz="8" w:space="0" w:color="auto"/>
                      </w:tcBorders>
                      <w:vAlign w:val="center"/>
                    </w:tcPr>
                    <w:p w:rsidR="00203713" w:rsidRDefault="00652E26">
                      <w:pPr>
                        <w:jc w:val="center"/>
                        <w:rPr>
                          <w:b/>
                          <w:bCs/>
                          <w:sz w:val="22"/>
                          <w:szCs w:val="22"/>
                        </w:rPr>
                      </w:pPr>
                      <w:r>
                        <w:rPr>
                          <w:b/>
                          <w:bCs/>
                          <w:sz w:val="22"/>
                          <w:szCs w:val="22"/>
                        </w:rPr>
                        <w:t>Papildoma informacija</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iCs/>
                          <w:sz w:val="20"/>
                        </w:rPr>
                        <w:lastRenderedPageBreak/>
                        <w:t>10.1. Privalomos projekto matomumo ir informavimo apie projektus priemonės</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lang w:val="en-US"/>
                        </w:rPr>
                      </w:pPr>
                      <w:r>
                        <w:rPr>
                          <w:szCs w:val="24"/>
                        </w:rPr>
                        <w:t>FS-01-01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bCs/>
                          <w:iCs/>
                          <w:sz w:val="20"/>
                        </w:rPr>
                        <w:t xml:space="preserve">Įgyvendintų privalomų matomumo ir informavimo priemonių apie ES fondų investicijų veiklas fiksuotoji suma, pirmojo rinkinio FS </w:t>
                      </w:r>
                      <w:r>
                        <w:rPr>
                          <w:sz w:val="20"/>
                        </w:rPr>
                        <w:t>be PVM</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Išlaidų suma – 15,45 Eur</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iCs/>
                          <w:sz w:val="20"/>
                        </w:rPr>
                        <w:t>10.2. Privalomos projekto matomumo ir informavimo apie projektus priemonės</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Cs w:val="24"/>
                        </w:rPr>
                      </w:pPr>
                      <w:r>
                        <w:rPr>
                          <w:szCs w:val="24"/>
                        </w:rPr>
                        <w:t>FS-01-02</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rPr>
                      </w:pPr>
                      <w:r>
                        <w:rPr>
                          <w:bCs/>
                          <w:iCs/>
                          <w:sz w:val="20"/>
                        </w:rPr>
                        <w:t>Įgyvendintų privalomų matomumo ir informavimo priemonių apie ES fondų investicijų veiklas fiksuotoji suma, pirmojo rinkinio FS su PVM</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Išlaidų suma – 18,69 Eur</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 xml:space="preserve">10.3. Privalomos projekto matomumo ir informavimo apie projektus priemonės </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FS-01-03</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rPr>
                      </w:pPr>
                      <w:r>
                        <w:rPr>
                          <w:sz w:val="20"/>
                        </w:rPr>
                        <w:t>Įgyvendintų privalomų matomumo ir informavimo priemonių apie ES fondų investicijų veiklas fiksuotoji suma, antrojo rinkinio FS be PVM</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Išlaidų suma – 1121,56</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 xml:space="preserve">10.4. Privalomos projekto matomumo ir informavimo apie projektus priemonės </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FS-01-04</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rPr>
                      </w:pPr>
                      <w:r>
                        <w:rPr>
                          <w:sz w:val="20"/>
                        </w:rPr>
                        <w:t>Įgyvendintų privalomų matomumo ir informavimo priemonių apie ES fondų investicijų veiklas fiksuotoji suma, antrojo rinkinio FS su PVM</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Išlaidų suma – 1357,09</w:t>
                      </w: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iCs/>
                          <w:sz w:val="20"/>
                        </w:rPr>
                        <w:t>10.5. Netiesioginės išlaidos</w:t>
                      </w:r>
                    </w:p>
                    <w:p w:rsidR="00203713" w:rsidRDefault="00203713">
                      <w:pPr>
                        <w:jc w:val="center"/>
                        <w:rPr>
                          <w:iCs/>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Iki 7 proc. netiesioginių išlaidų fiksuotoji norma</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iCs/>
                          <w:sz w:val="20"/>
                        </w:rPr>
                        <w:t>Netiesioginės projekto išlaidos skaičiuojamos nuo tinkamų finansuoti tiesioginių projekto išlaidų</w:t>
                      </w:r>
                    </w:p>
                    <w:p w:rsidR="00203713" w:rsidRDefault="00203713">
                      <w:pPr>
                        <w:jc w:val="center"/>
                        <w:rPr>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10.6. Projektą vykdančio personalo darbo užmokesčio išlaidų dalis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(8,63 proc.)</w:t>
                      </w:r>
                    </w:p>
                    <w:p w:rsidR="00203713" w:rsidRDefault="00203713">
                      <w:pPr>
                        <w:jc w:val="center"/>
                        <w:rPr>
                          <w:iCs/>
                          <w:sz w:val="20"/>
                        </w:rPr>
                      </w:pPr>
                    </w:p>
                    <w:p w:rsidR="00203713" w:rsidRDefault="00652E26">
                      <w:pPr>
                        <w:jc w:val="center"/>
                        <w:rPr>
                          <w:iCs/>
                          <w:sz w:val="20"/>
                        </w:rPr>
                      </w:pPr>
                      <w:r>
                        <w:rPr>
                          <w:iCs/>
                          <w:sz w:val="20"/>
                        </w:rPr>
                        <w:lastRenderedPageBreak/>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pPr>
                      <w:r>
                        <w:rPr>
                          <w:sz w:val="20"/>
                        </w:rPr>
                        <w:lastRenderedPageBreak/>
                        <w:t>FN-05-01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Fiksuotoji norma, taikoma, kai priklauso 20 darbo dienų (toliau – d. d.) (jeigu dirbama 5 d. d. per savaitę) arba 24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lastRenderedPageBreak/>
                        <w:t>10.7. Projektą vykdančio personalo darbo užmokesčio išlaidų dalis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(10,44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pPr>
                      <w:r>
                        <w:rPr>
                          <w:sz w:val="20"/>
                        </w:rPr>
                        <w:t>FN-05-02</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Fiksuotoji norma, taikoma, kai priklauso nuo 21 iki 25 d. d. (jeigu dirbama 5 d. d. per savaitę) arba nuo 25 iki 30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10.8. Projektą vykdančio personalo darbo užmokesčio išlaidų dalis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(12,35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FN-05-03</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Fiksuotoji norma, taikoma, kai priklauso nuo 26 iki 30 d. d. (jeigu dirbama 5 d. d. per savaitę) arba nuo 31 iki 36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10.9. Projektą vykdančio personalo darbo užmokesčio išlaidų dalis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(14,99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FN-05-04</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Fiksuotoji norma, taikoma, kai priklauso nuo 31 iki 36 d. d. (jeigu dirbama 5 d. d. per savaitę) arba nuo 37 iki 42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 xml:space="preserve">10.10. Projektą vykdančio personalo darbo užmokesčio </w:t>
                      </w:r>
                      <w:r>
                        <w:rPr>
                          <w:sz w:val="20"/>
                        </w:rPr>
                        <w:lastRenderedPageBreak/>
                        <w:t>išlaidų dalis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(15,25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lastRenderedPageBreak/>
                        <w:t>FN-05-05</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 xml:space="preserve">Fiksuotoji norma, taikoma, kai priklauso nuo 37 iki 39 d. d. </w:t>
                      </w:r>
                      <w:r>
                        <w:rPr>
                          <w:sz w:val="20"/>
                        </w:rPr>
                        <w:lastRenderedPageBreak/>
                        <w:t>(jeigu dirbama 5 d. d. per savaitę) arba nuo 43 iki 47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lastRenderedPageBreak/>
                        <w:t xml:space="preserve">Projektą vykdančio personalo darbo užmokesčio išlaidos už </w:t>
                      </w:r>
                      <w:r>
                        <w:rPr>
                          <w:sz w:val="20"/>
                        </w:rPr>
                        <w:lastRenderedPageBreak/>
                        <w:t>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lastRenderedPageBreak/>
                        <w:t>10.11. Projektą vykdančio personalo darbo užmokesčio išlaidų dalis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(18,89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FN-05-06</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Fiksuotoji norma, taikoma, kai priklauso 40 d. d. (jeigu dirbama 5 d. d. per savaitę) arba 48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10.12. Projektą vykdančio personalo darbo užmokesčio išlaidų dalis per mėnesį, skirta kasmetinėms atostogoms, kuri apskaičiuojama nuo tinkamų finansuoti faktiškai patirtų darbo užmokesčio išlaidų už faktiškai dirbtą laiką</w:t>
                      </w:r>
                    </w:p>
                    <w:p w:rsidR="00203713" w:rsidRDefault="00652E26">
                      <w:pPr>
                        <w:jc w:val="center"/>
                        <w:rPr>
                          <w:sz w:val="20"/>
                        </w:rPr>
                      </w:pPr>
                      <w:r>
                        <w:rPr>
                          <w:sz w:val="20"/>
                        </w:rPr>
                        <w:t>(20,02 proc.)</w:t>
                      </w:r>
                    </w:p>
                    <w:p w:rsidR="00203713" w:rsidRDefault="00203713">
                      <w:pPr>
                        <w:jc w:val="center"/>
                        <w:rPr>
                          <w:sz w:val="20"/>
                        </w:rPr>
                      </w:pPr>
                    </w:p>
                    <w:p w:rsidR="00203713" w:rsidRDefault="00652E26">
                      <w:pPr>
                        <w:jc w:val="center"/>
                        <w:rPr>
                          <w:iCs/>
                          <w:sz w:val="20"/>
                        </w:rPr>
                      </w:pPr>
                      <w:r>
                        <w:rPr>
                          <w:iCs/>
                          <w:sz w:val="20"/>
                        </w:rPr>
                        <w:t>Taikoma veiklai, nurodytai Aprašo 2.5.1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FN-05-07</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bCs/>
                          <w:iCs/>
                          <w:sz w:val="20"/>
                          <w:lang w:eastAsia="lt-LT"/>
                        </w:rPr>
                      </w:pPr>
                      <w:r>
                        <w:rPr>
                          <w:sz w:val="20"/>
                        </w:rPr>
                        <w:t>01</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iCs/>
                          <w:sz w:val="20"/>
                        </w:rPr>
                      </w:pPr>
                      <w:r>
                        <w:rPr>
                          <w:sz w:val="20"/>
                        </w:rPr>
                        <w:t>Fiksuotoji norma, taikoma, kai priklauso nuo 41 d. d. (jeigu dirbama 5 d. d. per savaitę) arba nuo 49 d. d. (jeigu dirbama 6 d. d. per savaitę) kasmetinės atostogos</w:t>
                      </w:r>
                    </w:p>
                  </w:tc>
                  <w:tc>
                    <w:tcPr>
                      <w:tcW w:w="1066"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p w:rsidR="00203713" w:rsidRDefault="00203713">
                      <w:pPr>
                        <w:jc w:val="center"/>
                        <w:rPr>
                          <w:sz w:val="20"/>
                        </w:rPr>
                      </w:pPr>
                    </w:p>
                    <w:p w:rsidR="00203713" w:rsidRDefault="00203713">
                      <w:pPr>
                        <w:jc w:val="center"/>
                        <w:rPr>
                          <w:i/>
                          <w:iCs/>
                          <w:sz w:val="20"/>
                        </w:rPr>
                      </w:pPr>
                    </w:p>
                  </w:tc>
                </w:tr>
                <w:tr w:rsidR="00203713">
                  <w:tc>
                    <w:tcPr>
                      <w:tcW w:w="983"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 xml:space="preserve">10.13. Mokslininkų individualių podoktorantūros stažuočių Lietuvos institucijose (Europinė stažuotė, angl. </w:t>
                      </w:r>
                      <w:r>
                        <w:rPr>
                          <w:i/>
                          <w:sz w:val="20"/>
                        </w:rPr>
                        <w:t>European fellowship</w:t>
                      </w:r>
                      <w:r>
                        <w:rPr>
                          <w:sz w:val="20"/>
                        </w:rPr>
                        <w:t xml:space="preserve">) ir trečiosiose šalyse (Pasaulinė </w:t>
                      </w:r>
                      <w:r>
                        <w:rPr>
                          <w:sz w:val="20"/>
                        </w:rPr>
                        <w:lastRenderedPageBreak/>
                        <w:t xml:space="preserve">stažuotė, angl. </w:t>
                      </w:r>
                      <w:r>
                        <w:rPr>
                          <w:i/>
                          <w:sz w:val="20"/>
                        </w:rPr>
                        <w:t>Global fellowship</w:t>
                      </w:r>
                      <w:r>
                        <w:rPr>
                          <w:sz w:val="20"/>
                        </w:rPr>
                        <w:t>) projekto pagal MSC veiksmų schemą išlaidos</w:t>
                      </w:r>
                    </w:p>
                    <w:p w:rsidR="00203713" w:rsidRDefault="00203713">
                      <w:pPr>
                        <w:jc w:val="center"/>
                        <w:rPr>
                          <w:sz w:val="20"/>
                        </w:rPr>
                      </w:pPr>
                    </w:p>
                    <w:p w:rsidR="00203713" w:rsidRDefault="00652E26">
                      <w:pPr>
                        <w:jc w:val="center"/>
                        <w:rPr>
                          <w:sz w:val="20"/>
                          <w:highlight w:val="yellow"/>
                        </w:rPr>
                      </w:pPr>
                      <w:r>
                        <w:rPr>
                          <w:sz w:val="20"/>
                        </w:rPr>
                        <w:t>Taikoma veiklai, nurodytai Aprašo 2.5.2 papunktyje</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lastRenderedPageBreak/>
                        <w:t>IFĮ, IFS</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w:t>
                      </w:r>
                    </w:p>
                  </w:tc>
                  <w:tc>
                    <w:tcPr>
                      <w:tcW w:w="984" w:type="pct"/>
                      <w:tcBorders>
                        <w:top w:val="single" w:sz="8" w:space="0" w:color="auto"/>
                        <w:left w:val="single" w:sz="8" w:space="0" w:color="auto"/>
                        <w:bottom w:val="single" w:sz="8" w:space="0" w:color="auto"/>
                        <w:right w:val="single" w:sz="8" w:space="0" w:color="auto"/>
                      </w:tcBorders>
                    </w:tcPr>
                    <w:p w:rsidR="00203713" w:rsidRDefault="00652E26">
                      <w:pPr>
                        <w:jc w:val="center"/>
                        <w:rPr>
                          <w:sz w:val="20"/>
                        </w:rPr>
                      </w:pPr>
                      <w:r>
                        <w:rPr>
                          <w:sz w:val="20"/>
                        </w:rPr>
                        <w:t>-</w:t>
                      </w:r>
                    </w:p>
                  </w:tc>
                  <w:tc>
                    <w:tcPr>
                      <w:tcW w:w="1066" w:type="pct"/>
                      <w:shd w:val="clear" w:color="auto" w:fill="auto"/>
                    </w:tcPr>
                    <w:p w:rsidR="00203713" w:rsidRDefault="00652E26">
                      <w:pPr>
                        <w:jc w:val="center"/>
                        <w:rPr>
                          <w:b/>
                          <w:bCs/>
                          <w:sz w:val="20"/>
                        </w:rPr>
                      </w:pPr>
                      <w:r>
                        <w:rPr>
                          <w:iCs/>
                          <w:sz w:val="20"/>
                        </w:rPr>
                        <w:t>IFĮ ir / arba IFS nustatomi remiantis MSC veiksmų 2021–2022 metų darbo programoje (</w:t>
                      </w:r>
                      <w:r>
                        <w:rPr>
                          <w:iCs/>
                          <w:color w:val="0563C1"/>
                          <w:sz w:val="20"/>
                          <w:u w:val="single"/>
                        </w:rPr>
                        <w:t>https://ec.europa.eu/info/funding-tenders/opportunities/docs/2021-2027/horizon/wp-call/2021-</w:t>
                      </w:r>
                      <w:r>
                        <w:rPr>
                          <w:iCs/>
                          <w:color w:val="0563C1"/>
                          <w:sz w:val="20"/>
                          <w:u w:val="single"/>
                        </w:rPr>
                        <w:lastRenderedPageBreak/>
                        <w:t>2022/wp-2-msca-actions_horizon-2021-2022_en.pdf</w:t>
                      </w:r>
                      <w:r>
                        <w:rPr>
                          <w:iCs/>
                          <w:sz w:val="20"/>
                        </w:rPr>
                        <w:t>) arba 2023–2024 metų darbo programoje (</w:t>
                      </w:r>
                      <w:r>
                        <w:rPr>
                          <w:iCs/>
                          <w:color w:val="0563C1"/>
                          <w:sz w:val="20"/>
                          <w:u w:val="single"/>
                        </w:rPr>
                        <w:t>https://ec.europa.eu/info/funding-tenders/opportunities/docs/2021-2027/horizon/wp-call/2023-2024/wp-2-msca-actions_horizon-2023-2024_en.pdf</w:t>
                      </w:r>
                      <w:r>
                        <w:rPr>
                          <w:iCs/>
                          <w:sz w:val="20"/>
                        </w:rPr>
                        <w:t>) nurodytais fiksuotaisiais dydžiais. Nustatant IFĮ ir / arba IFS turi būti remiamasi tais fiksuotaisiais dydžiais, kurie nurodyti toje MSC veiksmų darbo programoje, pagal kurią Pareiškėjas teikė paraišką gauti EK finansavimą</w:t>
                      </w:r>
                    </w:p>
                  </w:tc>
                </w:tr>
              </w:tbl>
              <w:p w:rsidR="00203713" w:rsidRDefault="00203713"/>
            </w:tc>
          </w:tr>
        </w:tbl>
        <w:p w:rsidR="00203713" w:rsidRDefault="00203713">
          <w:pPr>
            <w:spacing w:line="276" w:lineRule="auto"/>
            <w:jc w:val="center"/>
            <w:rPr>
              <w:rFonts w:ascii="Calibri" w:eastAsia="Calibri" w:hAnsi="Calibri"/>
              <w:sz w:val="22"/>
              <w:szCs w:val="22"/>
            </w:rPr>
          </w:pPr>
        </w:p>
        <w:p w:rsidR="00203713" w:rsidRDefault="00203713">
          <w:pPr>
            <w:rPr>
              <w:sz w:val="18"/>
              <w:szCs w:val="18"/>
            </w:rPr>
          </w:pPr>
        </w:p>
        <w:sdt>
          <w:sdtPr>
            <w:rPr>
              <w:rFonts w:ascii="Calibri" w:eastAsia="Calibri" w:hAnsi="Calibri"/>
              <w:sz w:val="22"/>
              <w:szCs w:val="22"/>
            </w:rPr>
            <w:alias w:val="pabaiga"/>
            <w:tag w:val="part_4c84c5f15521444088ee72245e0db5e9"/>
            <w:id w:val="-267695085"/>
            <w:lock w:val="sdtLocked"/>
            <w:placeholder>
              <w:docPart w:val="DefaultPlaceholder_-1854013440"/>
            </w:placeholder>
          </w:sdtPr>
          <w:sdtEndPr/>
          <w:sdtContent>
            <w:p w:rsidR="00203713"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rsidR="00652E26" w:rsidRDefault="003137FC">
              <w:pPr>
                <w:spacing w:line="276" w:lineRule="auto"/>
                <w:jc w:val="center"/>
                <w:rPr>
                  <w:rFonts w:ascii="Calibri" w:eastAsia="Calibri" w:hAnsi="Calibri"/>
                  <w:sz w:val="22"/>
                  <w:szCs w:val="22"/>
                </w:rPr>
              </w:pPr>
            </w:p>
          </w:sdtContent>
        </w:sdt>
      </w:sdtContent>
    </w:sdt>
    <w:sdt>
      <w:sdtPr>
        <w:rPr>
          <w:rFonts w:ascii="Calibri" w:eastAsia="Calibri" w:hAnsi="Calibri"/>
          <w:sz w:val="22"/>
          <w:szCs w:val="22"/>
        </w:rPr>
        <w:alias w:val="1 pr."/>
        <w:tag w:val="part_7e7c59ad79404e78acb23a8f6abded55"/>
        <w:id w:val="-423799875"/>
        <w:lock w:val="sdtLocked"/>
        <w:placeholder>
          <w:docPart w:val="DefaultPlaceholder_-1854013440"/>
        </w:placeholder>
      </w:sdtPr>
      <w:sdtEndPr/>
      <w:sdtContent>
        <w:p w:rsidR="00652E26" w:rsidRDefault="00652E26">
          <w:pPr>
            <w:spacing w:line="276" w:lineRule="auto"/>
            <w:jc w:val="center"/>
            <w:rPr>
              <w:rFonts w:ascii="Calibri" w:eastAsia="Calibri" w:hAnsi="Calibri"/>
              <w:sz w:val="22"/>
              <w:szCs w:val="22"/>
            </w:rPr>
            <w:sectPr w:rsidR="00652E26" w:rsidSect="00652E26">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701" w:right="567" w:bottom="851" w:left="1701" w:header="709" w:footer="567" w:gutter="0"/>
              <w:pgNumType w:start="1"/>
              <w:cols w:space="1296"/>
              <w:titlePg/>
              <w:docGrid w:linePitch="360"/>
            </w:sectPr>
          </w:pPr>
        </w:p>
        <w:p w:rsidR="00652E26" w:rsidRDefault="00652E26">
          <w:pPr>
            <w:ind w:left="9923"/>
            <w:jc w:val="both"/>
            <w:rPr>
              <w:szCs w:val="24"/>
            </w:rPr>
          </w:pPr>
          <w:r>
            <w:rPr>
              <w:szCs w:val="24"/>
            </w:rPr>
            <w:lastRenderedPageBreak/>
            <w:t xml:space="preserve">6 priedo „2022–2030 m. plėtros programos </w:t>
          </w:r>
        </w:p>
        <w:p w:rsidR="00652E26" w:rsidRDefault="00652E26">
          <w:pPr>
            <w:ind w:left="9923"/>
            <w:jc w:val="both"/>
            <w:rPr>
              <w:szCs w:val="24"/>
            </w:rPr>
          </w:pPr>
          <w:r>
            <w:rPr>
              <w:szCs w:val="24"/>
            </w:rPr>
            <w:t xml:space="preserve">valdytojos Lietuvos Respublikos švietimo, </w:t>
          </w:r>
        </w:p>
        <w:p w:rsidR="00652E26" w:rsidRDefault="00652E26">
          <w:pPr>
            <w:ind w:left="9923"/>
            <w:jc w:val="both"/>
            <w:rPr>
              <w:szCs w:val="24"/>
            </w:rPr>
          </w:pPr>
          <w:r>
            <w:rPr>
              <w:szCs w:val="24"/>
            </w:rPr>
            <w:t xml:space="preserve">mokslo ir sporto ministerijos mokslo plėtros </w:t>
          </w:r>
        </w:p>
        <w:p w:rsidR="00652E26" w:rsidRDefault="00652E26">
          <w:pPr>
            <w:ind w:left="9923"/>
            <w:jc w:val="both"/>
            <w:rPr>
              <w:szCs w:val="24"/>
            </w:rPr>
          </w:pPr>
          <w:r>
            <w:rPr>
              <w:szCs w:val="24"/>
            </w:rPr>
            <w:t>programos pažangos priemonės Nr. 12-001-01-</w:t>
          </w:r>
        </w:p>
        <w:p w:rsidR="00652E26" w:rsidRDefault="00652E26">
          <w:pPr>
            <w:ind w:left="9923"/>
            <w:jc w:val="both"/>
            <w:rPr>
              <w:szCs w:val="24"/>
            </w:rPr>
          </w:pPr>
          <w:r>
            <w:rPr>
              <w:szCs w:val="24"/>
            </w:rPr>
            <w:t xml:space="preserve">02-01 „Stiprinti inovacijų ekosistemas mokslo </w:t>
          </w:r>
        </w:p>
        <w:p w:rsidR="00652E26" w:rsidRDefault="00652E26">
          <w:pPr>
            <w:ind w:left="9923"/>
            <w:jc w:val="both"/>
            <w:rPr>
              <w:szCs w:val="24"/>
            </w:rPr>
          </w:pPr>
          <w:r>
            <w:rPr>
              <w:szCs w:val="24"/>
            </w:rPr>
            <w:t xml:space="preserve">centruose“ projektų finansavimo sąlygų aprašo </w:t>
          </w:r>
        </w:p>
        <w:p w:rsidR="00203713" w:rsidRDefault="00652E26">
          <w:pPr>
            <w:ind w:left="9923"/>
            <w:jc w:val="both"/>
            <w:rPr>
              <w:szCs w:val="24"/>
            </w:rPr>
          </w:pPr>
          <w:r>
            <w:rPr>
              <w:szCs w:val="24"/>
            </w:rPr>
            <w:t>Nr. 6“</w:t>
          </w:r>
        </w:p>
        <w:p w:rsidR="00203713" w:rsidRDefault="00652E26">
          <w:pPr>
            <w:ind w:left="9923"/>
            <w:rPr>
              <w:szCs w:val="24"/>
            </w:rPr>
          </w:pPr>
          <w:r>
            <w:rPr>
              <w:szCs w:val="24"/>
            </w:rPr>
            <w:t>1 priedas</w:t>
          </w:r>
        </w:p>
        <w:p w:rsidR="00203713" w:rsidRDefault="00203713">
          <w:pPr>
            <w:rPr>
              <w:rFonts w:eastAsia="Calibri"/>
              <w:b/>
              <w:bCs/>
              <w:szCs w:val="24"/>
            </w:rPr>
          </w:pPr>
        </w:p>
        <w:p w:rsidR="00203713" w:rsidRDefault="00652E2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203713" w:rsidRDefault="00203713">
          <w:pPr>
            <w:jc w:val="center"/>
            <w:rPr>
              <w:rFonts w:eastAsia="Calibri"/>
              <w:b/>
              <w:bCs/>
              <w:szCs w:val="24"/>
            </w:rPr>
          </w:pPr>
        </w:p>
        <w:p w:rsidR="00203713" w:rsidRDefault="00652E26">
          <w:pPr>
            <w:spacing w:line="276" w:lineRule="auto"/>
            <w:jc w:val="both"/>
            <w:rPr>
              <w:rFonts w:eastAsia="Calibri"/>
              <w:bCs/>
              <w:szCs w:val="24"/>
            </w:rPr>
          </w:pPr>
          <w:r>
            <w:rPr>
              <w:rFonts w:eastAsia="Calibri"/>
              <w:bCs/>
              <w:szCs w:val="24"/>
            </w:rPr>
            <w:t>Finansavimo šaltinis, pagal kurį finansuojamas projektas:</w:t>
          </w:r>
        </w:p>
        <w:p w:rsidR="00203713" w:rsidRDefault="00652E26">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rsidR="00203713" w:rsidRDefault="00652E2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203713" w:rsidRDefault="0020371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03713">
            <w:tc>
              <w:tcPr>
                <w:tcW w:w="4933" w:type="dxa"/>
              </w:tcPr>
              <w:p w:rsidR="00203713" w:rsidRDefault="00652E26">
                <w:pPr>
                  <w:jc w:val="center"/>
                  <w:rPr>
                    <w:rFonts w:eastAsia="Calibri"/>
                    <w:b/>
                    <w:szCs w:val="24"/>
                  </w:rPr>
                </w:pPr>
                <w:r>
                  <w:rPr>
                    <w:rFonts w:eastAsia="Calibri"/>
                    <w:b/>
                    <w:szCs w:val="24"/>
                  </w:rPr>
                  <w:t>Aplinkos tikslai</w:t>
                </w:r>
              </w:p>
              <w:p w:rsidR="00203713" w:rsidRDefault="00652E26">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rsidR="00203713" w:rsidRDefault="00652E26">
                <w:pPr>
                  <w:jc w:val="center"/>
                  <w:rPr>
                    <w:rFonts w:eastAsia="Calibri"/>
                    <w:b/>
                    <w:szCs w:val="24"/>
                  </w:rPr>
                </w:pPr>
                <w:r>
                  <w:rPr>
                    <w:rFonts w:eastAsia="Calibri"/>
                    <w:b/>
                    <w:szCs w:val="24"/>
                  </w:rPr>
                  <w:t>Pagrindimas</w:t>
                </w:r>
              </w:p>
              <w:p w:rsidR="00203713" w:rsidRDefault="00652E2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rsidR="00203713" w:rsidRDefault="00652E26">
                <w:pPr>
                  <w:jc w:val="center"/>
                  <w:rPr>
                    <w:rFonts w:eastAsia="Calibri"/>
                    <w:i/>
                    <w:sz w:val="20"/>
                  </w:rPr>
                </w:pPr>
                <w:r>
                  <w:rPr>
                    <w:rFonts w:eastAsia="Calibri"/>
                    <w:b/>
                    <w:szCs w:val="24"/>
                  </w:rPr>
                  <w:t>Pagrindimo dokumentai</w:t>
                </w:r>
              </w:p>
              <w:p w:rsidR="00203713" w:rsidRDefault="00652E2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rsidR="00203713" w:rsidRDefault="00203713">
                <w:pPr>
                  <w:jc w:val="both"/>
                  <w:rPr>
                    <w:rFonts w:eastAsia="Calibri"/>
                    <w:bCs/>
                    <w:sz w:val="20"/>
                  </w:rPr>
                </w:pPr>
              </w:p>
            </w:tc>
            <w:tc>
              <w:tcPr>
                <w:tcW w:w="5387" w:type="dxa"/>
              </w:tcPr>
              <w:p w:rsidR="00203713" w:rsidRDefault="00652E26">
                <w:pPr>
                  <w:tabs>
                    <w:tab w:val="left" w:pos="589"/>
                  </w:tabs>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rsidR="00203713" w:rsidRDefault="00652E26">
                <w:pPr>
                  <w:jc w:val="both"/>
                  <w:rPr>
                    <w:rFonts w:eastAsia="Calibri"/>
                    <w:bCs/>
                    <w:szCs w:val="24"/>
                  </w:rPr>
                </w:pPr>
                <w:r>
                  <w:rPr>
                    <w:rFonts w:eastAsia="Calibri"/>
                    <w:bCs/>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rsidR="00203713" w:rsidRDefault="00652E26">
                <w:pPr>
                  <w:jc w:val="both"/>
                  <w:rPr>
                    <w:rFonts w:eastAsia="Calibri"/>
                    <w:szCs w:val="24"/>
                  </w:rPr>
                </w:pPr>
                <w:r>
                  <w:rPr>
                    <w:rFonts w:eastAsia="Calibri"/>
                    <w:szCs w:val="24"/>
                  </w:rPr>
                  <w:lastRenderedPageBreak/>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apsaugai ir atkūrimo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bl>
        <w:p w:rsidR="00203713" w:rsidRDefault="00203713">
          <w:pPr>
            <w:spacing w:line="276" w:lineRule="auto"/>
            <w:jc w:val="center"/>
            <w:rPr>
              <w:rFonts w:ascii="Calibri" w:eastAsia="Calibri" w:hAnsi="Calibri"/>
              <w:sz w:val="22"/>
              <w:szCs w:val="22"/>
            </w:rPr>
          </w:pPr>
        </w:p>
        <w:p w:rsidR="00203713" w:rsidRDefault="00203713">
          <w:pPr>
            <w:rPr>
              <w:sz w:val="18"/>
              <w:szCs w:val="18"/>
            </w:rPr>
          </w:pPr>
        </w:p>
        <w:sdt>
          <w:sdtPr>
            <w:rPr>
              <w:rFonts w:ascii="Calibri" w:eastAsia="Calibri" w:hAnsi="Calibri"/>
              <w:sz w:val="22"/>
              <w:szCs w:val="22"/>
            </w:rPr>
            <w:alias w:val="pabaiga"/>
            <w:tag w:val="part_30b1e038bda0428b819ccc4dccc8b369"/>
            <w:id w:val="-1832986835"/>
            <w:lock w:val="sdtLocked"/>
            <w:placeholder>
              <w:docPart w:val="DefaultPlaceholder_-1854013440"/>
            </w:placeholder>
          </w:sdtPr>
          <w:sdtEndPr/>
          <w:sdtContent>
            <w:p w:rsidR="00652E26"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sdtContent>
        </w:sdt>
      </w:sdtContent>
    </w:sdt>
    <w:sdt>
      <w:sdtPr>
        <w:rPr>
          <w:rFonts w:ascii="Calibri" w:eastAsia="Calibri" w:hAnsi="Calibri"/>
          <w:sz w:val="22"/>
          <w:szCs w:val="22"/>
        </w:rPr>
        <w:alias w:val="2 pr."/>
        <w:tag w:val="part_45d10e7d1e404d07aa861efc5a72296d"/>
        <w:id w:val="348757798"/>
        <w:lock w:val="sdtLocked"/>
        <w:placeholder>
          <w:docPart w:val="DefaultPlaceholder_-1854013440"/>
        </w:placeholder>
      </w:sdtPr>
      <w:sdtEndPr>
        <w:rPr>
          <w:rFonts w:ascii="Times New Roman" w:hAnsi="Times New Roman"/>
          <w:sz w:val="24"/>
          <w:szCs w:val="24"/>
        </w:rPr>
      </w:sdtEndPr>
      <w:sdtContent>
        <w:p w:rsidR="00203713" w:rsidRDefault="00203713">
          <w:pPr>
            <w:spacing w:line="276" w:lineRule="auto"/>
            <w:jc w:val="center"/>
            <w:rPr>
              <w:rFonts w:ascii="Calibri" w:eastAsia="Calibri" w:hAnsi="Calibri"/>
              <w:sz w:val="22"/>
              <w:szCs w:val="22"/>
            </w:rPr>
            <w:sectPr w:rsidR="00203713">
              <w:pgSz w:w="16838" w:h="11906" w:orient="landscape"/>
              <w:pgMar w:top="1701" w:right="567" w:bottom="1134" w:left="1701" w:header="567" w:footer="567" w:gutter="0"/>
              <w:pgNumType w:start="1"/>
              <w:cols w:space="1296"/>
              <w:titlePg/>
              <w:docGrid w:linePitch="360"/>
            </w:sectPr>
          </w:pPr>
        </w:p>
        <w:p w:rsidR="00652E26" w:rsidRDefault="00652E26">
          <w:pPr>
            <w:ind w:left="4962"/>
            <w:jc w:val="both"/>
            <w:textAlignment w:val="baseline"/>
            <w:rPr>
              <w:szCs w:val="24"/>
            </w:rPr>
          </w:pPr>
          <w:r>
            <w:rPr>
              <w:szCs w:val="24"/>
            </w:rPr>
            <w:lastRenderedPageBreak/>
            <w:t xml:space="preserve">6 priedo „2022–2030 m. plėtros programos </w:t>
          </w:r>
        </w:p>
        <w:p w:rsidR="00652E26" w:rsidRDefault="00652E26">
          <w:pPr>
            <w:ind w:left="4962"/>
            <w:jc w:val="both"/>
            <w:textAlignment w:val="baseline"/>
            <w:rPr>
              <w:szCs w:val="24"/>
            </w:rPr>
          </w:pPr>
          <w:r>
            <w:rPr>
              <w:szCs w:val="24"/>
            </w:rPr>
            <w:t xml:space="preserve">valdytojos Lietuvos Respublikos švietimo, mokslo ir </w:t>
          </w:r>
        </w:p>
        <w:p w:rsidR="00652E26" w:rsidRDefault="00652E26">
          <w:pPr>
            <w:ind w:left="4962"/>
            <w:jc w:val="both"/>
            <w:textAlignment w:val="baseline"/>
            <w:rPr>
              <w:szCs w:val="24"/>
            </w:rPr>
          </w:pPr>
          <w:r>
            <w:rPr>
              <w:szCs w:val="24"/>
            </w:rPr>
            <w:t xml:space="preserve">sporto ministerijos mokslo plėtros programos </w:t>
          </w:r>
        </w:p>
        <w:p w:rsidR="00652E26" w:rsidRDefault="00652E26">
          <w:pPr>
            <w:ind w:left="4962"/>
            <w:jc w:val="both"/>
            <w:textAlignment w:val="baseline"/>
            <w:rPr>
              <w:szCs w:val="24"/>
            </w:rPr>
          </w:pPr>
          <w:r>
            <w:rPr>
              <w:szCs w:val="24"/>
            </w:rPr>
            <w:t xml:space="preserve">pažangos priemonės Nr. 12-001-01-02-01 „Stiprinti </w:t>
          </w:r>
        </w:p>
        <w:p w:rsidR="00652E26" w:rsidRDefault="00652E26">
          <w:pPr>
            <w:ind w:left="4962"/>
            <w:jc w:val="both"/>
            <w:textAlignment w:val="baseline"/>
            <w:rPr>
              <w:szCs w:val="24"/>
            </w:rPr>
          </w:pPr>
          <w:r>
            <w:rPr>
              <w:szCs w:val="24"/>
            </w:rPr>
            <w:t xml:space="preserve">inovacijų ekosistemas mokslo centruose“ projektų </w:t>
          </w:r>
        </w:p>
        <w:p w:rsidR="00203713" w:rsidRDefault="00652E26">
          <w:pPr>
            <w:ind w:left="4962"/>
            <w:jc w:val="both"/>
            <w:textAlignment w:val="baseline"/>
            <w:rPr>
              <w:color w:val="000000"/>
              <w:sz w:val="22"/>
              <w:szCs w:val="22"/>
              <w:lang w:eastAsia="lt-LT"/>
            </w:rPr>
          </w:pPr>
          <w:r>
            <w:rPr>
              <w:szCs w:val="24"/>
            </w:rPr>
            <w:t>finansavimo sąlygų aprašo Nr. 6“</w:t>
          </w:r>
        </w:p>
        <w:p w:rsidR="00203713" w:rsidRDefault="00652E26">
          <w:pPr>
            <w:ind w:left="4962"/>
            <w:jc w:val="both"/>
            <w:textAlignment w:val="baseline"/>
            <w:rPr>
              <w:rFonts w:ascii="Segoe UI" w:hAnsi="Segoe UI" w:cs="Segoe UI"/>
              <w:szCs w:val="24"/>
              <w:lang w:eastAsia="lt-LT"/>
            </w:rPr>
          </w:pPr>
          <w:r>
            <w:rPr>
              <w:color w:val="000000"/>
              <w:szCs w:val="24"/>
              <w:lang w:eastAsia="lt-LT"/>
            </w:rPr>
            <w:t>2 priedas</w:t>
          </w:r>
        </w:p>
        <w:p w:rsidR="00203713" w:rsidRDefault="00203713">
          <w:pPr>
            <w:spacing w:line="276" w:lineRule="auto"/>
            <w:jc w:val="both"/>
            <w:rPr>
              <w:rFonts w:eastAsia="Calibri"/>
              <w:szCs w:val="24"/>
            </w:rPr>
          </w:pPr>
        </w:p>
        <w:p w:rsidR="00203713" w:rsidRDefault="00203713">
          <w:pPr>
            <w:rPr>
              <w:sz w:val="18"/>
              <w:szCs w:val="18"/>
            </w:rPr>
          </w:pPr>
        </w:p>
        <w:p w:rsidR="00203713" w:rsidRDefault="00652E2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rsidR="00203713" w:rsidRDefault="00203713">
          <w:pPr>
            <w:rPr>
              <w:sz w:val="18"/>
              <w:szCs w:val="18"/>
            </w:rPr>
          </w:pPr>
        </w:p>
        <w:p w:rsidR="00203713" w:rsidRDefault="00652E26">
          <w:pPr>
            <w:jc w:val="center"/>
            <w:rPr>
              <w:rFonts w:eastAsia="Calibri"/>
              <w:szCs w:val="24"/>
            </w:rPr>
          </w:pPr>
          <w:r>
            <w:rPr>
              <w:rFonts w:eastAsia="Calibri"/>
              <w:szCs w:val="24"/>
            </w:rPr>
            <w:t>____________________</w:t>
          </w:r>
        </w:p>
        <w:p w:rsidR="00203713" w:rsidRDefault="00652E26">
          <w:pPr>
            <w:jc w:val="center"/>
            <w:rPr>
              <w:rFonts w:eastAsia="Calibri"/>
              <w:sz w:val="20"/>
            </w:rPr>
          </w:pPr>
          <w:r>
            <w:rPr>
              <w:rFonts w:eastAsia="Calibri"/>
              <w:sz w:val="20"/>
            </w:rPr>
            <w:t>(Data)</w:t>
          </w:r>
        </w:p>
        <w:p w:rsidR="00203713" w:rsidRDefault="0020371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numeris</w:t>
                </w:r>
              </w:p>
            </w:tc>
            <w:tc>
              <w:tcPr>
                <w:tcW w:w="5094" w:type="dxa"/>
                <w:shd w:val="clear" w:color="auto" w:fill="auto"/>
              </w:tcPr>
              <w:p w:rsidR="00203713" w:rsidRDefault="00203713">
                <w:pPr>
                  <w:rPr>
                    <w:rFonts w:eastAsia="Calibri"/>
                    <w:szCs w:val="24"/>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pavadinimas</w:t>
                </w:r>
              </w:p>
            </w:tc>
            <w:tc>
              <w:tcPr>
                <w:tcW w:w="5094" w:type="dxa"/>
                <w:shd w:val="clear" w:color="auto" w:fill="auto"/>
              </w:tcPr>
              <w:p w:rsidR="00203713" w:rsidRDefault="00203713">
                <w:pPr>
                  <w:rPr>
                    <w:rFonts w:eastAsia="Calibri"/>
                    <w:szCs w:val="24"/>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203713" w:rsidRDefault="00203713">
                <w:pPr>
                  <w:rPr>
                    <w:rFonts w:eastAsia="Calibri"/>
                    <w:i/>
                    <w:sz w:val="22"/>
                    <w:szCs w:val="22"/>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partnerio (-ių) pavadinimas</w:t>
                </w:r>
              </w:p>
            </w:tc>
            <w:tc>
              <w:tcPr>
                <w:tcW w:w="5094" w:type="dxa"/>
                <w:shd w:val="clear" w:color="auto" w:fill="auto"/>
              </w:tcPr>
              <w:p w:rsidR="00203713" w:rsidRDefault="00203713">
                <w:pPr>
                  <w:rPr>
                    <w:rFonts w:eastAsia="Calibri"/>
                    <w:i/>
                    <w:sz w:val="22"/>
                    <w:szCs w:val="22"/>
                  </w:rPr>
                </w:pPr>
              </w:p>
            </w:tc>
          </w:tr>
        </w:tbl>
        <w:p w:rsidR="00203713" w:rsidRDefault="00203713">
          <w:pPr>
            <w:spacing w:line="276" w:lineRule="auto"/>
            <w:rPr>
              <w:rFonts w:eastAsia="Calibri"/>
              <w:szCs w:val="24"/>
            </w:rPr>
          </w:pPr>
        </w:p>
        <w:p w:rsidR="00203713" w:rsidRDefault="0020371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203713">
            <w:tc>
              <w:tcPr>
                <w:tcW w:w="5000" w:type="pct"/>
                <w:gridSpan w:val="5"/>
                <w:shd w:val="pct20" w:color="auto" w:fill="auto"/>
              </w:tcPr>
              <w:p w:rsidR="00203713" w:rsidRDefault="00652E26">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finansavimą tiesiogiai ar netiesiogiai numatoma teikti ūkio subjektams (-ui) ūkinei veiklai vykdyti?</w:t>
                </w:r>
              </w:p>
              <w:p w:rsidR="00203713" w:rsidRDefault="00203713">
                <w:pPr>
                  <w:rPr>
                    <w:sz w:val="10"/>
                    <w:szCs w:val="10"/>
                  </w:rPr>
                </w:pPr>
              </w:p>
              <w:p w:rsidR="00203713" w:rsidRDefault="00203713">
                <w:pPr>
                  <w:rPr>
                    <w:rFonts w:eastAsia="Calibri"/>
                    <w:sz w:val="22"/>
                    <w:szCs w:val="22"/>
                  </w:rPr>
                </w:pP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Ne</w:t>
                </w:r>
              </w:p>
              <w:p w:rsidR="00203713" w:rsidRDefault="00203713">
                <w:pPr>
                  <w:rPr>
                    <w:sz w:val="10"/>
                    <w:szCs w:val="10"/>
                  </w:rPr>
                </w:pPr>
              </w:p>
              <w:p w:rsidR="00203713" w:rsidRDefault="00652E26">
                <w:pPr>
                  <w:rPr>
                    <w:rFonts w:eastAsia="Calibri"/>
                    <w:sz w:val="22"/>
                    <w:szCs w:val="22"/>
                  </w:rPr>
                </w:pPr>
                <w:r>
                  <w:rPr>
                    <w:rFonts w:eastAsia="Calibri"/>
                    <w:i/>
                    <w:sz w:val="22"/>
                    <w:szCs w:val="22"/>
                  </w:rPr>
                  <w:t>(Patikros lapą pildant projektui,   neigiamai atsakius, kiti  patikros lapo klausimų atsakymai žymimi „nevertinama“)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203713" w:rsidRDefault="00652E2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rsidR="00203713" w:rsidRDefault="00203713">
                <w:pPr>
                  <w:jc w:val="both"/>
                  <w:rPr>
                    <w:rFonts w:eastAsia="Calibri"/>
                    <w:b/>
                    <w:sz w:val="22"/>
                    <w:szCs w:val="22"/>
                  </w:rPr>
                </w:pPr>
              </w:p>
              <w:p w:rsidR="00203713" w:rsidRDefault="00652E2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203713" w:rsidRDefault="00652E26">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rsidR="00203713" w:rsidRDefault="00203713">
                <w:pPr>
                  <w:rPr>
                    <w:sz w:val="18"/>
                    <w:szCs w:val="18"/>
                  </w:rPr>
                </w:pPr>
              </w:p>
              <w:p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203713" w:rsidRDefault="00203713">
                <w:pPr>
                  <w:rPr>
                    <w:sz w:val="18"/>
                    <w:szCs w:val="18"/>
                  </w:rPr>
                </w:pPr>
              </w:p>
              <w:p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203713" w:rsidRDefault="00203713">
                <w:pPr>
                  <w:rPr>
                    <w:sz w:val="18"/>
                    <w:szCs w:val="18"/>
                  </w:rPr>
                </w:pP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rsidR="00203713" w:rsidRDefault="00652E26">
                <w:pPr>
                  <w:jc w:val="both"/>
                  <w:rPr>
                    <w:rFonts w:eastAsia="Calibri"/>
                    <w:sz w:val="22"/>
                    <w:szCs w:val="22"/>
                  </w:rPr>
                </w:pPr>
                <w:r>
                  <w:rPr>
                    <w:rFonts w:eastAsia="Calibri"/>
                    <w:sz w:val="22"/>
                    <w:szCs w:val="22"/>
                  </w:rPr>
                  <w:t>a) kariuomenė arba policija;</w:t>
                </w:r>
              </w:p>
              <w:p w:rsidR="00203713" w:rsidRDefault="00652E26">
                <w:pPr>
                  <w:jc w:val="both"/>
                  <w:rPr>
                    <w:rFonts w:eastAsia="Calibri"/>
                    <w:sz w:val="22"/>
                    <w:szCs w:val="22"/>
                  </w:rPr>
                </w:pPr>
                <w:r>
                  <w:rPr>
                    <w:rFonts w:eastAsia="Calibri"/>
                    <w:sz w:val="22"/>
                    <w:szCs w:val="22"/>
                  </w:rPr>
                  <w:t>b) oro navigacijos sauga ir kontrolė;</w:t>
                </w:r>
              </w:p>
              <w:p w:rsidR="00203713" w:rsidRDefault="00652E26">
                <w:pPr>
                  <w:jc w:val="both"/>
                  <w:rPr>
                    <w:rFonts w:eastAsia="Calibri"/>
                    <w:sz w:val="22"/>
                    <w:szCs w:val="22"/>
                  </w:rPr>
                </w:pPr>
                <w:r>
                  <w:rPr>
                    <w:rFonts w:eastAsia="Calibri"/>
                    <w:sz w:val="22"/>
                    <w:szCs w:val="22"/>
                  </w:rPr>
                  <w:t>c) jūrų eismo kontrolė ir sauga;</w:t>
                </w:r>
              </w:p>
              <w:p w:rsidR="00203713" w:rsidRDefault="00652E26">
                <w:pPr>
                  <w:jc w:val="both"/>
                  <w:rPr>
                    <w:rFonts w:eastAsia="Calibri"/>
                    <w:sz w:val="22"/>
                    <w:szCs w:val="22"/>
                  </w:rPr>
                </w:pPr>
                <w:r>
                  <w:rPr>
                    <w:rFonts w:eastAsia="Calibri"/>
                    <w:sz w:val="22"/>
                    <w:szCs w:val="22"/>
                  </w:rPr>
                  <w:t>d) kovos su tarša priežiūra;</w:t>
                </w:r>
              </w:p>
              <w:p w:rsidR="00203713" w:rsidRDefault="00652E26">
                <w:pPr>
                  <w:jc w:val="both"/>
                  <w:rPr>
                    <w:rFonts w:eastAsia="Calibri"/>
                    <w:sz w:val="22"/>
                    <w:szCs w:val="22"/>
                  </w:rPr>
                </w:pPr>
                <w:r>
                  <w:rPr>
                    <w:rFonts w:eastAsia="Calibri"/>
                    <w:sz w:val="22"/>
                    <w:szCs w:val="22"/>
                  </w:rPr>
                  <w:t>e) laisvės atėmimo nuosprendžių organizavimas, finansavimas ir vykdymas;</w:t>
                </w:r>
              </w:p>
              <w:p w:rsidR="00203713" w:rsidRDefault="00652E2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203713" w:rsidRDefault="00652E2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lastRenderedPageBreak/>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p w:rsidR="00203713" w:rsidRDefault="00203713">
                <w:pPr>
                  <w:jc w:val="both"/>
                  <w:rPr>
                    <w:rFonts w:eastAsia="Calibri"/>
                    <w:i/>
                    <w:sz w:val="22"/>
                    <w:szCs w:val="22"/>
                  </w:rPr>
                </w:pPr>
              </w:p>
              <w:p w:rsidR="00203713" w:rsidRDefault="00652E2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rsidR="00203713" w:rsidRDefault="00652E26">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lastRenderedPageBreak/>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5000" w:type="pct"/>
                <w:gridSpan w:val="5"/>
                <w:shd w:val="pct20" w:color="auto" w:fill="auto"/>
              </w:tcPr>
              <w:p w:rsidR="00203713" w:rsidRDefault="00652E2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203713" w:rsidRDefault="00652E2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203713">
            <w:tc>
              <w:tcPr>
                <w:tcW w:w="5000" w:type="pct"/>
                <w:gridSpan w:val="5"/>
                <w:shd w:val="clear" w:color="auto" w:fill="auto"/>
              </w:tcPr>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3137FC">
                  <w:rPr>
                    <w:rFonts w:eastAsia="Calibri"/>
                    <w:sz w:val="22"/>
                    <w:szCs w:val="22"/>
                  </w:rPr>
                </w:r>
                <w:r w:rsidR="003137FC">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bl>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652E2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652E26" w:rsidRDefault="00652E2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652E26" w:rsidRDefault="003137FC">
          <w:pPr>
            <w:tabs>
              <w:tab w:val="left" w:pos="426"/>
              <w:tab w:val="left" w:pos="7797"/>
            </w:tabs>
            <w:spacing w:line="276" w:lineRule="auto"/>
            <w:ind w:firstLine="426"/>
            <w:rPr>
              <w:rFonts w:eastAsia="Calibri"/>
              <w:szCs w:val="24"/>
            </w:rPr>
          </w:pPr>
        </w:p>
      </w:sdtContent>
    </w:sdt>
    <w:sdt>
      <w:sdtPr>
        <w:rPr>
          <w:rFonts w:eastAsia="Calibri"/>
          <w:szCs w:val="24"/>
        </w:rPr>
        <w:alias w:val="3 pr."/>
        <w:tag w:val="part_f2ed523025b14511b160398b9a9f5ae4"/>
        <w:id w:val="-1577509005"/>
        <w:lock w:val="sdtLocked"/>
        <w:placeholder>
          <w:docPart w:val="DefaultPlaceholder_-1854013440"/>
        </w:placeholder>
      </w:sdtPr>
      <w:sdtEndPr>
        <w:rPr>
          <w:rFonts w:eastAsia="Times New Roman"/>
          <w:szCs w:val="20"/>
        </w:rPr>
      </w:sdtEndPr>
      <w:sdtContent>
        <w:p w:rsidR="00203713" w:rsidRDefault="00203713">
          <w:pPr>
            <w:tabs>
              <w:tab w:val="left" w:pos="426"/>
              <w:tab w:val="left" w:pos="7797"/>
            </w:tabs>
            <w:spacing w:line="276" w:lineRule="auto"/>
            <w:ind w:firstLine="426"/>
            <w:rPr>
              <w:rFonts w:eastAsia="Calibri"/>
              <w:szCs w:val="24"/>
            </w:rPr>
            <w:sectPr w:rsidR="00203713">
              <w:headerReference w:type="default" r:id="rId17"/>
              <w:footerReference w:type="default" r:id="rId18"/>
              <w:pgSz w:w="12240" w:h="15840"/>
              <w:pgMar w:top="1701" w:right="567" w:bottom="1134" w:left="1701" w:header="708" w:footer="708" w:gutter="0"/>
              <w:pgNumType w:start="1"/>
              <w:cols w:space="708"/>
              <w:titlePg/>
              <w:docGrid w:linePitch="360"/>
            </w:sectPr>
          </w:pPr>
        </w:p>
        <w:p w:rsidR="00652E26" w:rsidRDefault="00652E26">
          <w:pPr>
            <w:ind w:left="7938"/>
            <w:jc w:val="both"/>
            <w:textAlignment w:val="baseline"/>
            <w:rPr>
              <w:szCs w:val="24"/>
            </w:rPr>
          </w:pPr>
          <w:r>
            <w:rPr>
              <w:szCs w:val="24"/>
            </w:rPr>
            <w:lastRenderedPageBreak/>
            <w:t xml:space="preserve">6 priedo „2022–2030 m. plėtros programos valdytojos Lietuvos </w:t>
          </w:r>
        </w:p>
        <w:p w:rsidR="00652E26" w:rsidRDefault="00652E26">
          <w:pPr>
            <w:ind w:left="7938"/>
            <w:jc w:val="both"/>
            <w:textAlignment w:val="baseline"/>
            <w:rPr>
              <w:szCs w:val="24"/>
            </w:rPr>
          </w:pPr>
          <w:r>
            <w:rPr>
              <w:szCs w:val="24"/>
            </w:rPr>
            <w:t xml:space="preserve">Respublikos švietimo, mokslo ir sporto ministerijos mokslo </w:t>
          </w:r>
        </w:p>
        <w:p w:rsidR="00652E26" w:rsidRDefault="00652E26">
          <w:pPr>
            <w:ind w:left="7938"/>
            <w:jc w:val="both"/>
            <w:textAlignment w:val="baseline"/>
            <w:rPr>
              <w:szCs w:val="24"/>
            </w:rPr>
          </w:pPr>
          <w:r>
            <w:rPr>
              <w:szCs w:val="24"/>
            </w:rPr>
            <w:t xml:space="preserve">plėtros programos pažangos priemonės Nr. 12-001-01-02-01 </w:t>
          </w:r>
        </w:p>
        <w:p w:rsidR="00652E26" w:rsidRDefault="00652E26">
          <w:pPr>
            <w:ind w:left="7938"/>
            <w:jc w:val="both"/>
            <w:textAlignment w:val="baseline"/>
            <w:rPr>
              <w:szCs w:val="24"/>
            </w:rPr>
          </w:pPr>
          <w:r>
            <w:rPr>
              <w:szCs w:val="24"/>
            </w:rPr>
            <w:t xml:space="preserve">„Stiprinti inovacijų ekosistemas mokslo centruose“ projektų </w:t>
          </w:r>
        </w:p>
        <w:p w:rsidR="00203713" w:rsidRDefault="00652E26">
          <w:pPr>
            <w:ind w:left="7938"/>
            <w:jc w:val="both"/>
            <w:textAlignment w:val="baseline"/>
            <w:rPr>
              <w:szCs w:val="24"/>
            </w:rPr>
          </w:pPr>
          <w:r>
            <w:rPr>
              <w:szCs w:val="24"/>
            </w:rPr>
            <w:t>finansavimo sąlygų aprašo Nr. 6“</w:t>
          </w:r>
        </w:p>
        <w:p w:rsidR="00203713" w:rsidRDefault="00652E26">
          <w:pPr>
            <w:ind w:left="9072" w:hanging="1134"/>
            <w:jc w:val="both"/>
            <w:textAlignment w:val="baseline"/>
            <w:rPr>
              <w:szCs w:val="24"/>
            </w:rPr>
          </w:pPr>
          <w:r>
            <w:rPr>
              <w:szCs w:val="24"/>
            </w:rPr>
            <w:t>3</w:t>
          </w:r>
          <w:r>
            <w:rPr>
              <w:color w:val="000000"/>
              <w:szCs w:val="24"/>
              <w:lang w:eastAsia="lt-LT"/>
            </w:rPr>
            <w:t xml:space="preserve"> priedas</w:t>
          </w:r>
        </w:p>
        <w:p w:rsidR="00203713" w:rsidRDefault="00203713">
          <w:pPr>
            <w:jc w:val="center"/>
            <w:rPr>
              <w:rFonts w:eastAsia="Calibri"/>
              <w:bCs/>
              <w:caps/>
              <w:color w:val="000000"/>
              <w:szCs w:val="24"/>
            </w:rPr>
          </w:pPr>
        </w:p>
        <w:p w:rsidR="00203713" w:rsidRDefault="00652E26">
          <w:pPr>
            <w:jc w:val="center"/>
            <w:rPr>
              <w:rFonts w:eastAsia="Calibri"/>
              <w:b/>
              <w:bCs/>
              <w:caps/>
              <w:color w:val="000000"/>
              <w:szCs w:val="24"/>
            </w:rPr>
          </w:pPr>
          <w:r>
            <w:rPr>
              <w:rFonts w:eastAsia="Calibri"/>
              <w:b/>
              <w:bCs/>
              <w:caps/>
              <w:color w:val="000000"/>
              <w:szCs w:val="24"/>
            </w:rPr>
            <w:t>PROJEKTŲ ATITIKTIES VALSTYBĖS PAGALBOS TAISYKLĖMS Patikros lapas</w:t>
          </w:r>
        </w:p>
        <w:p w:rsidR="00203713" w:rsidRDefault="00203713">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203713">
            <w:trPr>
              <w:trHeight w:val="305"/>
            </w:trPr>
            <w:tc>
              <w:tcPr>
                <w:tcW w:w="14562" w:type="dxa"/>
                <w:shd w:val="clear" w:color="auto" w:fill="BFBFBF" w:themeFill="background1" w:themeFillShade="BF"/>
              </w:tcPr>
              <w:p w:rsidR="00203713" w:rsidRDefault="00652E26">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203713">
            <w:trPr>
              <w:trHeight w:val="577"/>
            </w:trPr>
            <w:tc>
              <w:tcPr>
                <w:tcW w:w="14562" w:type="dxa"/>
                <w:shd w:val="clear" w:color="auto" w:fill="auto"/>
              </w:tcPr>
              <w:p w:rsidR="00203713" w:rsidRDefault="00652E26">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rsidR="00203713" w:rsidRDefault="00203713">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203713">
            <w:trPr>
              <w:trHeight w:val="280"/>
            </w:trPr>
            <w:tc>
              <w:tcPr>
                <w:tcW w:w="14612" w:type="dxa"/>
                <w:gridSpan w:val="2"/>
                <w:shd w:val="clear" w:color="auto" w:fill="BFBFBF" w:themeFill="background1" w:themeFillShade="BF"/>
              </w:tcPr>
              <w:p w:rsidR="00203713" w:rsidRDefault="00652E26">
                <w:pPr>
                  <w:jc w:val="both"/>
                  <w:rPr>
                    <w:color w:val="000000"/>
                    <w:szCs w:val="24"/>
                    <w:lang w:eastAsia="lt-LT"/>
                  </w:rPr>
                </w:pPr>
                <w:r>
                  <w:rPr>
                    <w:b/>
                    <w:bCs/>
                    <w:color w:val="000000"/>
                    <w:szCs w:val="24"/>
                    <w:lang w:eastAsia="lt-LT"/>
                  </w:rPr>
                  <w:t>2. Duomenys apie projekto įgyvendinimo planą (toliau – PĮP) / projektą</w:t>
                </w:r>
              </w:p>
            </w:tc>
          </w:tr>
          <w:tr w:rsidR="00203713">
            <w:trPr>
              <w:trHeight w:val="287"/>
            </w:trPr>
            <w:tc>
              <w:tcPr>
                <w:tcW w:w="4820" w:type="dxa"/>
                <w:shd w:val="clear" w:color="auto" w:fill="auto"/>
              </w:tcPr>
              <w:p w:rsidR="00203713" w:rsidRDefault="00652E26">
                <w:pPr>
                  <w:jc w:val="both"/>
                  <w:rPr>
                    <w:color w:val="000000"/>
                    <w:lang w:eastAsia="lt-LT"/>
                  </w:rPr>
                </w:pPr>
                <w:r>
                  <w:rPr>
                    <w:b/>
                    <w:bCs/>
                    <w:color w:val="000000"/>
                    <w:lang w:eastAsia="lt-LT"/>
                  </w:rPr>
                  <w:t xml:space="preserve">PĮP/projekto numeris </w:t>
                </w:r>
              </w:p>
            </w:tc>
            <w:tc>
              <w:tcPr>
                <w:tcW w:w="9792" w:type="dxa"/>
                <w:shd w:val="clear" w:color="auto" w:fill="auto"/>
              </w:tcPr>
              <w:p w:rsidR="00203713" w:rsidRDefault="00203713">
                <w:pPr>
                  <w:jc w:val="both"/>
                  <w:rPr>
                    <w:color w:val="000000"/>
                    <w:szCs w:val="24"/>
                    <w:lang w:eastAsia="lt-LT"/>
                  </w:rPr>
                </w:pPr>
              </w:p>
            </w:tc>
          </w:tr>
          <w:tr w:rsidR="00203713">
            <w:trPr>
              <w:trHeight w:val="279"/>
            </w:trPr>
            <w:tc>
              <w:tcPr>
                <w:tcW w:w="4820" w:type="dxa"/>
                <w:shd w:val="clear" w:color="auto" w:fill="auto"/>
              </w:tcPr>
              <w:p w:rsidR="00203713" w:rsidRDefault="00652E26">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rsidR="00203713" w:rsidRDefault="00203713">
                <w:pPr>
                  <w:jc w:val="both"/>
                  <w:rPr>
                    <w:color w:val="000000"/>
                    <w:szCs w:val="24"/>
                    <w:lang w:eastAsia="lt-LT"/>
                  </w:rPr>
                </w:pPr>
              </w:p>
            </w:tc>
          </w:tr>
          <w:tr w:rsidR="00203713">
            <w:trPr>
              <w:trHeight w:val="280"/>
            </w:trPr>
            <w:tc>
              <w:tcPr>
                <w:tcW w:w="4820" w:type="dxa"/>
                <w:shd w:val="clear" w:color="auto" w:fill="auto"/>
              </w:tcPr>
              <w:p w:rsidR="00203713" w:rsidRDefault="00652E26">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rsidR="00203713" w:rsidRDefault="00203713">
                <w:pPr>
                  <w:jc w:val="both"/>
                  <w:rPr>
                    <w:b/>
                    <w:bCs/>
                    <w:color w:val="000000"/>
                    <w:szCs w:val="24"/>
                    <w:lang w:eastAsia="lt-LT"/>
                  </w:rPr>
                </w:pPr>
              </w:p>
            </w:tc>
          </w:tr>
        </w:tbl>
        <w:p w:rsidR="00203713" w:rsidRDefault="00203713">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203713">
            <w:tc>
              <w:tcPr>
                <w:tcW w:w="14596" w:type="dxa"/>
                <w:gridSpan w:val="5"/>
                <w:shd w:val="clear" w:color="auto" w:fill="BFBFBF"/>
              </w:tcPr>
              <w:p w:rsidR="00203713" w:rsidRDefault="00652E26">
                <w:pPr>
                  <w:jc w:val="both"/>
                  <w:rPr>
                    <w:color w:val="000000"/>
                    <w:szCs w:val="24"/>
                    <w:lang w:eastAsia="lt-LT"/>
                  </w:rPr>
                </w:pPr>
                <w:r>
                  <w:rPr>
                    <w:rFonts w:eastAsia="Calibri"/>
                    <w:b/>
                    <w:bCs/>
                    <w:color w:val="000000"/>
                    <w:szCs w:val="24"/>
                    <w:lang w:eastAsia="lt-LT"/>
                  </w:rPr>
                  <w:t>3. PĮP / projekto patikra dėl atitikties Reglamentui (ES) Nr. 651/2014</w:t>
                </w:r>
              </w:p>
            </w:tc>
          </w:tr>
          <w:tr w:rsidR="00203713">
            <w:tc>
              <w:tcPr>
                <w:tcW w:w="988" w:type="dxa"/>
                <w:shd w:val="clear" w:color="auto" w:fill="auto"/>
              </w:tcPr>
              <w:p w:rsidR="00203713" w:rsidRDefault="00652E26">
                <w:pPr>
                  <w:ind w:right="-465"/>
                  <w:rPr>
                    <w:b/>
                    <w:bCs/>
                    <w:szCs w:val="24"/>
                    <w:lang w:eastAsia="lt-LT"/>
                  </w:rPr>
                </w:pPr>
                <w:r>
                  <w:rPr>
                    <w:b/>
                    <w:bCs/>
                    <w:szCs w:val="24"/>
                    <w:lang w:eastAsia="lt-LT"/>
                  </w:rPr>
                  <w:t>Eil. Nr.</w:t>
                </w:r>
              </w:p>
              <w:p w:rsidR="00203713" w:rsidRDefault="00203713">
                <w:pPr>
                  <w:ind w:right="-465"/>
                  <w:rPr>
                    <w:b/>
                    <w:bCs/>
                    <w:szCs w:val="24"/>
                    <w:lang w:eastAsia="lt-LT"/>
                  </w:rPr>
                </w:pPr>
              </w:p>
            </w:tc>
            <w:tc>
              <w:tcPr>
                <w:tcW w:w="7229" w:type="dxa"/>
                <w:shd w:val="clear" w:color="auto" w:fill="auto"/>
              </w:tcPr>
              <w:p w:rsidR="00203713" w:rsidRDefault="00652E26">
                <w:pPr>
                  <w:jc w:val="both"/>
                  <w:rPr>
                    <w:b/>
                    <w:bCs/>
                    <w:color w:val="000000"/>
                    <w:szCs w:val="24"/>
                    <w:lang w:eastAsia="lt-LT"/>
                  </w:rPr>
                </w:pPr>
                <w:r>
                  <w:rPr>
                    <w:b/>
                    <w:bCs/>
                    <w:color w:val="000000"/>
                    <w:szCs w:val="24"/>
                    <w:lang w:eastAsia="lt-LT"/>
                  </w:rPr>
                  <w:t>Klausimai</w:t>
                </w:r>
              </w:p>
            </w:tc>
            <w:tc>
              <w:tcPr>
                <w:tcW w:w="2268" w:type="dxa"/>
                <w:gridSpan w:val="2"/>
              </w:tcPr>
              <w:p w:rsidR="00203713" w:rsidRDefault="00652E26">
                <w:pPr>
                  <w:rPr>
                    <w:b/>
                    <w:bCs/>
                    <w:szCs w:val="24"/>
                  </w:rPr>
                </w:pPr>
                <w:r>
                  <w:rPr>
                    <w:b/>
                    <w:bCs/>
                    <w:szCs w:val="24"/>
                    <w:lang w:eastAsia="lt-LT"/>
                  </w:rPr>
                  <w:t>Rezultatas</w:t>
                </w:r>
              </w:p>
              <w:p w:rsidR="00203713" w:rsidRDefault="00203713">
                <w:pPr>
                  <w:rPr>
                    <w:b/>
                    <w:bCs/>
                    <w:szCs w:val="24"/>
                    <w:lang w:eastAsia="lt-LT"/>
                  </w:rPr>
                </w:pPr>
              </w:p>
            </w:tc>
            <w:tc>
              <w:tcPr>
                <w:tcW w:w="4111" w:type="dxa"/>
              </w:tcPr>
              <w:p w:rsidR="00203713" w:rsidRDefault="00652E26">
                <w:pPr>
                  <w:rPr>
                    <w:b/>
                    <w:bCs/>
                    <w:color w:val="000000"/>
                    <w:szCs w:val="24"/>
                    <w:lang w:eastAsia="lt-LT"/>
                  </w:rPr>
                </w:pPr>
                <w:r>
                  <w:rPr>
                    <w:b/>
                    <w:bCs/>
                    <w:color w:val="000000"/>
                    <w:szCs w:val="24"/>
                    <w:lang w:eastAsia="lt-LT"/>
                  </w:rPr>
                  <w:t>Pastabos</w:t>
                </w:r>
              </w:p>
            </w:tc>
          </w:tr>
          <w:tr w:rsidR="00203713">
            <w:tc>
              <w:tcPr>
                <w:tcW w:w="988" w:type="dxa"/>
                <w:vMerge w:val="restart"/>
                <w:tcBorders>
                  <w:top w:val="single" w:sz="4" w:space="0" w:color="auto"/>
                  <w:left w:val="single" w:sz="4" w:space="0" w:color="auto"/>
                  <w:right w:val="single" w:sz="4" w:space="0" w:color="auto"/>
                </w:tcBorders>
              </w:tcPr>
              <w:p w:rsidR="00203713" w:rsidRDefault="00652E26">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ind w:hanging="5"/>
                  <w:jc w:val="both"/>
                  <w:rPr>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3.2.</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3.3.</w:t>
                </w:r>
              </w:p>
            </w:tc>
            <w:tc>
              <w:tcPr>
                <w:tcW w:w="7229" w:type="dxa"/>
                <w:shd w:val="clear" w:color="auto" w:fill="auto"/>
              </w:tcPr>
              <w:p w:rsidR="00203713" w:rsidRDefault="00652E26">
                <w:pPr>
                  <w:jc w:val="both"/>
                  <w:rPr>
                    <w:bCs/>
                    <w:szCs w:val="24"/>
                  </w:rPr>
                </w:pPr>
                <w:r>
                  <w:rPr>
                    <w:szCs w:val="24"/>
                  </w:rPr>
                  <w:t>Ar teikiama valstybės pagalba atitinka Reglamento (ES) Nr. 651/2014 1 straipsnio 3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lastRenderedPageBreak/>
                  <w:t>3.4.</w:t>
                </w:r>
              </w:p>
            </w:tc>
            <w:tc>
              <w:tcPr>
                <w:tcW w:w="7229" w:type="dxa"/>
                <w:shd w:val="clear" w:color="auto" w:fill="auto"/>
              </w:tcPr>
              <w:p w:rsidR="00203713" w:rsidRDefault="00652E26">
                <w:pPr>
                  <w:jc w:val="both"/>
                  <w:rPr>
                    <w:bCs/>
                    <w:szCs w:val="24"/>
                  </w:rPr>
                </w:pPr>
                <w:r>
                  <w:rPr>
                    <w:szCs w:val="24"/>
                  </w:rPr>
                  <w:t>Ar teikiama valstybės pagalba atitinka Reglamento</w:t>
                </w:r>
                <w:r>
                  <w:t xml:space="preserve"> (</w:t>
                </w:r>
                <w:r>
                  <w:rPr>
                    <w:szCs w:val="24"/>
                  </w:rPr>
                  <w:t>ES) Nr. 651/2014 1 straipsnio 4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val="en-US" w:eastAsia="lt-LT"/>
                  </w:rPr>
                </w:pPr>
                <w:r>
                  <w:rPr>
                    <w:szCs w:val="24"/>
                    <w:lang w:val="en-US" w:eastAsia="lt-LT"/>
                  </w:rPr>
                  <w:t>3.5.</w:t>
                </w:r>
              </w:p>
            </w:tc>
            <w:tc>
              <w:tcPr>
                <w:tcW w:w="7229" w:type="dxa"/>
                <w:shd w:val="clear" w:color="auto" w:fill="auto"/>
              </w:tcPr>
              <w:p w:rsidR="00203713" w:rsidRDefault="00652E26">
                <w:pPr>
                  <w:jc w:val="both"/>
                  <w:rPr>
                    <w:szCs w:val="24"/>
                  </w:rPr>
                </w:pPr>
                <w:r>
                  <w:rPr>
                    <w:szCs w:val="24"/>
                  </w:rPr>
                  <w:t>Ar teikiama valstybės pagalba atitinka Reglamento</w:t>
                </w:r>
                <w:r>
                  <w:t xml:space="preserve"> (</w:t>
                </w:r>
                <w:r>
                  <w:rPr>
                    <w:szCs w:val="24"/>
                  </w:rPr>
                  <w:t>ES) Nr. 651/2014 1 straipsnio 5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3.6.</w:t>
                </w:r>
              </w:p>
            </w:tc>
            <w:tc>
              <w:tcPr>
                <w:tcW w:w="7229" w:type="dxa"/>
                <w:shd w:val="clear" w:color="auto" w:fill="auto"/>
              </w:tcPr>
              <w:p w:rsidR="00203713" w:rsidRDefault="00652E26">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3.7.</w:t>
                </w:r>
              </w:p>
            </w:tc>
            <w:tc>
              <w:tcPr>
                <w:tcW w:w="7229" w:type="dxa"/>
                <w:shd w:val="clear" w:color="auto" w:fill="auto"/>
              </w:tcPr>
              <w:p w:rsidR="00203713" w:rsidRDefault="00652E26">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r>
                  <w:t>3.8.</w:t>
                </w:r>
              </w:p>
            </w:tc>
            <w:tc>
              <w:tcPr>
                <w:tcW w:w="7229" w:type="dxa"/>
                <w:shd w:val="clear" w:color="auto" w:fill="auto"/>
              </w:tcPr>
              <w:p w:rsidR="00203713" w:rsidRDefault="00652E26">
                <w:pPr>
                  <w:jc w:val="both"/>
                </w:pPr>
                <w:r>
                  <w:t>Ar yra pagrįstas valstybės pagalbos skatinamasis poveikis pagal Reglamento 6 straipsnio 2 dalį? (jei taikoma)</w:t>
                </w:r>
              </w:p>
            </w:tc>
            <w:tc>
              <w:tcPr>
                <w:tcW w:w="1134" w:type="dxa"/>
              </w:tcPr>
              <w:p w:rsidR="00203713" w:rsidRDefault="00652E26">
                <w:r>
                  <w:t>□ Taip</w:t>
                </w:r>
              </w:p>
            </w:tc>
            <w:tc>
              <w:tcPr>
                <w:tcW w:w="1134" w:type="dxa"/>
              </w:tcPr>
              <w:p w:rsidR="00203713" w:rsidRDefault="00652E26">
                <w:r>
                  <w:t>□ Ne</w:t>
                </w:r>
              </w:p>
            </w:tc>
            <w:tc>
              <w:tcPr>
                <w:tcW w:w="4111" w:type="dxa"/>
              </w:tcPr>
              <w:p w:rsidR="00203713" w:rsidRDefault="00203713"/>
            </w:tc>
          </w:tr>
          <w:tr w:rsidR="00203713">
            <w:tc>
              <w:tcPr>
                <w:tcW w:w="988" w:type="dxa"/>
                <w:shd w:val="clear" w:color="auto" w:fill="auto"/>
              </w:tcPr>
              <w:p w:rsidR="00203713" w:rsidRDefault="00652E26">
                <w:pPr>
                  <w:ind w:right="-465"/>
                  <w:rPr>
                    <w:szCs w:val="24"/>
                    <w:lang w:eastAsia="lt-LT"/>
                  </w:rPr>
                </w:pPr>
                <w:r>
                  <w:rPr>
                    <w:szCs w:val="24"/>
                    <w:lang w:eastAsia="lt-LT"/>
                  </w:rPr>
                  <w:t>3.9.</w:t>
                </w:r>
              </w:p>
            </w:tc>
            <w:tc>
              <w:tcPr>
                <w:tcW w:w="7229" w:type="dxa"/>
                <w:shd w:val="clear" w:color="auto" w:fill="auto"/>
              </w:tcPr>
              <w:p w:rsidR="00203713" w:rsidRDefault="00652E26">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14596" w:type="dxa"/>
                <w:gridSpan w:val="5"/>
                <w:tcBorders>
                  <w:top w:val="single" w:sz="4" w:space="0" w:color="auto"/>
                  <w:left w:val="single" w:sz="4" w:space="0" w:color="auto"/>
                  <w:bottom w:val="single" w:sz="4" w:space="0" w:color="auto"/>
                  <w:right w:val="single" w:sz="4" w:space="0" w:color="auto"/>
                </w:tcBorders>
              </w:tcPr>
              <w:p w:rsidR="00203713" w:rsidRDefault="00652E26">
                <w:pPr>
                  <w:jc w:val="both"/>
                  <w:rPr>
                    <w:i/>
                    <w:color w:val="000000"/>
                    <w:szCs w:val="24"/>
                    <w:lang w:eastAsia="lt-LT"/>
                  </w:rPr>
                </w:pPr>
                <w:r>
                  <w:rPr>
                    <w:i/>
                    <w:color w:val="000000"/>
                    <w:szCs w:val="24"/>
                    <w:lang w:eastAsia="lt-LT"/>
                  </w:rPr>
                  <w:t>Taikoma, jei valstybės pagalba teikiama pagal Reglamento 25 straipsnį</w:t>
                </w: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w:t>
                </w:r>
                <w:r>
                  <w:rPr>
                    <w:szCs w:val="24"/>
                    <w:lang w:val="en-GB" w:eastAsia="lt-LT"/>
                  </w:rPr>
                  <w:t>10</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Cs/>
                    <w:color w:val="000000"/>
                    <w:szCs w:val="24"/>
                  </w:rPr>
                </w:pPr>
                <w:r>
                  <w:rPr>
                    <w:bCs/>
                    <w:color w:val="000000"/>
                    <w:szCs w:val="24"/>
                  </w:rPr>
                  <w:t>Ar teikiama valstybės pagalba atitinka Reglamento 25 straipsnio 2 dalies a, b ir (ar) c punktus?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Cs/>
                    <w:color w:val="000000"/>
                    <w:szCs w:val="24"/>
                  </w:rPr>
                </w:pPr>
                <w:r>
                  <w:rPr>
                    <w:bCs/>
                    <w:color w:val="000000"/>
                    <w:szCs w:val="24"/>
                  </w:rPr>
                  <w:t>Ar teikiama valstybės pagalba tinkamoms finansuoti išlaidoms, nurodytoms Reglamento 25 straipsnio 3 dalyje (išskyrus c papunktyje nurodytas išlaidas)?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rPr>
                  <w:t>Ar valstybės pagalbos intensyvumas atitinka Reglamento 25 straipsnio 5 dalies a, b ir c punktų nuostatas?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14596" w:type="dxa"/>
                <w:gridSpan w:val="5"/>
                <w:shd w:val="clear" w:color="auto" w:fill="auto"/>
              </w:tcPr>
              <w:p w:rsidR="00203713" w:rsidRDefault="00652E26">
                <w:pPr>
                  <w:jc w:val="both"/>
                  <w:rPr>
                    <w:i/>
                    <w:szCs w:val="24"/>
                    <w:lang w:eastAsia="lt-LT"/>
                  </w:rPr>
                </w:pPr>
                <w:r>
                  <w:rPr>
                    <w:i/>
                    <w:szCs w:val="24"/>
                    <w:lang w:eastAsia="lt-LT"/>
                  </w:rPr>
                  <w:t>Taikoma, jei valstybės pagalba teikiama pagal Reglamento 25a straipsnį</w:t>
                </w:r>
              </w:p>
            </w:tc>
          </w:tr>
          <w:tr w:rsidR="00203713">
            <w:tc>
              <w:tcPr>
                <w:tcW w:w="988" w:type="dxa"/>
              </w:tcPr>
              <w:p w:rsidR="00203713" w:rsidRDefault="00652E26">
                <w:pPr>
                  <w:ind w:right="-465"/>
                  <w:rPr>
                    <w:szCs w:val="24"/>
                    <w:lang w:eastAsia="lt-LT"/>
                  </w:rPr>
                </w:pPr>
                <w:r>
                  <w:rPr>
                    <w:szCs w:val="24"/>
                    <w:lang w:eastAsia="lt-LT"/>
                  </w:rPr>
                  <w:t>3.14.</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1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3.15.</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3.16.</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3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3.17.</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4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lastRenderedPageBreak/>
                  <w:t>3.18.</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5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14596" w:type="dxa"/>
                <w:gridSpan w:val="5"/>
              </w:tcPr>
              <w:p w:rsidR="00203713" w:rsidRDefault="00652E26">
                <w:pPr>
                  <w:jc w:val="both"/>
                  <w:rPr>
                    <w:i/>
                    <w:color w:val="000000"/>
                    <w:szCs w:val="24"/>
                    <w:lang w:eastAsia="lt-LT"/>
                  </w:rPr>
                </w:pPr>
                <w:r>
                  <w:rPr>
                    <w:i/>
                    <w:color w:val="000000"/>
                    <w:szCs w:val="24"/>
                    <w:lang w:eastAsia="lt-LT"/>
                  </w:rPr>
                  <w:t>Taikoma, jei valstybės pagalba teikiama pagal Reglamento 25b straipsnį</w:t>
                </w:r>
              </w:p>
            </w:tc>
          </w:tr>
          <w:tr w:rsidR="00203713">
            <w:tc>
              <w:tcPr>
                <w:tcW w:w="988" w:type="dxa"/>
              </w:tcPr>
              <w:p w:rsidR="00203713" w:rsidRDefault="00652E26">
                <w:pPr>
                  <w:ind w:right="-465"/>
                  <w:rPr>
                    <w:szCs w:val="24"/>
                    <w:lang w:eastAsia="lt-LT"/>
                  </w:rPr>
                </w:pPr>
                <w:r>
                  <w:rPr>
                    <w:szCs w:val="24"/>
                    <w:lang w:eastAsia="lt-LT"/>
                  </w:rPr>
                  <w:t>3.19</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1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3.20.</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3.21.</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3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3.22.</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4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bl>
        <w:p w:rsidR="00203713" w:rsidRDefault="00203713">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203713">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03713" w:rsidRDefault="00652E26">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203713">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rsidR="00203713" w:rsidRDefault="00203713">
                <w:pPr>
                  <w:rPr>
                    <w:rFonts w:eastAsia="Calibri"/>
                    <w:b/>
                    <w:bCs/>
                    <w:color w:val="000000"/>
                    <w:szCs w:val="24"/>
                    <w:lang w:eastAsia="lt-LT"/>
                  </w:rPr>
                </w:pP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____________________________________ </w:t>
                </w:r>
              </w:p>
              <w:p w:rsidR="00203713" w:rsidRDefault="00652E26">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___________ </w:t>
                </w:r>
              </w:p>
              <w:p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 </w:t>
                </w:r>
              </w:p>
              <w:p w:rsidR="00203713" w:rsidRDefault="00652E26">
                <w:pPr>
                  <w:ind w:firstLine="186"/>
                  <w:rPr>
                    <w:color w:val="000000"/>
                    <w:szCs w:val="24"/>
                  </w:rPr>
                </w:pPr>
                <w:r>
                  <w:rPr>
                    <w:color w:val="000000"/>
                    <w:szCs w:val="24"/>
                  </w:rPr>
                  <w:t xml:space="preserve">(data) </w:t>
                </w: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rsidR="00203713" w:rsidRDefault="00203713">
                <w:pPr>
                  <w:rPr>
                    <w:b/>
                    <w:bCs/>
                    <w:color w:val="000000"/>
                    <w:szCs w:val="24"/>
                  </w:rPr>
                </w:pPr>
              </w:p>
              <w:p w:rsidR="00203713" w:rsidRDefault="00652E26">
                <w:pPr>
                  <w:rPr>
                    <w:color w:val="000000"/>
                    <w:szCs w:val="24"/>
                  </w:rPr>
                </w:pPr>
                <w:r>
                  <w:rPr>
                    <w:b/>
                    <w:bCs/>
                    <w:color w:val="000000"/>
                    <w:szCs w:val="24"/>
                  </w:rPr>
                  <w:t xml:space="preserve">Patikros peržiūra: </w:t>
                </w:r>
              </w:p>
              <w:p w:rsidR="00203713" w:rsidRDefault="00652E26">
                <w:pPr>
                  <w:rPr>
                    <w:color w:val="000000"/>
                    <w:szCs w:val="24"/>
                  </w:rPr>
                </w:pPr>
                <w:r>
                  <w:rPr>
                    <w:color w:val="000000"/>
                    <w:szCs w:val="24"/>
                  </w:rPr>
                  <w:t xml:space="preserve">□ Vertintojo išvadai pritarti </w:t>
                </w:r>
              </w:p>
              <w:p w:rsidR="00203713" w:rsidRDefault="00652E26">
                <w:pPr>
                  <w:rPr>
                    <w:color w:val="000000"/>
                    <w:szCs w:val="24"/>
                  </w:rPr>
                </w:pPr>
                <w:r>
                  <w:rPr>
                    <w:color w:val="000000"/>
                    <w:szCs w:val="24"/>
                  </w:rPr>
                  <w:t xml:space="preserve">□ Vertintojo išvadai nepritarti </w:t>
                </w:r>
              </w:p>
              <w:p w:rsidR="00203713" w:rsidRDefault="00203713">
                <w:pPr>
                  <w:rPr>
                    <w:i/>
                    <w:iCs/>
                    <w:color w:val="000000"/>
                    <w:szCs w:val="24"/>
                  </w:rPr>
                </w:pPr>
              </w:p>
              <w:p w:rsidR="00203713" w:rsidRDefault="00652E26">
                <w:pPr>
                  <w:rPr>
                    <w:i/>
                    <w:iCs/>
                    <w:color w:val="000000"/>
                    <w:szCs w:val="24"/>
                  </w:rPr>
                </w:pPr>
                <w:r>
                  <w:rPr>
                    <w:i/>
                    <w:iCs/>
                    <w:color w:val="000000"/>
                    <w:szCs w:val="24"/>
                  </w:rPr>
                  <w:t>Pastabos:_______________________________________________________________________</w:t>
                </w:r>
              </w:p>
              <w:p w:rsidR="00203713" w:rsidRDefault="00203713">
                <w:pPr>
                  <w:ind w:firstLine="62"/>
                  <w:rPr>
                    <w:color w:val="000000"/>
                    <w:szCs w:val="24"/>
                  </w:rPr>
                </w:pP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rsidR="00203713" w:rsidRDefault="00652E26">
                <w:pPr>
                  <w:rPr>
                    <w:color w:val="000000"/>
                    <w:szCs w:val="24"/>
                  </w:rPr>
                </w:pPr>
                <w:r>
                  <w:rPr>
                    <w:iCs/>
                    <w:color w:val="000000"/>
                    <w:szCs w:val="24"/>
                  </w:rPr>
                  <w:t xml:space="preserve">______________________________________ </w:t>
                </w:r>
              </w:p>
              <w:p w:rsidR="00203713" w:rsidRDefault="00652E26">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rsidR="00203713" w:rsidRDefault="00652E26">
                <w:pPr>
                  <w:rPr>
                    <w:color w:val="000000"/>
                    <w:szCs w:val="24"/>
                  </w:rPr>
                </w:pPr>
                <w:r>
                  <w:rPr>
                    <w:iCs/>
                    <w:color w:val="000000"/>
                    <w:szCs w:val="24"/>
                  </w:rPr>
                  <w:t xml:space="preserve">____________ </w:t>
                </w:r>
              </w:p>
              <w:p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203713" w:rsidRDefault="00652E26">
                <w:pPr>
                  <w:rPr>
                    <w:color w:val="000000"/>
                    <w:szCs w:val="24"/>
                  </w:rPr>
                </w:pPr>
                <w:r>
                  <w:rPr>
                    <w:iCs/>
                    <w:color w:val="000000"/>
                    <w:szCs w:val="24"/>
                  </w:rPr>
                  <w:t xml:space="preserve">____________ </w:t>
                </w:r>
              </w:p>
              <w:p w:rsidR="00203713" w:rsidRDefault="00652E26">
                <w:pPr>
                  <w:ind w:firstLine="372"/>
                  <w:rPr>
                    <w:iCs/>
                    <w:color w:val="000000"/>
                    <w:szCs w:val="24"/>
                  </w:rPr>
                </w:pPr>
                <w:r>
                  <w:rPr>
                    <w:iCs/>
                    <w:color w:val="000000"/>
                    <w:szCs w:val="24"/>
                  </w:rPr>
                  <w:t xml:space="preserve">(data) </w:t>
                </w:r>
              </w:p>
              <w:p w:rsidR="00203713" w:rsidRDefault="00203713">
                <w:pPr>
                  <w:rPr>
                    <w:iCs/>
                    <w:color w:val="000000"/>
                    <w:szCs w:val="24"/>
                  </w:rPr>
                </w:pPr>
              </w:p>
              <w:p w:rsidR="00203713" w:rsidRDefault="00203713">
                <w:pPr>
                  <w:jc w:val="center"/>
                  <w:rPr>
                    <w:color w:val="000000"/>
                    <w:szCs w:val="24"/>
                    <w:lang w:val="en-US"/>
                  </w:rPr>
                </w:pPr>
              </w:p>
            </w:tc>
          </w:tr>
        </w:tbl>
        <w:sdt>
          <w:sdtPr>
            <w:alias w:val="pabaiga"/>
            <w:tag w:val="part_8c7a479c3ce845a8a09874887aa8a422"/>
            <w:id w:val="-567423966"/>
            <w:lock w:val="sdtLocked"/>
          </w:sdtPr>
          <w:sdtEndPr/>
          <w:sdtContent>
            <w:p w:rsidR="00203713" w:rsidRDefault="00652E26">
              <w:pPr>
                <w:jc w:val="center"/>
                <w:rPr>
                  <w:szCs w:val="24"/>
                </w:rPr>
              </w:pPr>
              <w:r>
                <w:rPr>
                  <w:szCs w:val="24"/>
                </w:rPr>
                <w:t>____________________</w:t>
              </w:r>
            </w:p>
            <w:p w:rsidR="00203713" w:rsidRDefault="003137FC">
              <w:pPr>
                <w:spacing w:line="276" w:lineRule="auto"/>
                <w:rPr>
                  <w:sz w:val="22"/>
                  <w:szCs w:val="22"/>
                </w:rPr>
              </w:pPr>
            </w:p>
          </w:sdtContent>
        </w:sdt>
      </w:sdtContent>
    </w:sdt>
    <w:sectPr w:rsidR="00203713">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3713" w:rsidRDefault="00652E26">
      <w:pPr>
        <w:rPr>
          <w:sz w:val="22"/>
          <w:szCs w:val="22"/>
        </w:rPr>
      </w:pPr>
      <w:r>
        <w:rPr>
          <w:sz w:val="22"/>
          <w:szCs w:val="22"/>
        </w:rPr>
        <w:separator/>
      </w:r>
    </w:p>
  </w:endnote>
  <w:endnote w:type="continuationSeparator" w:id="0">
    <w:p w:rsidR="00203713" w:rsidRDefault="00652E26">
      <w:pPr>
        <w:rPr>
          <w:sz w:val="22"/>
          <w:szCs w:val="22"/>
        </w:rPr>
      </w:pPr>
      <w:r>
        <w:rPr>
          <w:sz w:val="22"/>
          <w:szCs w:val="22"/>
        </w:rPr>
        <w:continuationSeparator/>
      </w:r>
    </w:p>
  </w:endnote>
  <w:endnote w:type="continuationNotice" w:id="1">
    <w:p w:rsidR="00203713" w:rsidRDefault="0020371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jc w:val="center"/>
    </w:pPr>
  </w:p>
  <w:p w:rsidR="00203713" w:rsidRDefault="00203713">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3713" w:rsidRDefault="00652E26">
      <w:pPr>
        <w:rPr>
          <w:sz w:val="22"/>
          <w:szCs w:val="22"/>
        </w:rPr>
      </w:pPr>
      <w:r>
        <w:rPr>
          <w:sz w:val="22"/>
          <w:szCs w:val="22"/>
        </w:rPr>
        <w:separator/>
      </w:r>
    </w:p>
  </w:footnote>
  <w:footnote w:type="continuationSeparator" w:id="0">
    <w:p w:rsidR="00203713" w:rsidRDefault="00652E26">
      <w:pPr>
        <w:rPr>
          <w:sz w:val="22"/>
          <w:szCs w:val="22"/>
        </w:rPr>
      </w:pPr>
      <w:r>
        <w:rPr>
          <w:sz w:val="22"/>
          <w:szCs w:val="22"/>
        </w:rPr>
        <w:continuationSeparator/>
      </w:r>
    </w:p>
  </w:footnote>
  <w:footnote w:type="continuationNotice" w:id="1">
    <w:p w:rsidR="00203713" w:rsidRDefault="00203713">
      <w:pPr>
        <w:rPr>
          <w:sz w:val="22"/>
          <w:szCs w:val="22"/>
        </w:rPr>
      </w:pPr>
    </w:p>
  </w:footnote>
  <w:footnote w:id="2">
    <w:p w:rsidR="00203713" w:rsidRDefault="00652E26">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3">
    <w:p w:rsidR="00203713" w:rsidRDefault="00652E26">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rsidR="00203713" w:rsidRDefault="00652E26">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rsidR="00203713" w:rsidRDefault="00652E26">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203713" w:rsidRDefault="00652E26">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203713" w:rsidRDefault="00652E26">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652E2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3137FC">
      <w:rPr>
        <w:noProof/>
        <w:szCs w:val="22"/>
      </w:rPr>
      <w:t>2</w:t>
    </w:r>
    <w:r>
      <w:rPr>
        <w:szCs w:val="22"/>
      </w:rPr>
      <w:fldChar w:fldCharType="end"/>
    </w:r>
  </w:p>
  <w:p w:rsidR="00203713" w:rsidRDefault="0020371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203713">
    <w:pPr>
      <w:tabs>
        <w:tab w:val="center" w:pos="4819"/>
        <w:tab w:val="right" w:pos="9638"/>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713" w:rsidRDefault="00652E26">
    <w:pPr>
      <w:tabs>
        <w:tab w:val="center" w:pos="4819"/>
        <w:tab w:val="right" w:pos="9638"/>
      </w:tabs>
      <w:jc w:val="center"/>
    </w:pPr>
    <w:r>
      <w:fldChar w:fldCharType="begin"/>
    </w:r>
    <w:r>
      <w:instrText>PAGE   \* MERGEFORMAT</w:instrText>
    </w:r>
    <w:r>
      <w:fldChar w:fldCharType="separate"/>
    </w:r>
    <w:r w:rsidR="003137FC">
      <w:rPr>
        <w:noProof/>
      </w:rPr>
      <w:t>3</w:t>
    </w:r>
    <w:r>
      <w:fldChar w:fldCharType="end"/>
    </w:r>
  </w:p>
  <w:p w:rsidR="00203713" w:rsidRDefault="0020371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US" w:vendorID="64" w:dllVersion="0" w:nlCheck="1" w:checkStyle="0"/>
  <w:activeWritingStyle w:appName="MSWord" w:lang="fr-FR" w:vendorID="64" w:dllVersion="6" w:nlCheck="1" w:checkStyle="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03713"/>
    <w:rsid w:val="003137FC"/>
    <w:rsid w:val="00652E26"/>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C9AF851-D1BE-4827-A4E6-3E4926511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E2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2232757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3F789BD-57BE-424E-BD93-6B41A5931F4D}"/>
      </w:docPartPr>
      <w:docPartBody>
        <w:p w:rsidR="00FF2882" w:rsidRDefault="00D82A6B">
          <w:r w:rsidRPr="00046F3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A6B"/>
    <w:rsid w:val="00D82A6B"/>
    <w:rsid w:val="00FF28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2A6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Parts xmlns="http://lrs.lt/TAIS/DocParts">
  <Part Type="priedas" Nr="6" Abbr="6 pr." Title="2022–2030 M. PLĖTROS PROGRAMOS VALDYTOJOS LIETUVOS RESPUBLIKOS ŠVIETIMO, MOKSLO IR SPORTO MINISTERIJOS MOKSLO PLĖTROS PROGRAMOS PAŽANGOS PRIEMONĖS NR. 12-001-01-02-01 „STIPRINTI INOVACIJŲ EKOSISTEMAS MOKSLO CENTRUOSE“ PROJEKTŲ FINANSAVIMO SĄLYGŲ APRAŠAS NR. 6" DocPartId="310e80d72c5342919e0844c9a50fd4c2" PartId="c01df685bede4e1bb565c7b3d85091aa">
    <Part Type="pabaiga" DocPartId="c0c222157b714480a61e80020c9713ea" PartId="4c84c5f15521444088ee72245e0db5e9"/>
  </Part>
  <Part Type="priedas" Nr="1" Abbr="1 pr." Title="PROJEKTO (ĮSKAITANT JUNGTINĮ PROJEKTĄ) ATITIKTIES REIKŠMINGOS ŽALOS NEDARYMO HORIZONTALIAJAM PRINCIPUI VERTINIMO REIKALAVIMŲ APRAŠAS" DocPartId="a64e30a5b4cd4553b1355ce9e93de5a7" PartId="7e7c59ad79404e78acb23a8f6abded55">
    <Part Type="pabaiga" DocPartId="0689acb1bf2a40adbcea8eb4819e4384" PartId="30b1e038bda0428b819ccc4dccc8b369"/>
  </Part>
  <Part Type="priedas" Nr="2" Abbr="2 pr." Title="PATIKROS LAPAS DĖL VALSTYBĖS PAGALBOS IR DE MINIMIS PAGALBOS BUVIMO AR NEBUVIMO" DocPartId="8ffce25ac9674ad599c9d4f5ee8ceffb" PartId="45d10e7d1e404d07aa861efc5a72296d"/>
  <Part Type="priedas" Nr="3" Abbr="3 pr." Title="PROJEKTŲ ATITIKTIES VALSTYBĖS PAGALBOS TAISYKLĖMS PATIKROS LAPAS" DocPartId="e6f27d553b134707937274ffa4486889" PartId="f2ed523025b14511b160398b9a9f5ae4">
    <Part Type="pabaiga" DocPartId="43d9e2c4d70347fc9acf30589e4c68c3" PartId="8c7a479c3ce845a8a09874887aa8a422"/>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9D8B03-7C3C-4A74-AEC8-391A23683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elements/1.1/"/>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297B20A5-8E69-4711-98DB-4E43F699C967}">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F5EE36FD-5952-4E76-B5C9-6AC331C24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30908</Words>
  <Characters>17618</Characters>
  <Application>Microsoft Office Word</Application>
  <DocSecurity>0</DocSecurity>
  <Lines>146</Lines>
  <Paragraphs>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5060fce8-12d1-4c7f-9ab7-bbe9b16cf874</vt:lpstr>
      <vt:lpstr>acbb58fa-fac5-4105-b9b1-d0f6e2411b3f</vt:lpstr>
    </vt:vector>
  </TitlesOfParts>
  <Company>HP Inc.</Company>
  <LinksUpToDate>false</LinksUpToDate>
  <CharactersWithSpaces>48430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5060fce8-12d1-4c7f-9ab7-bbe9b16cf874</dc:title>
  <dc:creator>Gaidamavičienė Agnė</dc:creator>
  <cp:lastModifiedBy>DRAZDAUSKIENĖ Nijolė</cp:lastModifiedBy>
  <cp:revision>2</cp:revision>
  <dcterms:created xsi:type="dcterms:W3CDTF">2023-04-17T06:16:00Z</dcterms:created>
  <dcterms:modified xsi:type="dcterms:W3CDTF">2023-04-17T06:16:00Z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vt:lpwstr>
  </property>
</Properties>
</file>