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6 pr."/>
        <w:tag w:val="part_75a48196d75f4e9b840830bb2cd3eb5c"/>
        <w:id w:val="-16625004"/>
        <w:lock w:val="sdtLocked"/>
      </w:sdtPr>
      <w:sdtEndPr/>
      <w:sdtContent>
        <w:p w:rsidR="005E73D5" w:rsidRDefault="005E73D5">
          <w:pPr>
            <w:tabs>
              <w:tab w:val="center" w:pos="4819"/>
              <w:tab w:val="right" w:pos="9638"/>
            </w:tabs>
          </w:pPr>
        </w:p>
        <w:p w:rsidR="005E73D5" w:rsidRDefault="007C1895">
          <w:pPr>
            <w:ind w:left="5670"/>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w:t>
          </w:r>
        </w:p>
        <w:p w:rsidR="005E73D5" w:rsidRDefault="007C1895">
          <w:pPr>
            <w:ind w:left="5670"/>
            <w:jc w:val="both"/>
            <w:rPr>
              <w:bCs/>
              <w:szCs w:val="24"/>
            </w:rPr>
          </w:pPr>
          <w:sdt>
            <w:sdtPr>
              <w:alias w:val="Numeris"/>
              <w:tag w:val="nr_75a48196d75f4e9b840830bb2cd3eb5c"/>
              <w:id w:val="-1761442667"/>
              <w:lock w:val="sdtLocked"/>
            </w:sdtPr>
            <w:sdtEndPr/>
            <w:sdtContent>
              <w:r>
                <w:rPr>
                  <w:bCs/>
                  <w:szCs w:val="24"/>
                </w:rPr>
                <w:t>16</w:t>
              </w:r>
            </w:sdtContent>
          </w:sdt>
          <w:r>
            <w:rPr>
              <w:bCs/>
              <w:szCs w:val="24"/>
            </w:rPr>
            <w:t xml:space="preserve"> priedas</w:t>
          </w:r>
        </w:p>
        <w:p w:rsidR="005E73D5" w:rsidRDefault="005E73D5"/>
        <w:p w:rsidR="005E73D5" w:rsidRDefault="007C1895">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Pr>
                  <w:rFonts w:eastAsia="SimSun"/>
                  <w:b/>
                  <w:caps/>
                  <w:szCs w:val="24"/>
                </w:rPr>
                <w:t>2022–2030 m. plėtros programos valdytojos Lietuvos Respublikos švietimo, mokslo ir sporto ministerijos mokslo plėtros programos pažangos priemonės Nr. 12-001-01-02-01 „Stiprinti inovacijų ekosistemas mo</w:t>
              </w:r>
              <w:r>
                <w:rPr>
                  <w:rFonts w:eastAsia="SimSun"/>
                  <w:b/>
                  <w:caps/>
                  <w:szCs w:val="24"/>
                </w:rPr>
                <w:t>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Pr>
                      <w:rFonts w:eastAsia="SimSun"/>
                      <w:b/>
                      <w:caps/>
                      <w:szCs w:val="24"/>
                      <w:lang w:eastAsia="lt-LT"/>
                    </w:rPr>
                    <w:t>I</w:t>
                  </w:r>
                </w:sdtContent>
              </w:sdt>
              <w:r>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r>
                      <w:rPr>
                        <w:i/>
                        <w:lang w:eastAsia="lt-LT"/>
                      </w:rPr>
                      <w:t xml:space="preserve">Performance, monitoring and evaluation of the European Regional Development Fund, the Cohesion </w:t>
                    </w:r>
                    <w:r>
                      <w:rPr>
                        <w:i/>
                        <w:lang w:eastAsia="lt-LT"/>
                      </w:rPr>
                      <w:t>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 xml:space="preserve">Patentų paraiškų, pateiktų ir patvirtintų („pateikimas“) vykdant remiamus projektus, skaičius. Galutinis paraiškos patenkinimas nėra būtinas. </w:t>
                    </w:r>
                    <w:r>
                      <w:rPr>
                        <w:lang w:eastAsia="lt-LT"/>
                      </w:rPr>
                      <w:t>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 xml:space="preserve">Stebėsenos rodiklio </w:t>
                    </w:r>
                    <w:r>
                      <w:rPr>
                        <w:rFonts w:eastAsia="Calibri"/>
                        <w:bCs/>
                        <w:szCs w:val="24"/>
                        <w:lang w:eastAsia="lt-LT"/>
                      </w:rPr>
                      <w:t>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Pirminis duomenų šaltinis: patentų biuro dokumentas, </w:t>
                    </w:r>
                    <w:r>
                      <w:rPr>
                        <w:rFonts w:eastAsia="Calibri"/>
                        <w:bCs/>
                        <w:iCs/>
                        <w:szCs w:val="24"/>
                        <w:lang w:eastAsia="lt-LT"/>
                      </w:rPr>
                      <w:t>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Už stebėsenos ro</w:t>
                    </w:r>
                    <w:r>
                      <w:t xml:space="preserve">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w:t>
                    </w:r>
                    <w:r>
                      <w:rPr>
                        <w:lang w:eastAsia="lt-LT"/>
                      </w:rPr>
                      <w:t xml:space="preserv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w:t>
                    </w:r>
                    <w:r>
                      <w:rPr>
                        <w:szCs w:val="24"/>
                        <w:lang w:eastAsia="en-GB"/>
                      </w:rPr>
                      <w:t xml:space="preserve">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 xml:space="preserve">2021–2027 metų Europos Sąjungos fondų investicijų programos (toliau – 2021–2027 m. IP) </w:t>
                    </w:r>
                    <w:r>
                      <w:rPr>
                        <w:bCs/>
                        <w:iCs/>
                        <w:szCs w:val="24"/>
                        <w:lang w:eastAsia="lt-LT"/>
                      </w:rPr>
                      <w:t>rodiklio kodas R.B.2.2006.</w:t>
                    </w:r>
                  </w:p>
                </w:tc>
              </w:tr>
            </w:tbl>
            <w:p w:rsidR="005E73D5" w:rsidRDefault="005E73D5"/>
            <w:p w:rsidR="005E73D5" w:rsidRDefault="007C1895">
              <w:pPr>
                <w:rPr>
                  <w:sz w:val="4"/>
                  <w:szCs w:val="4"/>
                  <w:lang w:eastAsia="lt-LT"/>
                </w:rPr>
              </w:pPr>
            </w:p>
          </w:sdtContent>
        </w:sdt>
        <w:sdt>
          <w:sdtPr>
            <w:alias w:val="skyrius"/>
            <w:tag w:val="part_b66560d3ba6b450eb5e6f149ffb174cc"/>
            <w:id w:val="1263732013"/>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Pr>
                      <w:rFonts w:eastAsia="SimSun"/>
                      <w:b/>
                      <w:caps/>
                      <w:szCs w:val="24"/>
                      <w:lang w:eastAsia="lt-LT"/>
                    </w:rPr>
                    <w:t>II</w:t>
                  </w:r>
                </w:sdtContent>
              </w:sdt>
              <w:r>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matavimo </w:t>
                    </w:r>
                    <w:r>
                      <w:rPr>
                        <w:szCs w:val="24"/>
                        <w:lang w:eastAsia="lt-LT"/>
                      </w:rPr>
                      <w:t>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 xml:space="preserve">Europos </w:t>
                    </w:r>
                    <w:r>
                      <w:rPr>
                        <w:rFonts w:eastAsia="Calibri"/>
                        <w:bCs/>
                        <w:szCs w:val="24"/>
                        <w:lang w:eastAsia="lt-LT"/>
                      </w:rPr>
                      <w:t>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r>
                      <w:rPr>
                        <w:i/>
                        <w:iCs/>
                      </w:rPr>
                      <w:t>final</w:t>
                    </w:r>
                    <w:r>
                      <w:t>) Europos Komisijos metodiniame dokumente dėl Europos</w:t>
                    </w:r>
                    <w:r>
                      <w:t xml:space="preserve"> regioninės plėtros fondo, Sanglaudos fondo, Teisingos pertvarkos fondo (</w:t>
                    </w:r>
                    <w:r>
                      <w:rPr>
                        <w:i/>
                      </w:rPr>
                      <w:t>Performance, monitoring and evaluation of the European Regional Development Fund, the Cohesion Fund and the Just Transition Fund in 2021–2027</w:t>
                    </w:r>
                    <w:r>
                      <w:t>), patvirtintame 2021 m. liepos 8 d. Nr. S</w:t>
                    </w:r>
                    <w:r>
                      <w:t xml:space="preserve">WD (2021) 198 </w:t>
                    </w:r>
                    <w:r>
                      <w:rPr>
                        <w:i/>
                        <w:iCs/>
                      </w:rPr>
                      <w:t>final</w:t>
                    </w:r>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 xml:space="preserve">ir 1-a ataskaita po </w:t>
                    </w:r>
                    <w:r>
                      <w:t>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Už stebėsenos rodiklio reikšmės pasiekimą projekto vykdytojas atsiskaito projekto įgyvendinimo metu ir projekto pabaigoje, teikdamas veiklų ataskaitas, arba su pirm</w:t>
                    </w:r>
                    <w:r>
                      <w:t xml:space="preserve">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bet ne vėliau kaip 1 metai nuo fin</w:t>
                    </w:r>
                    <w:r>
                      <w:t xml:space="preserve">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7C1895"/>
          </w:sdtContent>
        </w:sdt>
        <w:sdt>
          <w:sdtPr>
            <w:alias w:val="skyrius"/>
            <w:tag w:val="part_19b06fcde32e479d87a45d07b1874d43"/>
            <w:id w:val="1282541953"/>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Pr>
                      <w:rFonts w:eastAsia="SimSun"/>
                      <w:b/>
                      <w:caps/>
                      <w:szCs w:val="24"/>
                      <w:lang w:eastAsia="lt-LT"/>
                    </w:rPr>
                    <w:t>III</w:t>
                  </w:r>
                </w:sdtContent>
              </w:sdt>
              <w:r>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Mokslinių tyrimų ir </w:t>
                    </w:r>
                    <w:r>
                      <w:rPr>
                        <w:szCs w:val="24"/>
                      </w:rPr>
                      <w:t>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Rezultato rodiklis </w:t>
                    </w:r>
                    <w:r>
                      <w:rPr>
                        <w:lang w:eastAsia="lt-LT"/>
                      </w:rPr>
                      <w:t>(specialusis)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 xml:space="preserve">Produktas – moksliniais tyrimais ir praktine patirtimi sukauptu </w:t>
                    </w:r>
                    <w:r>
                      <w:rPr>
                        <w:szCs w:val="24"/>
                      </w:rPr>
                      <w:t>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Moksliniai tyrimai ir eksperimentinė plėtra (toliau – MTEP) – sisteming</w:t>
                    </w:r>
                    <w:r>
                      <w:rPr>
                        <w:szCs w:val="24"/>
                      </w:rPr>
                      <w:t xml:space="preserve">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 xml:space="preserve">Pirminiai duomenų šaltiniai: </w:t>
                    </w:r>
                    <w:r>
                      <w:rPr>
                        <w:szCs w:val="24"/>
                      </w:rPr>
                      <w:t>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w:t>
                    </w:r>
                    <w:r>
                      <w:rPr>
                        <w:szCs w:val="24"/>
                      </w:rPr>
                      <w:t>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 xml:space="preserve">5. prekės </w:t>
                    </w:r>
                    <w:r>
                      <w:rPr>
                        <w:szCs w:val="24"/>
                      </w:rPr>
                      <w:t>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 xml:space="preserve">7. kitas MTEP veiklos produktas (moksliniais tyrimais ir praktine patirtimi sukauptu pažinimu </w:t>
                    </w:r>
                    <w:r>
                      <w:rPr>
                        <w:szCs w:val="24"/>
                      </w:rPr>
                      <w:t>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w:t>
                    </w:r>
                    <w:r>
                      <w:rPr>
                        <w:szCs w:val="24"/>
                        <w:lang w:eastAsia="lt-LT"/>
                      </w:rPr>
                      <w:t xml:space="preserve">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w:t>
                    </w:r>
                    <w:r>
                      <w:rPr>
                        <w:lang w:eastAsia="lt-LT"/>
                      </w:rPr>
                      <w: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stebėsenos rodik</w:t>
                    </w:r>
                    <w:r>
                      <w:rPr>
                        <w:szCs w:val="24"/>
                      </w:rPr>
                      <w:t xml:space="preserve">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7C1895"/>
          </w:sdtContent>
        </w:sdt>
        <w:sdt>
          <w:sdtPr>
            <w:alias w:val="skyrius"/>
            <w:tag w:val="part_a1fbdab46fc84605bb6b0c86b9f0a3ed"/>
            <w:id w:val="-172034921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 xml:space="preserve">Stebėsenos </w:t>
                  </w:r>
                  <w:r>
                    <w:rPr>
                      <w:rFonts w:eastAsia="SimSun"/>
                      <w:b/>
                      <w:caps/>
                      <w:szCs w:val="24"/>
                      <w:lang w:eastAsia="lt-LT"/>
                    </w:rPr>
                    <w:t>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w:t>
                    </w:r>
                    <w:r>
                      <w:rPr>
                        <w:szCs w:val="24"/>
                        <w:lang w:eastAsia="lt-LT"/>
                      </w:rPr>
                      <w:t xml:space="preserve">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w:t>
                    </w:r>
                    <w:r>
                      <w:rPr>
                        <w:szCs w:val="24"/>
                        <w:lang w:eastAsia="lt-LT"/>
                      </w:rPr>
                      <w: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w:t>
                    </w:r>
                    <w:r>
                      <w:t>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Įvertinus tai, kad projekto vykdytojai teiks jau apskaičiuotą rodiklį, rodiklis vertinamas ne 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 xml:space="preserve">Rodiklio reikšmė skirtingose veiklose apskaičiuojama atsižvelgiant į </w:t>
                    </w:r>
                    <w:r>
                      <w:rPr>
                        <w:szCs w:val="24"/>
                      </w:rPr>
                      <w:t>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w:t>
                    </w:r>
                    <w:r>
                      <w:rPr>
                        <w:szCs w:val="24"/>
                      </w:rPr>
                      <w:t>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 xml:space="preserve">Antrinis duomenų šaltinis: galutinė veiklos ataskaita; ataskaita po projekto finansavimo pabaigos (tik jeigu rodiklis bus pasiektas po projekto pabaigos ne vėliau nei praėjus vieniems </w:t>
                    </w:r>
                    <w:r>
                      <w:rPr>
                        <w:bCs/>
                        <w:spacing w:val="2"/>
                        <w:szCs w:val="24"/>
                        <w:shd w:val="clear" w:color="auto" w:fill="FFFFFF"/>
                      </w:rPr>
                      <w:t>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w:t>
                    </w:r>
                    <w:r>
                      <w:rPr>
                        <w:bCs/>
                        <w:szCs w:val="24"/>
                        <w:lang w:eastAsia="lt-LT"/>
                      </w:rPr>
                      <w:t>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 xml:space="preserve">projekto vykdytojas pateikia prie pirminių šaltinių nurodytus </w:t>
                    </w:r>
                    <w:r>
                      <w:rPr>
                        <w:szCs w:val="24"/>
                      </w:rPr>
                      <w:t>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 xml:space="preserve">Tarptautinių investicijų koordinavimo </w:t>
                    </w:r>
                    <w:r>
                      <w:rPr>
                        <w:szCs w:val="24"/>
                        <w:lang w:eastAsia="en-GB"/>
                      </w:rPr>
                      <w:t>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w:t>
                    </w:r>
                    <w:r>
                      <w:rPr>
                        <w:szCs w:val="24"/>
                        <w:lang w:eastAsia="lt-LT"/>
                      </w:rPr>
                      <w:t>skaičiavimo, vertinama, kad 2021–2027 m. IP programoje pagal tą patį konkretų uždavinį dalyvauja tik ta pati viena įmonė, neatsižvelgiant į tai, kiek paramos rūšių (pvz., dotacijų; finansinių 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w:t>
                    </w:r>
                    <w:r>
                      <w:rPr>
                        <w:szCs w:val="24"/>
                      </w:rPr>
                      <w:t>tebėsenos rodiklio aprašymo kortelė parengta vadovaujantis suderinta rodiklio aprašymo kortele, paskelbta viešosios įstaigos Centrinės projektų valdymo agentūros interneto svetainėje (prieiga per internetą: https://cpva.lt/dokumentai?_sft_dokumentu-kategor</w:t>
                    </w:r>
                    <w:r>
                      <w:rPr>
                        <w:szCs w:val="24"/>
                      </w:rPr>
                      <w:t>ija=metodine-pagalba&amp;_sfm_programa=2335).</w:t>
                    </w:r>
                  </w:p>
                </w:tc>
              </w:tr>
            </w:tbl>
            <w:p w:rsidR="005E73D5" w:rsidRDefault="007C1895"/>
          </w:sdtContent>
        </w:sdt>
        <w:sdt>
          <w:sdtPr>
            <w:alias w:val="skyrius"/>
            <w:tag w:val="part_e17fe1e8888641f79f65669eb4ec02bf"/>
            <w:id w:val="-1103037532"/>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Pr>
                      <w:rFonts w:eastAsia="SimSun"/>
                      <w:b/>
                      <w:caps/>
                      <w:szCs w:val="24"/>
                      <w:lang w:eastAsia="lt-LT"/>
                    </w:rPr>
                    <w:t>V</w:t>
                  </w:r>
                </w:sdtContent>
              </w:sdt>
              <w:r>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 xml:space="preserve">Kodai, pavadinimai ir </w:t>
                    </w:r>
                    <w:r>
                      <w:rPr>
                        <w:b/>
                        <w:bCs/>
                        <w:szCs w:val="24"/>
                        <w:lang w:eastAsia="lt-LT"/>
                      </w:rPr>
                      <w:t>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w:t>
                    </w:r>
                    <w:r>
                      <w:rPr>
                        <w:szCs w:val="24"/>
                        <w:lang w:eastAsia="en-GB"/>
                      </w:rPr>
                      <w:t>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w:t>
                    </w:r>
                    <w:r>
                      <w:rPr>
                        <w:szCs w:val="24"/>
                        <w:lang w:eastAsia="en-GB"/>
                      </w:rPr>
                      <w:t>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ir eksperimentinės plėtros etapų klasifikacijos apraše, patvirtintame Lietuvos </w:t>
                    </w:r>
                    <w:r>
                      <w:rPr>
                        <w:szCs w:val="24"/>
                        <w:lang w:eastAsia="en-GB"/>
                      </w:rPr>
                      <w:t>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w:t>
                    </w:r>
                    <w:r>
                      <w:rPr>
                        <w:szCs w:val="24"/>
                        <w:lang w:eastAsia="en-GB"/>
                      </w:rPr>
                      <w:t>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Skaičiuojant rodiklį neįtraukiami užsakymai, gauti iš kitų mokslo ir studijų institucijų, išskyrus atvejus, kai iš mokslo ir studijų institucijų gautiems užsakymam</w:t>
                    </w:r>
                    <w:r>
                      <w:rPr>
                        <w:rFonts w:eastAsia="Calibri"/>
                        <w:bCs/>
                        <w:iCs/>
                        <w:lang w:eastAsia="lt-LT"/>
                      </w:rPr>
                      <w:t>s pateikiami tolimesnio MTEP užsakymo komercinimo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 xml:space="preserve">Sumuojami investicijas gavusių mokslo ir studijų </w:t>
                    </w:r>
                    <w:r>
                      <w:rPr>
                        <w:szCs w:val="24"/>
                        <w:lang w:eastAsia="en-GB"/>
                      </w:rPr>
                      <w:t>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w:t>
                    </w:r>
                    <w:r>
                      <w:rPr>
                        <w:szCs w:val="24"/>
                        <w:lang w:eastAsia="en-GB"/>
                      </w:rPr>
                      <w:t>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reikšmės </w:t>
                    </w:r>
                    <w:r>
                      <w:rPr>
                        <w:szCs w:val="24"/>
                        <w:lang w:eastAsia="lt-LT"/>
                      </w:rPr>
                      <w:t>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w:t>
                    </w:r>
                    <w:r>
                      <w:rPr>
                        <w:szCs w:val="24"/>
                        <w:lang w:eastAsia="en-GB"/>
                      </w:rPr>
                      <w:t>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w:t>
                    </w:r>
                    <w:r>
                      <w:rPr>
                        <w:szCs w:val="24"/>
                        <w:lang w:eastAsia="en-GB"/>
                      </w:rPr>
                      <w:t>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 xml:space="preserve">Tarptautinių </w:t>
                    </w:r>
                    <w:r>
                      <w:rPr>
                        <w:szCs w:val="24"/>
                        <w:lang w:eastAsia="en-GB"/>
                      </w:rPr>
                      <w:t>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7C1895">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Pr>
                      <w:rFonts w:eastAsia="SimSun"/>
                      <w:b/>
                      <w:caps/>
                      <w:szCs w:val="24"/>
                      <w:lang w:eastAsia="lt-LT"/>
                    </w:rPr>
                    <w:t>VI</w:t>
                  </w:r>
                </w:sdtContent>
              </w:sdt>
              <w:r>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 xml:space="preserve">Kodai, pavadinimai ir </w:t>
                    </w:r>
                    <w:r>
                      <w:rPr>
                        <w:b/>
                        <w:bCs/>
                        <w:szCs w:val="24"/>
                        <w:lang w:eastAsia="lt-LT"/>
                      </w:rPr>
                      <w:t>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w:t>
                    </w:r>
                    <w:r>
                      <w:rPr>
                        <w:szCs w:val="24"/>
                        <w:lang w:eastAsia="lt-LT"/>
                      </w:rPr>
                      <w:t xml:space="preserve">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 xml:space="preserve">sąvokų </w:t>
                    </w:r>
                    <w:r>
                      <w:rPr>
                        <w:rFonts w:eastAsia="Calibri"/>
                        <w:bCs/>
                        <w:szCs w:val="24"/>
                        <w:lang w:eastAsia="lt-LT"/>
                      </w:rPr>
                      <w:t>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w:t>
                    </w:r>
                    <w:r>
                      <w:rPr>
                        <w:iCs/>
                        <w:szCs w:val="24"/>
                        <w:lang w:eastAsia="lt-LT"/>
                      </w:rPr>
                      <w:t>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Mokslininkų, kurie tiesiogiai pagal savo veiklos kryptį naudoja viešąją arba privačią mokslinių tyri</w:t>
                    </w:r>
                    <w:r>
                      <w:rPr>
                        <w:iCs/>
                        <w:szCs w:val="24"/>
                        <w:lang w:eastAsia="lt-LT"/>
                      </w:rPr>
                      <w:t xml:space="preserve">mų infrastruktūrą ar įrangą, kuriai skirta pagal priemonę taikomų priemonių parama. Rodiklis vertinamas metiniais etato ekvivalentais, apskaičiuotais pagal </w:t>
                    </w:r>
                    <w:r>
                      <w:rPr>
                        <w:szCs w:val="24"/>
                      </w:rPr>
                      <w:t>Frascati</w:t>
                    </w:r>
                    <w:r>
                      <w:rPr>
                        <w:i/>
                        <w:iCs/>
                        <w:szCs w:val="24"/>
                      </w:rPr>
                      <w:t> </w:t>
                    </w:r>
                    <w:r>
                      <w:rPr>
                        <w:szCs w:val="24"/>
                      </w:rPr>
                      <w:t>vadove 2015 (Mokslinių tyrimų ir eksperimentinės plėtros duomenų rinkimo bei teikimo rekome</w:t>
                    </w:r>
                    <w:r>
                      <w:rPr>
                        <w:szCs w:val="24"/>
                      </w:rPr>
                      <w:t>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Frascati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w:t>
                    </w:r>
                    <w:r>
                      <w:rPr>
                        <w:iCs/>
                        <w:szCs w:val="24"/>
                        <w:lang w:eastAsia="lt-LT"/>
                      </w:rPr>
                      <w:t>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w:t>
                    </w:r>
                    <w:r>
                      <w:rPr>
                        <w:iCs/>
                        <w:szCs w:val="24"/>
                        <w:lang w:eastAsia="lt-LT"/>
                      </w:rPr>
                      <w:t>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Mokslinių tyrimų ir plėtros darbuotojų metinis etato ekvivalentas nustatomas kaip mokslinių tyrimų ir plėtros srityje faktiškai dirbtų </w:t>
                    </w:r>
                    <w:r>
                      <w:rPr>
                        <w:iCs/>
                        <w:szCs w:val="24"/>
                        <w:lang w:eastAsia="lt-LT"/>
                      </w:rPr>
                      <w:t>valandų skaičius kalendoriniais metais, padalintas iš viso tuo pačiu laikotarpiu vieno asmens arba grupės įprastai dirbtų valandų skaičiaus. Vienam asmeniui kas pusmetį paprastai negali tekti daugiau kaip vienas mokslinių tyrimų ir plėtros etato ekvivalent</w:t>
                    </w:r>
                    <w:r>
                      <w:rPr>
                        <w:iCs/>
                        <w:szCs w:val="24"/>
                        <w:lang w:eastAsia="lt-LT"/>
                      </w:rPr>
                      <w:t>as. Įprastai dirbtų valandų skaičius nustatomas remiantis norminiu ir (arba) teisės aktų nustatytu darbo valandų skaičiumi. Visu etatu dirbantis asmuo nustatomas atsižvelgiant į jo užimtumo statusą, sutarties rūšį (darbas visą ar ne visą darbo dieną) ir da</w:t>
                    </w:r>
                    <w:r>
                      <w:rPr>
                        <w:iCs/>
                        <w:szCs w:val="24"/>
                        <w:lang w:eastAsia="lt-LT"/>
                      </w:rPr>
                      <w:t>lyvavimo mokslinių tyrimų ir plėtros veikloje lygmenį (žr. Frascati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w:t>
                    </w:r>
                    <w:r>
                      <w:rPr>
                        <w:lang w:eastAsia="lt-LT"/>
                      </w:rPr>
                      <w:t xml:space="preserve">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7C1895"/>
          </w:sdtContent>
        </w:sdt>
        <w:sdt>
          <w:sdtPr>
            <w:alias w:val="skyrius"/>
            <w:tag w:val="part_fc7430e1c6bc40b69af68fa7f06475d9"/>
            <w:id w:val="-156394168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Pr>
                      <w:rFonts w:eastAsia="SimSun"/>
                      <w:b/>
                      <w:caps/>
                      <w:szCs w:val="24"/>
                      <w:lang w:eastAsia="lt-LT"/>
                    </w:rPr>
                    <w:t>VII</w:t>
                  </w:r>
                </w:sdtContent>
              </w:sdt>
              <w:r>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w:t>
                  </w:r>
                  <w:r>
                    <w:rPr>
                      <w:rFonts w:eastAsia="SimSun"/>
                      <w:b/>
                      <w:caps/>
                      <w:szCs w:val="24"/>
                      <w:lang w:eastAsia="lt-LT"/>
                    </w:rPr>
                    <w:t>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w:t>
                    </w:r>
                    <w:r>
                      <w:rPr>
                        <w:szCs w:val="24"/>
                        <w:lang w:eastAsia="lt-LT"/>
                      </w:rPr>
                      <w:t>ente (ES) 2021/2106, kuriuo nustatomi ekonomikos gaivinimo ir atsparumo didinimo rezultatų suvestinės bendri rodikliai, išsamiai apibrėžiami jos elementai ir taip papildomas Europos Parlamento ir Tarybos reglamentas (ES) 2021/241, kuriuo nustatoma ekonomik</w:t>
                    </w:r>
                    <w:r>
                      <w:rPr>
                        <w:szCs w:val="24"/>
                        <w:lang w:eastAsia="lt-LT"/>
                      </w:rPr>
                      <w:t>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w:t>
                    </w:r>
                    <w:r>
                      <w:rPr>
                        <w:szCs w:val="24"/>
                        <w:lang w:eastAsia="lt-LT"/>
                      </w:rPr>
                      <w:t xml:space="preserve">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Vertinant ar nustatant įmonių </w:t>
                    </w:r>
                    <w:r>
                      <w:rPr>
                        <w:iCs/>
                        <w:szCs w:val="24"/>
                        <w:lang w:eastAsia="lt-LT"/>
                      </w:rPr>
                      <w:t>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Didelė įmonė – įmonė, kuri atskirai ar kartu su savo partnerinėmis įmonėmis ir susijusiomis įmonėmis atitinka bent vieną iš šių sąlygų: joje (jose) dirba ne mažiau kaip 250 darbuotojų; </w:t>
                    </w:r>
                    <w:r>
                      <w:rPr>
                        <w:iCs/>
                        <w:szCs w:val="24"/>
                        <w:lang w:eastAsia="lt-LT"/>
                      </w:rPr>
                      <w:t>jos (jų) balanse nurodyto turto vertė yra ne mažesnė kaip 43 000 000 Eur (keturiasdešimt trys milijonai eurų, 00 ct) ir metinės pajamos yra ne mažesnės kaip 50 000 000 Eur (penkiasdešimt milijonų eurų); arba įmonė, kurios kapitale Smulkiojo ir vidutinio ve</w:t>
                    </w:r>
                    <w:r>
                      <w:rPr>
                        <w:iCs/>
                        <w:szCs w:val="24"/>
                        <w:lang w:eastAsia="lt-LT"/>
                      </w:rPr>
                      <w:t>rslo plėtros įstatymo nustatytais dydžiais ir tvarka dalyvauja valstybė ir (arba) savivaldybė. Partnerinės įmonės, susijusios įmonės suprantamos, valstybės ir (arba) savivaldybės dalyvavimo įmonės kapitale dydis ir įmonių rodikliai (darbuotojų skaičius, ba</w:t>
                    </w:r>
                    <w:r>
                      <w:rPr>
                        <w:iCs/>
                        <w:szCs w:val="24"/>
                        <w:lang w:eastAsia="lt-LT"/>
                      </w:rPr>
                      <w:t>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Dotacijų atveju paramą gaunančios įmonės dydis nustatomas projektų įgyvendinimo plano (toliau – PĮP) vertinimo metu pagal PĮP pa</w:t>
                    </w:r>
                    <w:r>
                      <w:rPr>
                        <w:iCs/>
                        <w:szCs w:val="24"/>
                        <w:lang w:eastAsia="lt-LT"/>
                      </w:rPr>
                      <w:t xml:space="preserve">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w:t>
                    </w:r>
                    <w:r>
                      <w:rPr>
                        <w:iCs/>
                        <w:szCs w:val="24"/>
                        <w:lang w:eastAsia="lt-LT"/>
                      </w:rPr>
                      <w:t>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w:t>
                    </w:r>
                    <w:r>
                      <w:rPr>
                        <w:szCs w:val="24"/>
                      </w:rPr>
                      <w:t xml:space="preserve">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t>galutinė</w:t>
                    </w:r>
                    <w:r>
                      <w:t xml:space="preserve"> veiklos ataskaita. </w:t>
                    </w:r>
                  </w:p>
                  <w:p w:rsidR="005E73D5" w:rsidRDefault="005E73D5">
                    <w:pPr>
                      <w:jc w:val="both"/>
                    </w:pPr>
                  </w:p>
                  <w:p w:rsidR="005E73D5" w:rsidRDefault="007C1895">
                    <w:pPr>
                      <w:jc w:val="both"/>
                      <w:rPr>
                        <w:szCs w:val="24"/>
                        <w:lang w:eastAsia="lt-LT"/>
                      </w:rPr>
                    </w:pPr>
                    <w:r>
                      <w:rPr>
                        <w:szCs w:val="24"/>
                        <w:lang w:eastAsia="lt-LT"/>
                      </w:rPr>
                      <w:t xml:space="preserve">Nefinansinės paramos atveju: pirminiai duomenų šaltiniai: konsultacijas, mokymus keistis žiniomis ir patirtimi gavusių įmonių ir (ar) verslininkų sąrašai ar kiti dokumentai, kuriais patvirtinama, kad įmonė ir (ar) verslininkas </w:t>
                    </w:r>
                    <w:r>
                      <w:rPr>
                        <w:szCs w:val="24"/>
                        <w:lang w:eastAsia="lt-LT"/>
                      </w:rPr>
                      <w:t>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 xml:space="preserve">projekto veiklų </w:t>
                    </w:r>
                    <w:r>
                      <w:t>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w:t>
                    </w:r>
                    <w:r>
                      <w:rPr>
                        <w:bCs/>
                        <w:szCs w:val="24"/>
                        <w:lang w:eastAsia="lt-LT"/>
                      </w:rPr>
                      <w:t>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 xml:space="preserve">Nefinansinės paramos atveju rodiklis laikomas pasiektu, kada įmonė pirmą kartą gauna nefinansinę paramą (pirmą kartą vykdomos </w:t>
                    </w:r>
                    <w:r>
                      <w:rPr>
                        <w:bCs/>
                        <w:szCs w:val="24"/>
                        <w:lang w:eastAsia="lt-LT"/>
                      </w:rPr>
                      <w:t>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 xml:space="preserve">Studijų, mokslo ir </w:t>
                    </w:r>
                    <w:r>
                      <w:rPr>
                        <w:rFonts w:eastAsia="Calibri"/>
                        <w:bCs/>
                        <w:iCs/>
                        <w:szCs w:val="24"/>
                        <w:lang w:eastAsia="lt-LT"/>
                      </w:rPr>
                      <w:t>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NKL plano rodiklio kodas R.B.1.2009. Rodiklis skaidomas į parodiklius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 xml:space="preserve">Stebėsenos </w:t>
                    </w:r>
                    <w:r>
                      <w:rPr>
                        <w:szCs w:val="24"/>
                      </w:rPr>
                      <w:t>rodiklio aprašymo kortelė parengta vadovaujantis suderinta rodiklio aprašymo kortele, paskelbta viešosios įstaigos Centrinės projektų valdymo agentūros interneto svetainėje (prieiga per internetą (https://cpva.lt/dokumentai?_sft_dokumentu-kategorija=metodi</w:t>
                    </w:r>
                    <w:r>
                      <w:rPr>
                        <w:szCs w:val="24"/>
                      </w:rPr>
                      <w:t>ne-pagalba&amp;_sfm_programa=2333).</w:t>
                    </w:r>
                  </w:p>
                </w:tc>
              </w:tr>
            </w:tbl>
            <w:p w:rsidR="005E73D5" w:rsidRDefault="007C1895"/>
          </w:sdtContent>
        </w:sdt>
        <w:sdt>
          <w:sdtPr>
            <w:alias w:val="skyrius"/>
            <w:tag w:val="part_f7b853e1787549d9925ff62b15fcc0ea"/>
            <w:id w:val="982128257"/>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Pr>
                      <w:rFonts w:eastAsia="SimSun"/>
                      <w:b/>
                      <w:caps/>
                      <w:szCs w:val="24"/>
                      <w:lang w:eastAsia="lt-LT"/>
                    </w:rPr>
                    <w:t>VIII</w:t>
                  </w:r>
                </w:sdtContent>
              </w:sdt>
              <w:r>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w:t>
                    </w:r>
                    <w:r>
                      <w:rPr>
                        <w:bCs/>
                        <w:iCs/>
                        <w:szCs w:val="24"/>
                        <w:lang w:eastAsia="lt-LT"/>
                      </w:rPr>
                      <w:t xml:space="preserve">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w:t>
                    </w:r>
                    <w:r>
                      <w:rPr>
                        <w:szCs w:val="24"/>
                        <w:lang w:eastAsia="lt-LT"/>
                      </w:rPr>
                      <w:t xml:space="preserve">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w:t>
                    </w:r>
                    <w:r>
                      <w:rPr>
                        <w:szCs w:val="24"/>
                        <w:lang w:eastAsia="lt-LT"/>
                      </w:rPr>
                      <w:t>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w:t>
                    </w:r>
                    <w:r>
                      <w:rPr>
                        <w:lang w:eastAsia="lt-LT"/>
                      </w:rPr>
                      <w:t xml:space="preserve">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w:t>
                    </w:r>
                    <w:r>
                      <w:rPr>
                        <w:lang w:eastAsia="en-IE"/>
                      </w:rPr>
                      <w:t>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Jei PĮP vertinimo metu iki sutarties pasirašymo paaiškėja informacij</w:t>
                    </w:r>
                    <w:r>
                      <w:rPr>
                        <w:lang w:eastAsia="en-IE"/>
                      </w:rPr>
                      <w:t xml:space="preserve">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w:t>
                    </w:r>
                    <w:r>
                      <w:rPr>
                        <w:lang w:eastAsia="en-IE"/>
                      </w:rPr>
                      <w:t>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 xml:space="preserve">Pagal dvi skirtingas paramos rūšis remiama įmonė turi būti skaičiuojama du kartus – po kartą </w:t>
                    </w:r>
                    <w:r>
                      <w:rPr>
                        <w:szCs w:val="24"/>
                        <w:lang w:eastAsia="lt-LT"/>
                      </w:rPr>
                      <w:t>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w:t>
                    </w:r>
                    <w:r>
                      <w:rPr>
                        <w:lang w:eastAsia="lt-LT"/>
                      </w:rPr>
                      <w:t>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rodiklio pasiekimą </w:t>
                    </w:r>
                    <w:r>
                      <w:rPr>
                        <w:lang w:eastAsia="lt-LT"/>
                      </w:rPr>
                      <w:t>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w:t>
                    </w:r>
                    <w:r>
                      <w:rPr>
                        <w:bCs/>
                      </w:rPr>
                      <w:t>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Nefinansinės paramos atveju </w:t>
                    </w:r>
                    <w:r>
                      <w:rPr>
                        <w:lang w:eastAsia="lt-LT"/>
                      </w:rPr>
                      <w:t>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w:t>
                    </w:r>
                    <w:r>
                      <w:rPr>
                        <w:bCs/>
                        <w:iCs/>
                        <w:szCs w:val="24"/>
                      </w:rPr>
                      <w:t>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w:t>
                    </w:r>
                    <w:r>
                      <w:t>ūros interneto svetainėje (prieiga per internetą (https://cpva.lt/dokumentai?_sft_dokumentu-kategorija=metodine-pagalba&amp;_sfm_programa=2333).</w:t>
                    </w:r>
                  </w:p>
                </w:tc>
              </w:tr>
            </w:tbl>
            <w:p w:rsidR="005E73D5" w:rsidRDefault="007C1895"/>
          </w:sdtContent>
        </w:sdt>
        <w:sdt>
          <w:sdtPr>
            <w:alias w:val="skyrius"/>
            <w:tag w:val="part_d4201dacc69d4122a5069b9316b1ab5e"/>
            <w:id w:val="-1233769155"/>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Pr>
                      <w:rFonts w:eastAsia="SimSun"/>
                      <w:b/>
                      <w:caps/>
                      <w:szCs w:val="24"/>
                      <w:lang w:eastAsia="lt-LT"/>
                    </w:rPr>
                    <w:t>IX</w:t>
                  </w:r>
                </w:sdtContent>
              </w:sdt>
              <w:r>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w:t>
                    </w:r>
                    <w:r>
                      <w:rPr>
                        <w:szCs w:val="24"/>
                        <w:lang w:eastAsia="lt-LT"/>
                      </w:rPr>
                      <w:t>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w:t>
                    </w:r>
                    <w:r>
                      <w:rPr>
                        <w:szCs w:val="24"/>
                        <w:lang w:eastAsia="lt-LT"/>
                      </w:rPr>
                      <w:t xml:space="preserve">deleguotame reglamente (ES) 2021/2106, kuriuo nustatomi ekonomikos gaivinimo ir atsparumo didinimo rezultatų suvestinės bendri rodikliai, išsamiai apibrėžiami jos elementai ir taip papildomas Europos Parlamento ir Tarybos reglamentas (ES) 2021/241, kuriuo </w:t>
                    </w:r>
                    <w:r>
                      <w:rPr>
                        <w:szCs w:val="24"/>
                        <w:lang w:eastAsia="lt-LT"/>
                      </w:rPr>
                      <w:t>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Įmonė – ekonominę veiklą vykdantis juridinis asmuo (šaltinis: Smulkiojo ir vidutinio</w:t>
                    </w:r>
                    <w:r>
                      <w:rPr>
                        <w:lang w:eastAsia="lt-LT"/>
                      </w:rPr>
                      <w:t xml:space="preserve">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Vertinant </w:t>
                    </w:r>
                    <w:r>
                      <w:rPr>
                        <w:iCs/>
                        <w:szCs w:val="24"/>
                        <w:lang w:eastAsia="lt-LT"/>
                      </w:rPr>
                      <w:t>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Jei PĮP vertinimo metu iki sutarties p</w:t>
                    </w:r>
                    <w:r>
                      <w:rPr>
                        <w:iCs/>
                        <w:szCs w:val="24"/>
                        <w:lang w:eastAsia="lt-LT"/>
                      </w:rPr>
                      <w:t xml:space="preserve">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w:t>
                    </w:r>
                    <w:r>
                      <w:rPr>
                        <w:iCs/>
                        <w:szCs w:val="24"/>
                        <w:lang w:eastAsia="lt-LT"/>
                      </w:rPr>
                      <w: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 xml:space="preserve">Pagal dvi skirtingas paramos rūšis remiama įmonė turi būti </w:t>
                    </w:r>
                    <w:r>
                      <w:rPr>
                        <w:szCs w:val="24"/>
                        <w:lang w:eastAsia="lt-LT"/>
                      </w:rPr>
                      <w:t>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w:t>
                    </w:r>
                    <w:r>
                      <w:rPr>
                        <w:szCs w:val="24"/>
                      </w:rPr>
                      <w:t>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 xml:space="preserve">konsultacijas, mokymus keistis žiniomis ir </w:t>
                    </w:r>
                    <w:r>
                      <w:rPr>
                        <w:lang w:eastAsia="lt-LT"/>
                      </w:rPr>
                      <w:t>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reikšmės skaičiavimo </w:t>
                    </w:r>
                    <w:r>
                      <w:rPr>
                        <w:szCs w:val="24"/>
                        <w:lang w:eastAsia="lt-LT"/>
                      </w:rPr>
                      <w:t>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w:t>
                    </w:r>
                    <w:r>
                      <w:rPr>
                        <w:bCs/>
                        <w:szCs w:val="24"/>
                        <w:lang w:eastAsia="lt-LT"/>
                      </w:rPr>
                      <w:t>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w:t>
                    </w:r>
                    <w:r>
                      <w:rPr>
                        <w:bCs/>
                        <w:szCs w:val="24"/>
                        <w:lang w:eastAsia="lt-LT"/>
                      </w:rPr>
                      <w: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w:t>
                    </w:r>
                    <w:r>
                      <w:rPr>
                        <w:rFonts w:eastAsia="Calibri"/>
                        <w:bCs/>
                        <w:szCs w:val="24"/>
                        <w:lang w:eastAsia="lt-LT"/>
                      </w:rPr>
                      <w:t>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w:t>
                    </w:r>
                    <w:r>
                      <w:t>ntrinės projektų valdymo agentūros interneto svetainėje (prieiga per internetą (https://cpva.lt/dokumentai?_sft_dokumentu-kategorija=metodine-pagalba&amp;_sfm_programa=2333).</w:t>
                    </w:r>
                  </w:p>
                </w:tc>
              </w:tr>
            </w:tbl>
            <w:p w:rsidR="005E73D5" w:rsidRDefault="007C1895"/>
          </w:sdtContent>
        </w:sdt>
        <w:sdt>
          <w:sdtPr>
            <w:alias w:val="skyrius"/>
            <w:tag w:val="part_5f2a9421d4124928b8b84f59a25284f4"/>
            <w:id w:val="-16648019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w:t>
                    </w:r>
                    <w:r>
                      <w:rPr>
                        <w:szCs w:val="24"/>
                        <w:lang w:eastAsia="lt-LT"/>
                      </w:rPr>
                      <w:t xml:space="preserve">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rPr>
                      <w:t>“</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w:t>
                    </w:r>
                    <w:r>
                      <w:rPr>
                        <w:lang w:eastAsia="lt-LT"/>
                      </w:rPr>
                      <w:t>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Įmonė – ekonominę veiklą vykdantis juridinis asmuo (šaltinis: Smulkio</w:t>
                    </w:r>
                    <w:r>
                      <w:rPr>
                        <w:lang w:eastAsia="lt-LT"/>
                      </w:rPr>
                      <w:t xml:space="preserve">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Verslininkas – fizinis asmuo, kuris verčiasi ekonomine veikla (šaltinis: Smulkiojo ir vidutinio verslo plėtros </w:t>
                    </w:r>
                    <w:r>
                      <w:rPr>
                        <w:lang w:eastAsia="en-IE"/>
                      </w:rPr>
                      <w:t>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Didelė įmonė – įmonė, kuri atskirai ar kartu su savo partnerinėmis įmonėmis ir susijusiomis įmonėmis atitinka bent vieną iš šių sąlygų: joje (jo</w:t>
                    </w:r>
                    <w:r>
                      <w:rPr>
                        <w:lang w:eastAsia="lt-LT"/>
                      </w:rPr>
                      <w:t>se) dirba ne mažiau kaip 250 darbuotojų; jos (jų) balanse nurodyto turto vertė yra ne mažesnė kaip 43 000 000,00 Eur (keturiasdešimt trys milijonai eurų, 00 ct) ir metinės pajamos yra ne mažesnės kaip 50 000 000,00 (penkiasdešimt milijonų eurų, 00 ct); arb</w:t>
                    </w:r>
                    <w:r>
                      <w:rPr>
                        <w:lang w:eastAsia="lt-LT"/>
                      </w:rPr>
                      <w:t xml:space="preserve">a įmonė, kurios kapitale Smulkiojo ir vidutinio verslo plėtros įstatymo nustatytais dydžiais ir tvarka dalyvauja valstybė ir (arba) savivaldybė. Partnerinės įmonės, susijusios įmonės suprantamos, valstybės ir (arba) savivaldybės dalyvavimo įmonės kapitale </w:t>
                    </w:r>
                    <w:r>
                      <w:rPr>
                        <w:lang w:eastAsia="lt-LT"/>
                      </w:rPr>
                      <w:t>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w:t>
                    </w:r>
                    <w:r>
                      <w:rPr>
                        <w:lang w:eastAsia="lt-LT"/>
                      </w:rPr>
                      <w:t xml:space="preserve">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w:t>
                    </w:r>
                    <w:r>
                      <w:rPr>
                        <w:szCs w:val="24"/>
                      </w:rPr>
                      <w:t xml:space="preserve">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w:t>
                    </w:r>
                    <w:r>
                      <w:rPr>
                        <w:lang w:eastAsia="lt-LT"/>
                      </w:rPr>
                      <w:t>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 xml:space="preserve">Antriniai </w:t>
                    </w:r>
                    <w:r>
                      <w:rPr>
                        <w:lang w:eastAsia="lt-LT"/>
                      </w:rPr>
                      <w:t>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 xml:space="preserve">projekto veiklų įgyvendinimo metu (nefinansinių priemonių </w:t>
                    </w:r>
                    <w:r>
                      <w:t>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 xml:space="preserve">Dotacijų atveju stebėsenos rodiklis laikomas pasiektu, kai su galutine </w:t>
                    </w:r>
                    <w:r>
                      <w:rPr>
                        <w:lang w:eastAsia="lt-LT"/>
                      </w:rPr>
                      <w:t>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Nefinansinės paramos atveju rodiklis laikomas pasiektu, kada įmonė pirmą kartą gauna nefinansinę paramą (pirmą kartą vykdomos konsultacijos, mokymai keistis žiniomis ir </w:t>
                    </w:r>
                    <w:r>
                      <w:rPr>
                        <w:lang w:eastAsia="lt-LT"/>
                      </w:rPr>
                      <w:t>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 xml:space="preserve">Technologijų ir </w:t>
                    </w:r>
                    <w:r>
                      <w:rPr>
                        <w:rFonts w:eastAsia="Calibri"/>
                        <w:bCs/>
                        <w:iCs/>
                        <w:szCs w:val="24"/>
                        <w:lang w:eastAsia="lt-LT"/>
                      </w:rPr>
                      <w:t>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 xml:space="preserve">Stebėsenos rodiklio aprašymo kortelė </w:t>
                    </w:r>
                    <w:r>
                      <w:t>parengta vadovaujantis suderinta rodiklio aprašymo kortele, paskelbta viešosios įstaigos Centrinės projektų valdymo agentūros interneto svetainėje (prieiga per internetą (https://cpva.lt/dokumentai?_sft_dokumentu-kategorija=metodine-pagalba&amp;_sfm_programa=2</w:t>
                    </w:r>
                    <w:r>
                      <w:t>333).</w:t>
                    </w:r>
                  </w:p>
                </w:tc>
              </w:tr>
            </w:tbl>
            <w:p w:rsidR="005E73D5" w:rsidRDefault="007C1895">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Pr>
                      <w:rFonts w:eastAsia="SimSun"/>
                      <w:b/>
                      <w:caps/>
                      <w:szCs w:val="24"/>
                      <w:lang w:eastAsia="lt-LT"/>
                    </w:rPr>
                    <w:t>XI</w:t>
                  </w:r>
                </w:sdtContent>
              </w:sdt>
              <w:r>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 xml:space="preserve">Paramą gavusiose mokslinių tyrimų įstaigose </w:t>
                    </w:r>
                    <w:r>
                      <w:t>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Produkto rodiklis </w:t>
                    </w:r>
                    <w:r>
                      <w:rPr>
                        <w:lang w:eastAsia="lt-LT"/>
                      </w:rPr>
                      <w:t>(bendrasis)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 xml:space="preserve">Suprantamas kaip apibrėžtas Europos Komisijos metodiniame dokumente dėl </w:t>
                    </w:r>
                    <w:r>
                      <w:rPr>
                        <w:lang w:eastAsia="lt-LT"/>
                      </w:rPr>
                      <w:t>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patvirtintame 2021 m. liepos 8 d</w:t>
                    </w:r>
                    <w:r>
                      <w:rPr>
                        <w:lang w:eastAsia="lt-LT"/>
                      </w:rPr>
                      <w:t xml:space="preserve">. Nr. SWD (2021) 198 </w:t>
                    </w:r>
                    <w:r>
                      <w:rPr>
                        <w:i/>
                        <w:iCs/>
                        <w:lang w:eastAsia="lt-LT"/>
                      </w:rPr>
                      <w:t>final</w:t>
                    </w:r>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 xml:space="preserve">paramą gavusiose mokslinių tyrimų įstaigose dirbančių mokslininkų sąrašai, patvirtinti įstaigos </w:t>
                    </w:r>
                    <w:r>
                      <w:rPr>
                        <w:rFonts w:eastAsia="Segoe UI"/>
                        <w:szCs w:val="24"/>
                      </w:rPr>
                      <w:t>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pasiekimą atsiskaitoma </w:t>
                    </w:r>
                    <w:r>
                      <w:rPr>
                        <w:lang w:eastAsia="lt-LT"/>
                      </w:rPr>
                      <w:t>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 xml:space="preserve">Tarptautinių investicijų </w:t>
                    </w:r>
                    <w:r>
                      <w:rPr>
                        <w:lang w:eastAsia="en-GB"/>
                      </w:rPr>
                      <w:t>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7C1895"/>
          </w:sdtContent>
        </w:sdt>
        <w:sdt>
          <w:sdtPr>
            <w:alias w:val="skyrius"/>
            <w:tag w:val="part_3f2acff1c40241ad98c53b902ab9d820"/>
            <w:id w:val="-444154432"/>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Pr>
                      <w:rFonts w:eastAsia="SimSun"/>
                      <w:b/>
                      <w:caps/>
                      <w:szCs w:val="24"/>
                      <w:lang w:eastAsia="lt-LT"/>
                    </w:rPr>
                    <w:t>XII</w:t>
                  </w:r>
                </w:sdtContent>
              </w:sdt>
              <w:r>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 xml:space="preserve">Europos Komisijos suteiktas stebėsenos rodiklio </w:t>
                    </w:r>
                    <w:r>
                      <w:rPr>
                        <w:rFonts w:eastAsia="Calibri"/>
                        <w:bCs/>
                        <w:szCs w:val="24"/>
                        <w:lang w:eastAsia="lt-LT"/>
                      </w:rPr>
                      <w:t>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r>
                      <w:rPr>
                        <w:i/>
                        <w:lang w:eastAsia="lt-LT"/>
                      </w:rPr>
                      <w:t xml:space="preserve">Performance, </w:t>
                    </w:r>
                    <w:r>
                      <w:rPr>
                        <w:i/>
                        <w:lang w:eastAsia="lt-LT"/>
                      </w:rPr>
                      <w:t>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w:t>
                    </w:r>
                    <w:r>
                      <w:rPr>
                        <w:szCs w:val="24"/>
                      </w:rPr>
                      <w:t>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 xml:space="preserve">Sumuojamos mokslinių tyrimų organizacijos, dalyvaujančios bendruose mokslinių tyrimų </w:t>
                    </w:r>
                    <w:r>
                      <w:rPr>
                        <w:rFonts w:eastAsia="Calibri"/>
                        <w:szCs w:val="24"/>
                        <w:lang w:eastAsia="lt-LT"/>
                      </w:rPr>
                      <w:t>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 xml:space="preserve">Už pasiekimą atsiskaitoma projekto vykdytojui deklaruojant rodiklio pasiekimą veiklos ataskaitoje / ataskaitose, kartu </w:t>
                    </w:r>
                    <w:r>
                      <w:rPr>
                        <w:lang w:eastAsia="en-GB"/>
                      </w:rPr>
                      <w:t>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 xml:space="preserve">2021–2027 </w:t>
                    </w:r>
                    <w:r>
                      <w:rPr>
                        <w:lang w:eastAsia="lt-LT"/>
                      </w:rPr>
                      <w:t>m. IP</w:t>
                    </w:r>
                    <w:r>
                      <w:t xml:space="preserve"> rodiklio kodas P.B.2.0007</w:t>
                    </w:r>
                    <w:r>
                      <w:rPr>
                        <w:sz w:val="20"/>
                        <w:lang w:eastAsia="lt-LT"/>
                      </w:rPr>
                      <w:t>.</w:t>
                    </w:r>
                  </w:p>
                </w:tc>
              </w:tr>
            </w:tbl>
            <w:p w:rsidR="005E73D5" w:rsidRDefault="007C1895"/>
          </w:sdtContent>
        </w:sdt>
        <w:sdt>
          <w:sdtPr>
            <w:alias w:val="skyrius"/>
            <w:tag w:val="part_69e7a0ba80744bd3b088d87539526e63"/>
            <w:id w:val="239136410"/>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Pr>
                      <w:rFonts w:eastAsia="SimSun"/>
                      <w:b/>
                      <w:caps/>
                      <w:szCs w:val="24"/>
                      <w:lang w:eastAsia="lt-LT"/>
                    </w:rPr>
                    <w:t>XIII</w:t>
                  </w:r>
                </w:sdtContent>
              </w:sdt>
              <w:r>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 xml:space="preserve">Nominalioji mokslinių </w:t>
                    </w:r>
                    <w:r>
                      <w:rPr>
                        <w:iCs/>
                        <w:szCs w:val="24"/>
                        <w:lang w:eastAsia="en-GB"/>
                      </w:rPr>
                      <w:t>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 xml:space="preserve">Bendra remiamos mokslinių tyrimų ir inovacijų įrangos (įsigijimo) vertė projekte. MTEP </w:t>
                    </w:r>
                    <w:r>
                      <w:rPr>
                        <w:szCs w:val="24"/>
                        <w:lang w:eastAsia="en-GB"/>
                      </w:rPr>
                      <w:t>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 xml:space="preserve">Stebėsenos rodiklio </w:t>
                    </w:r>
                    <w:r>
                      <w:rPr>
                        <w:rFonts w:eastAsia="Calibri"/>
                        <w:bCs/>
                        <w:szCs w:val="24"/>
                        <w:lang w:eastAsia="lt-LT"/>
                      </w:rPr>
                      <w:t>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w:t>
                    </w:r>
                    <w:r>
                      <w:rPr>
                        <w:szCs w:val="24"/>
                        <w:lang w:eastAsia="en-GB"/>
                      </w:rPr>
                      <w:t>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 xml:space="preserve">Už pasiekimą atsiskaitoma projekto vykdytojui deklaruojant rodiklio pasiekimą veiklos </w:t>
                    </w:r>
                    <w:r>
                      <w:rPr>
                        <w:iCs/>
                        <w:szCs w:val="24"/>
                        <w:lang w:eastAsia="en-GB"/>
                      </w:rPr>
                      <w:t>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 xml:space="preserve">Švietimo, mokslo ir sporto </w:t>
                    </w:r>
                    <w:r>
                      <w:rPr>
                        <w:iCs/>
                        <w:szCs w:val="24"/>
                        <w:lang w:eastAsia="en-GB"/>
                      </w:rPr>
                      <w:t>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w:t>
                    </w:r>
                    <w:r>
                      <w:rPr>
                        <w:szCs w:val="24"/>
                        <w:lang w:eastAsia="en-GB"/>
                      </w:rPr>
                      <w:t xml:space="preserve">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7C1895">
              <w:pPr>
                <w:ind w:left="4820"/>
              </w:pPr>
            </w:p>
          </w:sdtContent>
        </w:sdt>
        <w:sdt>
          <w:sdtPr>
            <w:alias w:val="skyrius"/>
            <w:tag w:val="part_118a20a6a4364a5bab1e122c8bf20871"/>
            <w:id w:val="324326280"/>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Pr>
                      <w:rFonts w:eastAsia="SimSun"/>
                      <w:b/>
                      <w:caps/>
                      <w:szCs w:val="24"/>
                      <w:lang w:eastAsia="lt-LT"/>
                    </w:rPr>
                    <w:t>XIV</w:t>
                  </w:r>
                </w:sdtContent>
              </w:sdt>
              <w:r>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 xml:space="preserve">Stebėsenos rodiklis </w:t>
                    </w:r>
                    <w:r>
                      <w:rPr>
                        <w:lang w:eastAsia="lt-LT"/>
                      </w:rPr>
                      <w:t>suprantamas kaip apibrėžtas Europos Komisijos metodiniame dokumente dėl Europos regioninės plėtros fondo, Sanglaudos fondo, Teisingos pertvarkos fondo (</w:t>
                    </w:r>
                    <w:r>
                      <w:rPr>
                        <w:i/>
                        <w:lang w:eastAsia="lt-LT"/>
                      </w:rPr>
                      <w:t xml:space="preserve">Performance, monitoring and evaluation of the European Regional Development Fund, the Cohesion Fund and </w:t>
                    </w:r>
                    <w:r>
                      <w:rPr>
                        <w:i/>
                        <w:lang w:eastAsia="lt-LT"/>
                      </w:rPr>
                      <w:t>the Just Transition Fund in 2021-2027</w:t>
                    </w:r>
                    <w:r>
                      <w:rPr>
                        <w:lang w:eastAsia="lt-LT"/>
                      </w:rPr>
                      <w:t xml:space="preserve">), patvirtintame 2021 m. liepos 8 d. Nr. SWD (2021) 198 </w:t>
                    </w:r>
                    <w:r>
                      <w:rPr>
                        <w:i/>
                        <w:iCs/>
                        <w:lang w:eastAsia="lt-LT"/>
                      </w:rPr>
                      <w:t>final</w:t>
                    </w:r>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 xml:space="preserve">Stebėsenos rodiklio reikšmės </w:t>
                    </w:r>
                    <w:r>
                      <w:rPr>
                        <w:rFonts w:eastAsia="Calibri"/>
                        <w:bCs/>
                        <w:szCs w:val="24"/>
                        <w:lang w:eastAsia="lt-LT"/>
                      </w:rPr>
                      <w:t>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pasiekimo </w:t>
                    </w:r>
                    <w:r>
                      <w:rPr>
                        <w:bCs/>
                        <w:szCs w:val="24"/>
                        <w:lang w:eastAsia="lt-LT"/>
                      </w:rPr>
                      <w:t>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w:t>
                    </w:r>
                    <w:r>
                      <w:rPr>
                        <w:lang w:eastAsia="en-GB"/>
                      </w:rPr>
                      <w:t xml:space="preserve">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7C1895"/>
          </w:sdtContent>
        </w:sdt>
        <w:sdt>
          <w:sdtPr>
            <w:alias w:val="skyrius"/>
            <w:tag w:val="part_978338f672c04a6daae321f53c21f8d6"/>
            <w:id w:val="-179250524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Pr>
                      <w:rFonts w:eastAsia="SimSun"/>
                      <w:b/>
                      <w:caps/>
                      <w:szCs w:val="24"/>
                      <w:lang w:eastAsia="lt-LT"/>
                    </w:rPr>
                    <w:t>XV</w:t>
                  </w:r>
                </w:sdtContent>
              </w:sdt>
              <w:r>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„INVESTICIJAS GAVUSIŲ </w:t>
                  </w:r>
                  <w:r>
                    <w:rPr>
                      <w:rFonts w:eastAsia="SimSun"/>
                      <w:b/>
                      <w:bCs/>
                      <w:iCs/>
                      <w:szCs w:val="24"/>
                      <w:lang w:eastAsia="lt-LT"/>
                    </w:rPr>
                    <w:t>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 xml:space="preserve">Europos Komisijos suteiktas </w:t>
                    </w:r>
                    <w:r>
                      <w:rPr>
                        <w:rFonts w:eastAsia="Calibri"/>
                        <w:bCs/>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 xml:space="preserve">Mokslo ir studijų institucija – juridinis asmuo, kurio pagrindinė veikla – studijų vykdymas ir su studijomis susijusi veikla ir (arba) moksliniai tyrimai ir </w:t>
                    </w:r>
                    <w:r>
                      <w:rPr>
                        <w:szCs w:val="24"/>
                        <w:lang w:eastAsia="en-GB"/>
                      </w:rPr>
                      <w:t>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 xml:space="preserve">Stebėsenos </w:t>
                    </w:r>
                    <w:r>
                      <w:rPr>
                        <w:rFonts w:eastAsia="Calibri"/>
                        <w:bCs/>
                        <w:szCs w:val="24"/>
                        <w:lang w:eastAsia="lt-LT"/>
                      </w:rPr>
                      <w:t>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 xml:space="preserve">Pirminiai duomenų </w:t>
                    </w:r>
                    <w:r>
                      <w:rPr>
                        <w:szCs w:val="24"/>
                        <w:lang w:eastAsia="en-GB"/>
                      </w:rPr>
                      <w:t>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 xml:space="preserve">tel. +370 620 43 </w:t>
                    </w:r>
                    <w:r>
                      <w:rPr>
                        <w:szCs w:val="24"/>
                        <w:lang w:eastAsia="en-GB"/>
                      </w:rPr>
                      <w:t>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7C1895">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Pr>
                      <w:rFonts w:eastAsia="SimSun"/>
                      <w:b/>
                      <w:caps/>
                      <w:szCs w:val="24"/>
                      <w:lang w:eastAsia="lt-LT"/>
                    </w:rPr>
                    <w:t>XVI</w:t>
                  </w:r>
                </w:sdtContent>
              </w:sdt>
              <w:r>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w:t>
                  </w:r>
                  <w:r>
                    <w:rPr>
                      <w:rFonts w:eastAsia="SimSun"/>
                      <w:b/>
                      <w:caps/>
                      <w:szCs w:val="24"/>
                      <w:lang w:eastAsia="lt-LT"/>
                    </w:rPr>
                    <w:t xml:space="preserve">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w:t>
                    </w:r>
                    <w:r>
                      <w:rPr>
                        <w:rFonts w:eastAsia="Calibri"/>
                        <w:bCs/>
                        <w:szCs w:val="24"/>
                        <w:lang w:eastAsia="lt-LT"/>
                      </w:rPr>
                      <w:t xml:space="preserve">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Rodikliu apskaičiuojamos visos įmonės, gaunančios </w:t>
                    </w:r>
                    <w:r>
                      <w:rPr>
                        <w:szCs w:val="24"/>
                        <w:lang w:eastAsia="lt-LT"/>
                      </w:rPr>
                      <w:t>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w:t>
                    </w:r>
                    <w:r>
                      <w:rPr>
                        <w:szCs w:val="24"/>
                        <w:lang w:eastAsia="en-IE"/>
                      </w:rPr>
                      <w:t>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xml:space="preserve"> – įmonė, kuri atskirai ar </w:t>
                    </w:r>
                    <w:r>
                      <w:t>kartu su savo partnerinėmis įmonėmis ir susijusiomis įmonėmis atitinka bent vieną iš šių sąlygų: joje (jose) dirba ne mažiau kaip 250 darbuotojų; jos (jų) balanse nurodyto turto vertė yra ne mažesnė kaip 43 000 000 eurų ir metinės pajamos yra ne mažesnės k</w:t>
                    </w:r>
                    <w:r>
                      <w:t>aip 50 000 000 eurų; arba įmonė, kurios kapitale Lietuvos Respublikos Smulkiojo ir vidutinio verslo plėtros įstatymo nustatytais dydžiais ir tvarka dalyvauja valstybė ir (arba) savivaldybė. Partnerinės įmonės, susijusios įmonės suprantamos, valstybės ir (a</w:t>
                    </w:r>
                    <w:r>
                      <w:t>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w:t>
                    </w:r>
                    <w:r>
                      <w:rPr>
                        <w:szCs w:val="24"/>
                        <w:lang w:eastAsia="lt-LT"/>
                      </w:rPr>
                      <w:t>ustatomas PĮP vertinimo metu pagal PĮP pateikimo dieną galiojančią informaciją.</w:t>
                    </w:r>
                  </w:p>
                  <w:p w:rsidR="005E73D5" w:rsidRDefault="007C1895">
                    <w:pPr>
                      <w:jc w:val="both"/>
                      <w:rPr>
                        <w:szCs w:val="24"/>
                      </w:rPr>
                    </w:pPr>
                    <w:r>
                      <w:rPr>
                        <w:szCs w:val="24"/>
                      </w:rPr>
                      <w:t>Jei PĮP vertinimo metu arba iki sutarties pasirašymo paaiškėja informacija, dėl kurios gali pasikeisti įmonės dydis, įmonės dydis nustatomas vertinimo metu arba iki sutarties p</w:t>
                    </w:r>
                    <w:r>
                      <w:rPr>
                        <w:szCs w:val="24"/>
                      </w:rPr>
                      <w:t>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w:t>
                    </w:r>
                    <w:r>
                      <w:t xml:space="preserve">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w:t>
                    </w:r>
                    <w:r>
                      <w:rPr>
                        <w:szCs w:val="24"/>
                        <w:lang w:eastAsia="lt-LT"/>
                      </w:rPr>
                      <w:t>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 xml:space="preserve">projekto veiklų įgyvendinimo metu, kai pirmą kartą suteikiama nefinansinė parama </w:t>
                    </w:r>
                    <w:r>
                      <w:t>(nefinansinių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w:t>
                    </w:r>
                    <w:r>
                      <w:rPr>
                        <w:bCs/>
                        <w:szCs w:val="24"/>
                        <w:lang w:eastAsia="lt-LT"/>
                      </w:rPr>
                      <w:t>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 xml:space="preserve">Tarptautinių investicijų koordinavimo </w:t>
                    </w:r>
                    <w:r>
                      <w:rPr>
                        <w:szCs w:val="24"/>
                        <w:lang w:eastAsia="en-GB"/>
                      </w:rPr>
                      <w:t>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parodiklius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t>Siekiant</w:t>
                    </w:r>
                    <w:r>
                      <w:rPr>
                        <w:lang w:eastAsia="lt-LT"/>
                      </w:rPr>
                      <w:t xml:space="preserve">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w:t>
                    </w:r>
                    <w:r>
                      <w:rPr>
                        <w:lang w:eastAsia="lt-LT"/>
                      </w:rPr>
                      <w:t>prašymo kortele, paskelbta viešosios įstaigos Centrinės projektų valdymo agentūros interneto svetainėje (prieiga per internetą: https://cpva.lt/dokumentai?_sft_dokumentu-kategorija=metodine-pagalba&amp;_sfm_programa=2335).</w:t>
                    </w:r>
                  </w:p>
                </w:tc>
              </w:tr>
            </w:tbl>
            <w:p w:rsidR="005E73D5" w:rsidRDefault="007C1895"/>
          </w:sdtContent>
        </w:sdt>
        <w:sdt>
          <w:sdtPr>
            <w:alias w:val="skyrius"/>
            <w:tag w:val="part_8186f5fc0f2843d0b80d4a281e0f644b"/>
            <w:id w:val="-1231690991"/>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Pr>
                      <w:rFonts w:eastAsia="SimSun"/>
                      <w:b/>
                      <w:caps/>
                      <w:szCs w:val="24"/>
                      <w:lang w:eastAsia="lt-LT"/>
                    </w:rPr>
                    <w:t>XVII</w:t>
                  </w:r>
                </w:sdtContent>
              </w:sdt>
              <w:r>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w:t>
                  </w:r>
                  <w:r>
                    <w:rPr>
                      <w:rFonts w:eastAsia="SimSun"/>
                      <w:b/>
                      <w:caps/>
                      <w:szCs w:val="24"/>
                      <w:lang w:eastAsia="lt-LT"/>
                    </w:rPr>
                    <w:t>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 xml:space="preserve">Europos Komisijos suteiktas </w:t>
                    </w:r>
                    <w:r>
                      <w:rPr>
                        <w:rFonts w:eastAsia="Calibri"/>
                        <w:bCs/>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 xml:space="preserve">Rodikliu apskaičiuojamos visos įmonės, </w:t>
                    </w:r>
                    <w:r>
                      <w:rPr>
                        <w:lang w:eastAsia="lt-LT"/>
                      </w:rPr>
                      <w:t>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w:t>
                    </w:r>
                    <w:r>
                      <w:rPr>
                        <w:szCs w:val="24"/>
                        <w:lang w:eastAsia="lt-LT"/>
                      </w:rPr>
                      <w:t>nse nurodyta turto vertė neviršija 2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w:t>
                    </w:r>
                    <w:r>
                      <w:t>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 xml:space="preserve">apskaičiavimo </w:t>
                    </w:r>
                    <w:r>
                      <w:rPr>
                        <w:bCs/>
                        <w:szCs w:val="24"/>
                        <w:lang w:eastAsia="lt-LT"/>
                      </w:rPr>
                      <w:t>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 xml:space="preserve">pirminių dokumentų sąrašą konkrečiam projektui suderina </w:t>
                    </w:r>
                    <w:r>
                      <w:rPr>
                        <w:szCs w:val="24"/>
                      </w:rPr>
                      <w:t>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w:t>
                    </w:r>
                    <w:r>
                      <w:rPr>
                        <w:lang w:eastAsia="lt-LT"/>
                      </w:rPr>
                      <w:t>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 xml:space="preserve">projekto veiklų įgyvendinimo metu, kai pirmą kartą suteikiama nefinansinė parama (nefinansinių priemonių </w:t>
                    </w:r>
                    <w:r>
                      <w:t>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w:t>
                    </w:r>
                    <w:r>
                      <w:rPr>
                        <w:bCs/>
                        <w:szCs w:val="24"/>
                        <w:lang w:eastAsia="lt-LT"/>
                      </w:rPr>
                      <w:t>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 xml:space="preserve">Tarptautinių </w:t>
                    </w:r>
                    <w:r>
                      <w:rPr>
                        <w:szCs w:val="24"/>
                        <w:lang w:eastAsia="en-GB"/>
                      </w:rPr>
                      <w:t>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w:t>
                    </w:r>
                    <w:r>
                      <w:rPr>
                        <w:lang w:eastAsia="lt-LT"/>
                      </w:rPr>
                      <w:t>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 xml:space="preserve">Stebėsenos rodiklio </w:t>
                    </w:r>
                    <w:r>
                      <w:rPr>
                        <w:lang w:eastAsia="lt-LT"/>
                      </w:rPr>
                      <w:t>aprašymo kortelė parengta vadovaujantis suderinta rodiklio aprašymo kortele, paskelbta viešosios įstaigos Centrinės projektų valdymo agentūros interneto svetainėje (prieiga per internetą: https://cpva.lt/dokumentai?_sft_dokumentu-kategorija=metodine-pagalb</w:t>
                    </w:r>
                    <w:r>
                      <w:rPr>
                        <w:lang w:eastAsia="lt-LT"/>
                      </w:rPr>
                      <w:t>a&amp;_sfm_programa=2335).</w:t>
                    </w:r>
                  </w:p>
                </w:tc>
              </w:tr>
            </w:tbl>
            <w:p w:rsidR="005E73D5" w:rsidRDefault="007C1895"/>
          </w:sdtContent>
        </w:sdt>
        <w:sdt>
          <w:sdtPr>
            <w:alias w:val="skyrius"/>
            <w:tag w:val="part_84aa017b7b774638a361557258341d61"/>
            <w:id w:val="-2025699505"/>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Pr>
                      <w:rFonts w:eastAsia="SimSun"/>
                      <w:b/>
                      <w:caps/>
                      <w:szCs w:val="24"/>
                      <w:lang w:eastAsia="lt-LT"/>
                    </w:rPr>
                    <w:t>XVIII</w:t>
                  </w:r>
                </w:sdtContent>
              </w:sdt>
              <w:r>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Skaičiuojant rodiklio reikšm</w:t>
                    </w:r>
                    <w:r>
                      <w:rPr>
                        <w:szCs w:val="24"/>
                        <w:lang w:eastAsia="en-IE"/>
                      </w:rPr>
                      <w:t xml:space="preserve">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w:t>
                    </w:r>
                    <w:r>
                      <w:rPr>
                        <w:szCs w:val="24"/>
                        <w:lang w:eastAsia="en-IE"/>
                      </w:rPr>
                      <w: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 xml:space="preserve">Į rodiklį skaičiuojami </w:t>
                    </w:r>
                    <w:r>
                      <w:rPr>
                        <w:szCs w:val="24"/>
                      </w:rPr>
                      <w:t>(verslo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 xml:space="preserve">pirminių dokumentų sąrašą konkrečiam projektui suderina </w:t>
                    </w:r>
                    <w:r>
                      <w:rPr>
                        <w:szCs w:val="24"/>
                      </w:rPr>
                      <w:t>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w:t>
                    </w:r>
                    <w:r>
                      <w:rPr>
                        <w:lang w:eastAsia="lt-LT"/>
                      </w:rPr>
                      <w:t>ma.</w:t>
                    </w:r>
                  </w:p>
                  <w:p w:rsidR="005E73D5" w:rsidRDefault="007C1895">
                    <w:pPr>
                      <w:spacing w:line="256" w:lineRule="auto"/>
                      <w:jc w:val="both"/>
                      <w:rPr>
                        <w:rFonts w:eastAsia="Calibri"/>
                        <w:bCs/>
                        <w:i/>
                        <w:i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 xml:space="preserve">projekto veiklų įgyvendinimo metu, kai pirmą kartą suteikiama nefinansinė parama (nefinansinių priemonių </w:t>
                    </w:r>
                    <w:r>
                      <w:t>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nefinansinę paramą (pirmą kartą vykdomos konsultacijos, mokymai keistis žiniomis </w:t>
                    </w:r>
                    <w:r>
                      <w:rPr>
                        <w:bCs/>
                        <w:szCs w:val="24"/>
                        <w:lang w:eastAsia="lt-LT"/>
                      </w:rPr>
                      <w:t>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 xml:space="preserve">Tarptautinių </w:t>
                    </w:r>
                    <w:r>
                      <w:rPr>
                        <w:szCs w:val="24"/>
                        <w:lang w:eastAsia="en-GB"/>
                      </w:rPr>
                      <w:t>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w:t>
                    </w:r>
                    <w:r>
                      <w:rPr>
                        <w:lang w:eastAsia="lt-LT"/>
                      </w:rPr>
                      <w:t>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w:t>
                    </w:r>
                    <w:r>
                      <w:rPr>
                        <w:lang w:eastAsia="lt-LT"/>
                      </w:rPr>
                      <w:t>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 xml:space="preserve">Stebėsenos rodiklio aprašymo </w:t>
                    </w:r>
                    <w:r>
                      <w:rPr>
                        <w:lang w:eastAsia="lt-LT"/>
                      </w:rPr>
                      <w:t>kortelė parengta vadovaujantis suderinta rodiklio aprašymo kortele, paskelbta viešosios įstaigos Centrinės projektų valdymo agentūros interneto svetainėje (prieiga per internetą: https://cpva.lt/dokumentai?_sft_dokumentu-kategorija=metodine-pagalba&amp;_sfm_pr</w:t>
                    </w:r>
                    <w:r>
                      <w:rPr>
                        <w:lang w:eastAsia="lt-LT"/>
                      </w:rPr>
                      <w:t>ograma=2335).</w:t>
                    </w:r>
                  </w:p>
                </w:tc>
              </w:tr>
            </w:tbl>
            <w:p w:rsidR="005E73D5" w:rsidRDefault="007C1895"/>
          </w:sdtContent>
        </w:sdt>
        <w:sdt>
          <w:sdtPr>
            <w:alias w:val="skyrius"/>
            <w:tag w:val="part_db4872eb05a946e99155397a475a0a16"/>
            <w:id w:val="647555174"/>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Pr>
                      <w:rFonts w:eastAsia="SimSun"/>
                      <w:b/>
                      <w:caps/>
                      <w:szCs w:val="24"/>
                      <w:lang w:eastAsia="lt-LT"/>
                    </w:rPr>
                    <w:t>XIX</w:t>
                  </w:r>
                </w:sdtContent>
              </w:sdt>
              <w:r>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w:t>
                    </w:r>
                    <w:r>
                      <w:rPr>
                        <w:szCs w:val="24"/>
                        <w:lang w:eastAsia="lt-LT"/>
                      </w:rPr>
                      <w:t>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 xml:space="preserve">Smulkiojo ir vidutinio verslo </w:t>
                    </w:r>
                    <w:r>
                      <w:rPr>
                        <w:szCs w:val="24"/>
                        <w:lang w:eastAsia="en-IE"/>
                      </w:rPr>
                      <w:t>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w:t>
                    </w:r>
                    <w:r>
                      <w:t>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w:t>
                    </w:r>
                    <w:r>
                      <w:rPr>
                        <w:szCs w:val="24"/>
                        <w:lang w:eastAsia="lt-LT"/>
                      </w:rPr>
                      <w:t xml:space="preserve">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 xml:space="preserve">Pvz., konsultacijas, mokymus keistis žiniomis ir patirtimi gavusių </w:t>
                    </w:r>
                    <w:r>
                      <w:rPr>
                        <w:lang w:eastAsia="lt-LT"/>
                      </w:rPr>
                      <w:t>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Už </w:t>
                    </w:r>
                    <w:r>
                      <w:rPr>
                        <w:szCs w:val="24"/>
                        <w:lang w:eastAsia="lt-LT"/>
                      </w:rPr>
                      <w:t>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w:t>
                    </w:r>
                    <w:r>
                      <w:rPr>
                        <w:bCs/>
                        <w:szCs w:val="24"/>
                        <w:lang w:eastAsia="lt-LT"/>
                      </w:rPr>
                      <w:t xml:space="preserve">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w:t>
                    </w:r>
                    <w:r>
                      <w:rPr>
                        <w:szCs w:val="24"/>
                        <w:lang w:eastAsia="en-GB"/>
                      </w:rPr>
                      <w:t>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 xml:space="preserve">tel. +370 674 56 </w:t>
                    </w:r>
                    <w:r>
                      <w:rPr>
                        <w:szCs w:val="24"/>
                        <w:lang w:eastAsia="en-GB"/>
                      </w:rPr>
                      <w:t>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 xml:space="preserve">Siekiant išvengti dvigubo skaičiavimo, vertinama, kad IP programoje pagal tą patį </w:t>
                    </w:r>
                    <w:r>
                      <w:rPr>
                        <w:szCs w:val="24"/>
                        <w:lang w:eastAsia="lt-LT"/>
                      </w:rPr>
                      <w:t>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w:t>
                    </w:r>
                    <w:r>
                      <w:rPr>
                        <w:szCs w:val="24"/>
                      </w:rPr>
                      <w:t>prašymo kortele, paskelbta viešosios įstaigos Centrinės projektų valdymo agentūros interneto svetainėje (prieiga per internetą: https://cpva.lt/dokumentai?_sft_dokumentu-kategorija=metodine-pagalba&amp;_sfm_programa=2335).</w:t>
                    </w:r>
                  </w:p>
                </w:tc>
              </w:tr>
            </w:tbl>
            <w:p w:rsidR="005E73D5" w:rsidRDefault="007C1895"/>
          </w:sdtContent>
        </w:sdt>
        <w:sdt>
          <w:sdtPr>
            <w:alias w:val="skyrius"/>
            <w:tag w:val="part_3ec93a70b21f461e8accf4f77511bc17"/>
            <w:id w:val="1830633653"/>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Pr>
                      <w:rFonts w:eastAsia="SimSun"/>
                      <w:b/>
                      <w:caps/>
                      <w:szCs w:val="24"/>
                      <w:lang w:eastAsia="lt-LT"/>
                    </w:rPr>
                    <w:t>XX</w:t>
                  </w:r>
                </w:sdtContent>
              </w:sdt>
              <w:r>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w:t>
                    </w:r>
                    <w:r>
                      <w:rPr>
                        <w:rFonts w:eastAsia="Calibri"/>
                        <w:bCs/>
                        <w:szCs w:val="24"/>
                        <w:lang w:eastAsia="lt-LT"/>
                      </w:rPr>
                      <w:t xml:space="preserve">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 xml:space="preserve">Rodikliu apskaičiuojamos visos įmonės, gaunančios </w:t>
                    </w:r>
                    <w:r>
                      <w:rPr>
                        <w:lang w:eastAsia="lt-LT"/>
                      </w:rPr>
                      <w:t>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Verslininkas – </w:t>
                    </w:r>
                    <w:r>
                      <w:rPr>
                        <w:szCs w:val="24"/>
                        <w:lang w:eastAsia="en-IE"/>
                      </w:rPr>
                      <w:t>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w:t>
                    </w:r>
                    <w:r>
                      <w:rPr>
                        <w:szCs w:val="24"/>
                        <w:lang w:eastAsia="lt-LT"/>
                      </w:rPr>
                      <w:t>nės balanse nurodyta turto vertė yra ne mažesnė kaip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w:t>
                    </w:r>
                    <w:r>
                      <w:rPr>
                        <w:lang w:eastAsia="lt-LT"/>
                      </w:rPr>
                      <w:t>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 xml:space="preserve">pirminių dokumentų sąrašą konkrečiam </w:t>
                    </w:r>
                    <w:r>
                      <w:rPr>
                        <w:szCs w:val="24"/>
                      </w:rPr>
                      <w:t>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w:t>
                    </w:r>
                    <w:r>
                      <w:rPr>
                        <w:lang w:eastAsia="lt-LT"/>
                      </w:rPr>
                      <w:t>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 xml:space="preserve">projekto veiklų įgyvendinimo metu, kai pirmą kartą suteikiama nefinansinė parama </w:t>
                    </w:r>
                    <w:r>
                      <w:t>(nefinansinių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nefinansinę paramą (pirmą kartą vykdomos konsultacijos, </w:t>
                    </w:r>
                    <w:r>
                      <w:rPr>
                        <w:bCs/>
                        <w:szCs w:val="24"/>
                        <w:lang w:eastAsia="lt-LT"/>
                      </w:rPr>
                      <w:t>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 xml:space="preserve">Tarptautinių investicijų koordinavimo </w:t>
                    </w:r>
                    <w:r>
                      <w:rPr>
                        <w:szCs w:val="24"/>
                        <w:lang w:eastAsia="en-GB"/>
                      </w:rPr>
                      <w:t>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P.B.2.0001.4. Rodiklis įskaitomas į P.B.2.0001 </w:t>
                    </w:r>
                    <w:r>
                      <w:rPr>
                        <w:lang w:eastAsia="lt-LT"/>
                      </w:rPr>
                      <w:t>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Siekiant išvengti dvigubo skaičiavimo, vertinama, kad IP programoje pagal tą patį konkretų uždavinį dalyvauja tik ta pati viena įmonė, neatsižvelgiant į tai, kiek paramos rūšių (pvz., dotacijų, </w:t>
                    </w:r>
                    <w:r>
                      <w:rPr>
                        <w:szCs w:val="24"/>
                        <w:lang w:eastAsia="lt-LT"/>
                      </w:rPr>
                      <w:t>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 xml:space="preserve">Stebėsenos </w:t>
                    </w:r>
                    <w:r>
                      <w:rPr>
                        <w:szCs w:val="24"/>
                      </w:rPr>
                      <w:t>rodiklio aprašymo kortelė parengta vadovaujantis suderinta rodiklio aprašymo kortele, paskelbta viešosios įstaigos Centrinės projektų valdymo agentūros interneto svetainėje (prieiga per internetą: https://cpva.lt/dokumentai?_sft_dokumentu-kategorija=metodi</w:t>
                    </w:r>
                    <w:r>
                      <w:rPr>
                        <w:szCs w:val="24"/>
                      </w:rPr>
                      <w:t>ne-pagalba&amp;_sfm_programa=2335).</w:t>
                    </w:r>
                  </w:p>
                </w:tc>
              </w:tr>
            </w:tbl>
            <w:p w:rsidR="005E73D5" w:rsidRDefault="007C1895"/>
          </w:sdtContent>
        </w:sdt>
        <w:sdt>
          <w:sdtPr>
            <w:alias w:val="skyrius"/>
            <w:tag w:val="part_2b1584ba1f5443da8d01856737101b70"/>
            <w:id w:val="-91628730"/>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Pr>
                      <w:rFonts w:eastAsia="SimSun"/>
                      <w:b/>
                      <w:caps/>
                      <w:szCs w:val="24"/>
                      <w:lang w:eastAsia="lt-LT"/>
                    </w:rPr>
                    <w:t>XXI</w:t>
                  </w:r>
                </w:sdtContent>
              </w:sdt>
              <w:r>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 xml:space="preserve">Nefinansinę </w:t>
                    </w:r>
                    <w:r>
                      <w:t>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w:t>
                    </w:r>
                    <w:r>
                      <w:rPr>
                        <w:szCs w:val="24"/>
                      </w:rPr>
                      <w:t>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w:t>
                    </w:r>
                    <w:r>
                      <w:rPr>
                        <w:szCs w:val="24"/>
                      </w:rPr>
                      <w:t>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 xml:space="preserve">pirminių dokumentų sąrašą konkrečiam projektui suderina įgyvendinančioji </w:t>
                    </w:r>
                    <w:r>
                      <w:rPr>
                        <w:szCs w:val="24"/>
                      </w:rPr>
                      <w:t>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w:t>
                    </w:r>
                    <w:r>
                      <w:rPr>
                        <w:szCs w:val="24"/>
                        <w:lang w:eastAsia="lt-LT"/>
                      </w:rPr>
                      <w:t>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w:t>
                    </w:r>
                    <w:r>
                      <w:rPr>
                        <w:szCs w:val="24"/>
                        <w:lang w:eastAsia="lt-LT"/>
                      </w:rPr>
                      <w:t>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 xml:space="preserve">Rodiklis įskaičiuojamas į P.B.2.0001 rodiklį ir </w:t>
                    </w:r>
                    <w:r>
                      <w:rPr>
                        <w:szCs w:val="24"/>
                        <w:lang w:eastAsia="en-IE"/>
                      </w:rPr>
                      <w:t>atitinkamai į parodiklius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 xml:space="preserve">Siekiant išvengti dvigubo skaičiavimo, vertinama, kad IP programoje pagal tą patį konkretų uždavinį dalyvauja tik ta pati viena įmonė, neatsižvelgiant į </w:t>
                    </w:r>
                    <w:r>
                      <w:rPr>
                        <w:lang w:eastAsia="lt-LT"/>
                      </w:rPr>
                      <w:t>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w:t>
                    </w:r>
                    <w:r>
                      <w:t>t/dokumentai?_sft_dokumentu-kategorija=metodine-pagalba&amp;_sfm_programa=2335).</w:t>
                    </w:r>
                  </w:p>
                </w:tc>
              </w:tr>
            </w:tbl>
            <w:p w:rsidR="005E73D5" w:rsidRDefault="007C1895"/>
          </w:sdtContent>
        </w:sdt>
        <w:sdt>
          <w:sdtPr>
            <w:alias w:val="skyrius"/>
            <w:tag w:val="part_fe38bb2ac4284c3c8fe337c0bacca5f5"/>
            <w:id w:val="2044634848"/>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Pr>
                      <w:rFonts w:eastAsia="SimSun"/>
                      <w:b/>
                      <w:caps/>
                      <w:szCs w:val="24"/>
                      <w:lang w:eastAsia="lt-LT"/>
                    </w:rPr>
                    <w:t>XXII</w:t>
                  </w:r>
                </w:sdtContent>
              </w:sdt>
              <w:r>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 xml:space="preserve">Paramą </w:t>
                    </w:r>
                    <w:r>
                      <w:rPr>
                        <w:szCs w:val="24"/>
                        <w:lang w:eastAsia="lt-LT"/>
                      </w:rPr>
                      <w:t>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laikoma na</w:t>
                    </w:r>
                    <w:r>
                      <w:rPr>
                        <w:szCs w:val="24"/>
                        <w:lang w:eastAsia="lt-LT"/>
                      </w:rPr>
                      <w:t>uja, jei ji įsteigta mažiau nei prieš trejus metus iki įmonės kreipimosi dėl paramos gavimo; taip pat jei įmonė atskyrė savo veiklas (pvz., atžalinės įmonės).</w:t>
                    </w:r>
                  </w:p>
                  <w:p w:rsidR="005E73D5" w:rsidRDefault="005E73D5">
                    <w:pPr>
                      <w:jc w:val="both"/>
                      <w:rPr>
                        <w:szCs w:val="24"/>
                        <w:lang w:eastAsia="lt-LT"/>
                      </w:rPr>
                    </w:pPr>
                  </w:p>
                  <w:p w:rsidR="005E73D5" w:rsidRDefault="007C1895">
                    <w:pPr>
                      <w:jc w:val="both"/>
                      <w:rPr>
                        <w:szCs w:val="24"/>
                        <w:lang w:eastAsia="lt-LT"/>
                      </w:rPr>
                    </w:pPr>
                    <w:r>
                      <w:t>Atžalinė įmonė – nauja įmonė, kurios steigėjas arba vienas iš steigėjų yra mokslo ir studijų ins</w:t>
                    </w:r>
                    <w:r>
                      <w:t>titucija arba įmonė, kurios tikslas – komercinti mokslo ir studijų institucijoje (-ose) arba įmonėje (-ėse)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 xml:space="preserve">Įmonė nelaikoma nauja, jei pasikeitė tik jos teisinė </w:t>
                    </w:r>
                    <w:r>
                      <w:rPr>
                        <w:szCs w:val="24"/>
                        <w:lang w:eastAsia="lt-LT"/>
                      </w:rPr>
                      <w:t>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Verslininkas – fizinis asmuo, kuris </w:t>
                    </w:r>
                    <w:r>
                      <w:rPr>
                        <w:szCs w:val="24"/>
                        <w:lang w:eastAsia="en-IE"/>
                      </w:rPr>
                      <w:t>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Rodiklis apskaičiuojamas </w:t>
                    </w:r>
                    <w:r>
                      <w:rPr>
                        <w:lang w:eastAsia="lt-LT"/>
                      </w:rPr>
                      <w:t>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w:t>
                    </w:r>
                    <w:r>
                      <w:rPr>
                        <w:szCs w:val="24"/>
                      </w:rPr>
                      <w:t>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w:t>
                    </w:r>
                    <w:r>
                      <w:rPr>
                        <w:szCs w:val="24"/>
                        <w:lang w:eastAsia="lt-LT"/>
                      </w:rPr>
                      <w:t>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bCs/>
                        <w:szCs w:val="24"/>
                        <w:lang w:eastAsia="lt-LT"/>
                      </w:rPr>
                      <w:t>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nefinansinę paramą (pirmą kartą vykdomos konsultacijos, mokymai keistis </w:t>
                    </w:r>
                    <w:r>
                      <w:rPr>
                        <w:bCs/>
                        <w:szCs w:val="24"/>
                        <w:lang w:eastAsia="lt-LT"/>
                      </w:rPr>
                      <w:t>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w:t>
                    </w:r>
                    <w:r>
                      <w:rPr>
                        <w:szCs w:val="24"/>
                        <w:lang w:eastAsia="lt-LT"/>
                      </w:rPr>
                      <w:t>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w:t>
                    </w:r>
                    <w:r>
                      <w:rPr>
                        <w:szCs w:val="24"/>
                        <w:lang w:eastAsia="lt-LT"/>
                      </w:rPr>
                      <w:t>rieiga per internetą: https://cpva.lt/dokumentai?_sft_dokumentu-kategorija=metodine-pagalba&amp;_sfm_programa=2335).</w:t>
                    </w:r>
                  </w:p>
                </w:tc>
              </w:tr>
            </w:tbl>
            <w:p w:rsidR="005E73D5" w:rsidRDefault="007C1895"/>
          </w:sdtContent>
        </w:sdt>
        <w:sdt>
          <w:sdtPr>
            <w:alias w:val="skyrius"/>
            <w:tag w:val="part_d3b209234e884fa09ef75c0838eea18d"/>
            <w:id w:val="-1357568856"/>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Pr>
                      <w:rFonts w:eastAsia="SimSun"/>
                      <w:b/>
                      <w:caps/>
                      <w:szCs w:val="24"/>
                      <w:lang w:eastAsia="lt-LT"/>
                    </w:rPr>
                    <w:t>XXIII</w:t>
                  </w:r>
                </w:sdtContent>
              </w:sdt>
              <w:r>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w:t>
                  </w:r>
                  <w:r>
                    <w:rPr>
                      <w:rFonts w:eastAsia="SimSun"/>
                      <w:b/>
                      <w:caps/>
                      <w:szCs w:val="24"/>
                      <w:lang w:eastAsia="lt-LT"/>
                    </w:rPr>
                    <w:t>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w:t>
                    </w:r>
                    <w:r>
                      <w:rPr>
                        <w:szCs w:val="24"/>
                        <w:lang w:eastAsia="lt-LT"/>
                      </w:rPr>
                      <w:t>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w:t>
                    </w:r>
                    <w:r>
                      <w:rPr>
                        <w:iCs/>
                        <w:szCs w:val="24"/>
                        <w:lang w:eastAsia="lt-LT"/>
                      </w:rPr>
                      <w:t xml:space="preserve">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 xml:space="preserve">Lietuvos Respublikos švietimo, mokslo ir sporto ministro įsakymu turi būti patvirtintas Europos Sąjungos mokslinių tyrimų ir inovacijų programos „Europos </w:t>
                    </w:r>
                    <w:r>
                      <w:rPr>
                        <w:iCs/>
                        <w:szCs w:val="24"/>
                        <w:lang w:eastAsia="lt-LT"/>
                      </w:rPr>
                      <w:t>horizontas“ akceleravimo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reikšmės </w:t>
                    </w:r>
                    <w:r>
                      <w:rPr>
                        <w:szCs w:val="24"/>
                        <w:lang w:eastAsia="lt-LT"/>
                      </w:rPr>
                      <w:t>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w:t>
                    </w:r>
                    <w:r>
                      <w:rPr>
                        <w:bCs/>
                        <w:iCs/>
                        <w:szCs w:val="24"/>
                        <w:lang w:eastAsia="lt-LT"/>
                      </w:rPr>
                      <w:t xml:space="preserve"> akceleravimo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 xml:space="preserve">Technologijų ir </w:t>
                    </w:r>
                    <w:r>
                      <w:rPr>
                        <w:szCs w:val="24"/>
                        <w:lang w:eastAsia="en-GB"/>
                      </w:rPr>
                      <w:t>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7C1895"/>
          </w:sdtContent>
        </w:sdt>
        <w:sdt>
          <w:sdtPr>
            <w:alias w:val="skyrius"/>
            <w:tag w:val="part_dc2805bfde494b8da71bd17a7351832a"/>
            <w:id w:val="1546415005"/>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Pr>
                      <w:rFonts w:eastAsia="SimSun"/>
                      <w:b/>
                      <w:caps/>
                      <w:szCs w:val="24"/>
                      <w:lang w:eastAsia="lt-LT"/>
                    </w:rPr>
                    <w:t>XXIV</w:t>
                  </w:r>
                </w:sdtContent>
              </w:sdt>
              <w:r>
                <w:rPr>
                  <w:rFonts w:eastAsia="SimSun"/>
                  <w:b/>
                  <w:caps/>
                  <w:szCs w:val="24"/>
                  <w:lang w:eastAsia="lt-LT"/>
                </w:rPr>
                <w:t xml:space="preserve"> skyrius</w:t>
              </w:r>
            </w:p>
            <w:sdt>
              <w:sdtPr>
                <w:alias w:val="Pavadinimas"/>
                <w:tag w:val="title_dc2805bfde494b8da71bd17a7351832a"/>
                <w:id w:val="188274883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„FINANSUOTI PROJEKTAI IR KONSULTAVIMO PASLAUGOS </w:t>
                  </w:r>
                  <w:r>
                    <w:rPr>
                      <w:rFonts w:eastAsia="SimSun"/>
                      <w:b/>
                      <w:bCs/>
                      <w:iCs/>
                      <w:szCs w:val="24"/>
                      <w:lang w:eastAsia="lt-LT"/>
                    </w:rPr>
                    <w:t>MOKSLO IR STUDIJŲ INSTITUCIJŲ IR MAŽŲ IR VIDUTINIŲ ĮMONIŲ POTENCIALIEMS PROGRAMOS „EUROPOS HORIZONTAS“ PAREIŠKĖJAMS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 xml:space="preserve">Finansuoti projektai ir konsultavimo </w:t>
                    </w:r>
                    <w:r>
                      <w:rPr>
                        <w:bCs/>
                        <w:iCs/>
                        <w:szCs w:val="24"/>
                        <w:lang w:eastAsia="lt-LT"/>
                      </w:rPr>
                      <w:t>paslaugos mokslo ir studijų institucijų ir mažų ir vidutinių įmonių potencialiems programos „Europos horizontas“ pareiškėjams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w:t>
                    </w:r>
                    <w:r>
                      <w:rPr>
                        <w:szCs w:val="24"/>
                        <w:lang w:eastAsia="lt-LT"/>
                      </w:rPr>
                      <w:t>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szCs w:val="24"/>
                      </w:rPr>
                      <w:t>P-12-001-01-02-01-14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LT-C[C5]-R[E-1-3-.E-1-3-]-T[135];</w:t>
                    </w:r>
                  </w:p>
                  <w:p w:rsidR="005E73D5" w:rsidRDefault="007C1895">
                    <w:pPr>
                      <w:widowControl w:val="0"/>
                      <w:spacing w:line="256" w:lineRule="auto"/>
                      <w:jc w:val="both"/>
                      <w:rPr>
                        <w:iCs/>
                        <w:szCs w:val="24"/>
                        <w:lang w:eastAsia="lt-LT"/>
                      </w:rPr>
                    </w:pPr>
                    <w:r>
                      <w:rPr>
                        <w:iCs/>
                        <w:szCs w:val="24"/>
                        <w:lang w:eastAsia="lt-LT"/>
                      </w:rPr>
                      <w:t>LT-C[C5]-R[E-1-3-.E-1-3-]-T[136]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 xml:space="preserve">Skaičiuojami pagal šias pažangos priemonės veiklos programos „Europos horizontas“ akceleravimo poveikles finansuoti projektai ir / ar suteiktos kosnultacijos, </w:t>
                    </w:r>
                    <w:r>
                      <w:rPr>
                        <w:iCs/>
                        <w:szCs w:val="24"/>
                        <w:lang w:eastAsia="lt-LT"/>
                      </w:rPr>
                      <w:t>finansuotos narystės tarptautiniuose tinkluose:</w:t>
                    </w:r>
                  </w:p>
                  <w:p w:rsidR="005E73D5" w:rsidRDefault="005E73D5">
                    <w:pPr>
                      <w:spacing w:line="256" w:lineRule="auto"/>
                      <w:jc w:val="both"/>
                      <w:rPr>
                        <w:iCs/>
                        <w:szCs w:val="24"/>
                        <w:lang w:eastAsia="lt-LT"/>
                      </w:rPr>
                    </w:pPr>
                  </w:p>
                  <w:p w:rsidR="005E73D5" w:rsidRDefault="007C1895">
                    <w:pPr>
                      <w:tabs>
                        <w:tab w:val="left" w:pos="395"/>
                      </w:tabs>
                      <w:spacing w:line="257" w:lineRule="auto"/>
                      <w:jc w:val="both"/>
                      <w:rPr>
                        <w:szCs w:val="24"/>
                        <w:lang w:eastAsia="lt-LT"/>
                      </w:rPr>
                    </w:pPr>
                    <w:r>
                      <w:rPr>
                        <w:lang w:eastAsia="lt-LT"/>
                      </w:rPr>
                      <w:t>1.</w:t>
                    </w:r>
                    <w:r>
                      <w:tab/>
                    </w:r>
                    <w:r>
                      <w:rPr>
                        <w:lang w:eastAsia="lt-LT"/>
                      </w:rPr>
                      <w:t xml:space="preserve">Parama Lietuvos dalyvavimui tarptautiniuose Europos Sąjungos koordinavimo iniciatyvų projektuose kofinansuoti – </w:t>
                    </w:r>
                    <w:r>
                      <w:rPr>
                        <w:szCs w:val="24"/>
                      </w:rPr>
                      <w:t>tarpvalstybinių ES koordinavimo iniciatyvų projektai</w:t>
                    </w:r>
                    <w:r>
                      <w:rPr>
                        <w:szCs w:val="24"/>
                        <w:lang w:eastAsia="lt-LT"/>
                      </w:rPr>
                      <w:t>.</w:t>
                    </w:r>
                  </w:p>
                  <w:p w:rsidR="005E73D5" w:rsidRDefault="005E73D5">
                    <w:pPr>
                      <w:rPr>
                        <w:sz w:val="14"/>
                        <w:szCs w:val="14"/>
                      </w:rPr>
                    </w:pPr>
                  </w:p>
                  <w:p w:rsidR="005E73D5" w:rsidRDefault="007C1895">
                    <w:pPr>
                      <w:tabs>
                        <w:tab w:val="left" w:pos="253"/>
                      </w:tabs>
                      <w:spacing w:line="257" w:lineRule="auto"/>
                      <w:jc w:val="both"/>
                      <w:rPr>
                        <w:szCs w:val="24"/>
                        <w:lang w:eastAsia="lt-LT"/>
                      </w:rPr>
                    </w:pPr>
                    <w:r>
                      <w:rPr>
                        <w:lang w:eastAsia="lt-LT"/>
                      </w:rPr>
                      <w:t>2.</w:t>
                    </w:r>
                    <w:r>
                      <w:tab/>
                    </w:r>
                    <w:r>
                      <w:rPr>
                        <w:lang w:eastAsia="lt-LT"/>
                      </w:rPr>
                      <w:t>Parama mokslo ir MVĮ projektams, gavusiems Europos Komisijos kokybės ženklą, ir Marie Skłodowskos-Curie veiklos, Europos mokslo tarybos, Pažangos sklaidos ir mokslinių tyrimų erdvės teigiamai įvertintiems, tačiau dėl lėšų trūkumo negavusiems Europos Komisi</w:t>
                    </w:r>
                    <w:r>
                      <w:rPr>
                        <w:lang w:eastAsia="lt-LT"/>
                      </w:rPr>
                      <w:t xml:space="preserve">jos finansavimo projektams </w:t>
                    </w:r>
                    <w:r>
                      <w:rPr>
                        <w:szCs w:val="24"/>
                        <w:lang w:eastAsia="lt-LT"/>
                      </w:rPr>
                      <w:t xml:space="preserve">– </w:t>
                    </w:r>
                    <w:r>
                      <w:rPr>
                        <w:szCs w:val="24"/>
                      </w:rPr>
                      <w:t>mokslo ir studijų institucijų ir MVĮ projektai, teigiamai įvertinti pagal programą „Europos Horizontas“, bet dėl biudžeto trūkumo negavę finansavimo (įskaitant projektus, kuriems suteiktas pažangumo ženklas)</w:t>
                    </w:r>
                    <w:r>
                      <w:rPr>
                        <w:szCs w:val="24"/>
                        <w:lang w:eastAsia="lt-LT"/>
                      </w:rPr>
                      <w:t>.</w:t>
                    </w:r>
                  </w:p>
                  <w:p w:rsidR="005E73D5" w:rsidRDefault="005E73D5">
                    <w:pPr>
                      <w:rPr>
                        <w:sz w:val="14"/>
                        <w:szCs w:val="14"/>
                      </w:rPr>
                    </w:pPr>
                  </w:p>
                  <w:p w:rsidR="005E73D5" w:rsidRDefault="007C1895">
                    <w:pPr>
                      <w:tabs>
                        <w:tab w:val="left" w:pos="253"/>
                      </w:tabs>
                      <w:spacing w:line="256" w:lineRule="auto"/>
                      <w:jc w:val="both"/>
                      <w:rPr>
                        <w:lang w:eastAsia="lt-LT"/>
                      </w:rPr>
                    </w:pPr>
                    <w:r>
                      <w:rPr>
                        <w:lang w:eastAsia="lt-LT"/>
                      </w:rPr>
                      <w:t>3.</w:t>
                    </w:r>
                    <w:r>
                      <w:tab/>
                    </w:r>
                    <w:r>
                      <w:rPr>
                        <w:lang w:eastAsia="lt-LT"/>
                      </w:rPr>
                      <w:t>Parama identif</w:t>
                    </w:r>
                    <w:r>
                      <w:rPr>
                        <w:lang w:eastAsia="lt-LT"/>
                      </w:rPr>
                      <w:t>ikuotiems startiniams MTEP projektams ir galimybių studijoms su institucijų kelrodžiais sėkmingam dalyvavimui Europos Sąjungos mokslinių tyrimų ir inovacijų programos „Europos horizontas“ kvietimuose skatinti:</w:t>
                    </w:r>
                  </w:p>
                  <w:p w:rsidR="005E73D5" w:rsidRDefault="007C1895">
                    <w:pPr>
                      <w:spacing w:line="257" w:lineRule="auto"/>
                      <w:jc w:val="both"/>
                      <w:rPr>
                        <w:szCs w:val="24"/>
                      </w:rPr>
                    </w:pPr>
                    <w:r>
                      <w:rPr>
                        <w:szCs w:val="24"/>
                        <w:lang w:eastAsia="lt-LT"/>
                      </w:rPr>
                      <w:t xml:space="preserve">- </w:t>
                    </w:r>
                    <w:r>
                      <w:rPr>
                        <w:szCs w:val="24"/>
                      </w:rPr>
                      <w:t>galimybių studijų, skirtų potencialiems para</w:t>
                    </w:r>
                    <w:r>
                      <w:rPr>
                        <w:szCs w:val="24"/>
                      </w:rPr>
                      <w:t>mos gavėjams, siekiantiems dalyvauti programos „Europos horizontas“ veiklose, rengimui remti, projektai;</w:t>
                    </w:r>
                  </w:p>
                  <w:p w:rsidR="005E73D5" w:rsidRDefault="005E73D5">
                    <w:pPr>
                      <w:rPr>
                        <w:sz w:val="14"/>
                        <w:szCs w:val="14"/>
                      </w:rPr>
                    </w:pPr>
                  </w:p>
                  <w:p w:rsidR="005E73D5" w:rsidRDefault="007C1895">
                    <w:pPr>
                      <w:spacing w:line="257" w:lineRule="auto"/>
                      <w:jc w:val="both"/>
                      <w:rPr>
                        <w:szCs w:val="24"/>
                        <w:lang w:eastAsia="lt-LT"/>
                      </w:rPr>
                    </w:pPr>
                    <w:r>
                      <w:rPr>
                        <w:szCs w:val="24"/>
                      </w:rPr>
                      <w:t>- konsultavimo / ekspertų paslaugos, siekiant ugdyti kompetencijas dalyvauti tarptautinėse MTEPI programose</w:t>
                    </w:r>
                    <w:r>
                      <w:rPr>
                        <w:szCs w:val="24"/>
                        <w:lang w:eastAsia="lt-LT"/>
                      </w:rPr>
                      <w:t>.</w:t>
                    </w:r>
                  </w:p>
                  <w:p w:rsidR="005E73D5" w:rsidRDefault="005E73D5">
                    <w:pPr>
                      <w:rPr>
                        <w:sz w:val="14"/>
                        <w:szCs w:val="14"/>
                      </w:rPr>
                    </w:pPr>
                  </w:p>
                  <w:p w:rsidR="005E73D5" w:rsidRDefault="007C1895">
                    <w:pPr>
                      <w:tabs>
                        <w:tab w:val="left" w:pos="253"/>
                      </w:tabs>
                      <w:spacing w:line="257" w:lineRule="auto"/>
                      <w:jc w:val="both"/>
                      <w:rPr>
                        <w:szCs w:val="24"/>
                      </w:rPr>
                    </w:pPr>
                    <w:r>
                      <w:rPr>
                        <w:lang w:eastAsia="lt-LT"/>
                      </w:rPr>
                      <w:t>4.</w:t>
                    </w:r>
                    <w:r>
                      <w:tab/>
                    </w:r>
                    <w:r>
                      <w:rPr>
                        <w:lang w:eastAsia="lt-LT"/>
                      </w:rPr>
                      <w:t>Parama mokslo, asocijuotų verslo stru</w:t>
                    </w:r>
                    <w:r>
                      <w:rPr>
                        <w:lang w:eastAsia="lt-LT"/>
                      </w:rPr>
                      <w:t xml:space="preserve">ktūrų narystei ir veiklai tarptautiniuose tinkluose, generuojančiuose iniciatyvas ir ES mokslinių tyrimų ir inovacijų programos „Europos horizontas“ tematikas </w:t>
                    </w:r>
                    <w:r>
                      <w:rPr>
                        <w:szCs w:val="24"/>
                        <w:lang w:eastAsia="lt-LT"/>
                      </w:rPr>
                      <w:t xml:space="preserve">– </w:t>
                    </w:r>
                    <w:r>
                      <w:rPr>
                        <w:szCs w:val="24"/>
                      </w:rPr>
                      <w:t>narystės tarptautiniuose tinkluose.</w:t>
                    </w:r>
                  </w:p>
                  <w:p w:rsidR="005E73D5" w:rsidRDefault="005E73D5">
                    <w:pPr>
                      <w:rPr>
                        <w:sz w:val="14"/>
                        <w:szCs w:val="14"/>
                      </w:rPr>
                    </w:pPr>
                  </w:p>
                  <w:p w:rsidR="005E73D5" w:rsidRDefault="007C1895">
                    <w:pPr>
                      <w:tabs>
                        <w:tab w:val="left" w:pos="253"/>
                      </w:tabs>
                      <w:spacing w:line="257" w:lineRule="auto"/>
                      <w:jc w:val="both"/>
                      <w:rPr>
                        <w:szCs w:val="24"/>
                        <w:lang w:eastAsia="lt-LT"/>
                      </w:rPr>
                    </w:pPr>
                    <w:r>
                      <w:rPr>
                        <w:lang w:eastAsia="lt-LT"/>
                      </w:rPr>
                      <w:t>5.</w:t>
                    </w:r>
                    <w:r>
                      <w:tab/>
                    </w:r>
                    <w:r>
                      <w:rPr>
                        <w:lang w:eastAsia="lt-LT"/>
                      </w:rPr>
                      <w:t>Parama veikloms, skirtoms Europos mokslinių tyrimų erdv</w:t>
                    </w:r>
                    <w:r>
                      <w:rPr>
                        <w:lang w:eastAsia="lt-LT"/>
                      </w:rPr>
                      <w:t xml:space="preserve">ės prioritetams įgyvendinti, siekiant institucinių pokyčių </w:t>
                    </w:r>
                    <w:r>
                      <w:rPr>
                        <w:szCs w:val="24"/>
                        <w:lang w:eastAsia="lt-LT"/>
                      </w:rPr>
                      <w:t xml:space="preserve">– projektai skirti </w:t>
                    </w:r>
                    <w:r>
                      <w:rPr>
                        <w:szCs w:val="24"/>
                      </w:rPr>
                      <w:t>Europos mokslinių tyrimų erdvės ir programos „Europos horizontas“ projektų įgyvendinimo pajėgumams remti</w:t>
                    </w:r>
                    <w:r>
                      <w:rPr>
                        <w:szCs w:val="24"/>
                        <w:lang w:eastAsia="lt-LT"/>
                      </w:rPr>
                      <w:t>.</w:t>
                    </w:r>
                  </w:p>
                  <w:p w:rsidR="005E73D5" w:rsidRDefault="005E73D5">
                    <w:pPr>
                      <w:rPr>
                        <w:sz w:val="14"/>
                        <w:szCs w:val="14"/>
                      </w:rPr>
                    </w:pPr>
                  </w:p>
                  <w:p w:rsidR="005E73D5" w:rsidRDefault="007C1895">
                    <w:pPr>
                      <w:tabs>
                        <w:tab w:val="left" w:pos="395"/>
                      </w:tabs>
                      <w:spacing w:line="256" w:lineRule="auto"/>
                      <w:jc w:val="both"/>
                      <w:rPr>
                        <w:iCs/>
                        <w:szCs w:val="24"/>
                        <w:lang w:eastAsia="lt-LT"/>
                      </w:rPr>
                    </w:pPr>
                    <w:r>
                      <w:rPr>
                        <w:lang w:eastAsia="lt-LT"/>
                      </w:rPr>
                      <w:t>6.</w:t>
                    </w:r>
                    <w:r>
                      <w:tab/>
                    </w:r>
                    <w:r>
                      <w:rPr>
                        <w:lang w:eastAsia="lt-LT"/>
                      </w:rPr>
                      <w:t>Parama mokslo ir verslo kompetencijų stiprinimui rengti tarptautines</w:t>
                    </w:r>
                    <w:r>
                      <w:rPr>
                        <w:lang w:eastAsia="lt-LT"/>
                      </w:rPr>
                      <w:t xml:space="preserve"> projektų paraiškas MTEPI veikloms finansuoti </w:t>
                    </w:r>
                    <w:r>
                      <w:rPr>
                        <w:szCs w:val="24"/>
                        <w:lang w:eastAsia="lt-LT"/>
                      </w:rPr>
                      <w:t xml:space="preserve">– </w:t>
                    </w:r>
                    <w:r>
                      <w:rPr>
                        <w:szCs w:val="24"/>
                      </w:rPr>
                      <w:t>grupinės konsultacijos, siekiant ugdyti kompetencijas dalyvauti tarptautinėse MTEPI programose</w:t>
                    </w:r>
                    <w:r>
                      <w:rPr>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Sumuojant pagal pažangos priemonės veiklos Programos „Europos horizontas“ akceleravimo poveikles pasirašytos Projektų sutartys ir / ar suteiktos konsultacijos, finansuotos narystės tarptautinėse organizacijose.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duomenų šaltiniai: pasirašytos projektų sutartys, sąskaitos faktūros (kopijos), dalyvių sąrašai, dalyvių suvestinės, darbo sutartys (kopijos), tikslinę grupę pagrindžiantys dokumentai.</w:t>
                    </w:r>
                  </w:p>
                  <w:p w:rsidR="005E73D5" w:rsidRDefault="007C1895">
                    <w:pPr>
                      <w:spacing w:line="256" w:lineRule="auto"/>
                      <w:jc w:val="both"/>
                      <w:rPr>
                        <w:lang w:eastAsia="lt-LT"/>
                      </w:rPr>
                    </w:pPr>
                    <w:r>
                      <w:rPr>
                        <w:lang w:eastAsia="lt-LT"/>
                      </w:rPr>
                      <w:t>Antriniai duomenų šalti</w:t>
                    </w:r>
                    <w:r>
                      <w:rPr>
                        <w:lang w:eastAsia="lt-LT"/>
                      </w:rPr>
                      <w:t>niai: veiklos ataskaita / kitos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 xml:space="preserve">Už pasiekimą atsiskaitoma projekto vykdytojui deklaruojant rodiklio pasiekimą veiklos ataskaitoje / ataskaitose, kartu pateikiant to rodiklio pasiekimą </w:t>
                    </w:r>
                    <w:r>
                      <w:rPr>
                        <w:bCs/>
                        <w:iCs/>
                        <w:szCs w:val="24"/>
                        <w:lang w:eastAsia="lt-LT"/>
                      </w:rPr>
                      <w:t>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(pasirašius projekto sutartį, projekto veiklų įgyvendinimo metu parengus, pasirašius ir (arba) patvirtinus duomenų šaltinio skiltyje nurodytą pirminį dokumentą; projekto veiklų į</w:t>
                    </w:r>
                    <w:r>
                      <w:rPr>
                        <w:bCs/>
                        <w:iCs/>
                        <w:szCs w:val="24"/>
                        <w:lang w:eastAsia="lt-LT"/>
                      </w:rPr>
                      <w:t>gyvendinimo pabaigoje parengus, pasirašius ir (arba) 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Įstaigos padalinys ir kontaktinis telefono </w:t>
                    </w:r>
                    <w:r>
                      <w:rPr>
                        <w:szCs w:val="24"/>
                        <w:lang w:eastAsia="lt-LT"/>
                      </w:rPr>
                      <w:t>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spacing w:line="256" w:lineRule="auto"/>
                      <w:rPr>
                        <w:rFonts w:eastAsia="Calibri"/>
                        <w:bCs/>
                        <w:i/>
                        <w:iCs/>
                        <w:szCs w:val="24"/>
                        <w:lang w:eastAsia="lt-LT"/>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P.S.1.1136.</w:t>
                    </w:r>
                  </w:p>
                </w:tc>
              </w:tr>
            </w:tbl>
            <w:p w:rsidR="005E73D5" w:rsidRDefault="007C1895"/>
          </w:sdtContent>
        </w:sdt>
        <w:sdt>
          <w:sdtPr>
            <w:alias w:val="skyrius"/>
            <w:tag w:val="part_cf119cc6c8f044b79eeb08979326737b"/>
            <w:id w:val="1658567126"/>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Pr>
                      <w:rFonts w:eastAsia="SimSun"/>
                      <w:b/>
                      <w:caps/>
                      <w:szCs w:val="24"/>
                      <w:lang w:eastAsia="lt-LT"/>
                    </w:rPr>
                    <w:t>XXV</w:t>
                  </w:r>
                </w:sdtContent>
              </w:sdt>
              <w:r>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„SUKURTAS MOKSLO IR </w:t>
                  </w:r>
                  <w:r>
                    <w:rPr>
                      <w:rFonts w:eastAsia="SimSun"/>
                      <w:b/>
                      <w:bCs/>
                      <w:iCs/>
                      <w:szCs w:val="24"/>
                      <w:lang w:eastAsia="lt-LT"/>
                    </w:rPr>
                    <w:t>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 xml:space="preserve">Europos Komisijos </w:t>
                    </w:r>
                    <w:r>
                      <w:rPr>
                        <w:rFonts w:eastAsia="Calibri"/>
                        <w:bCs/>
                        <w:szCs w:val="24"/>
                        <w:lang w:eastAsia="lt-LT"/>
                      </w:rPr>
                      <w:t>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 xml:space="preserve">Turi būti sukurtas mokslo ir inovacijų srities pareigūnų veiklos modelis, siekiant geriau atstovauti Lietuvos mokslo ir verslo </w:t>
                    </w:r>
                    <w:r>
                      <w:rPr>
                        <w:iCs/>
                        <w:szCs w:val="24"/>
                        <w:lang w:eastAsia="lt-LT"/>
                      </w:rPr>
                      <w:t>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Modelis turi būti sukurtas bendradarbiaujant</w:t>
                    </w:r>
                    <w:r>
                      <w:rPr>
                        <w:iCs/>
                        <w:szCs w:val="24"/>
                        <w:lang w:eastAsia="lt-LT"/>
                      </w:rPr>
                      <w:t xml:space="preserve"> Švietimo, mokslo ir sporto ministerijai bei 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 xml:space="preserve">veiklos modelio </w:t>
                    </w:r>
                    <w:r>
                      <w:rPr>
                        <w:szCs w:val="24"/>
                        <w:lang w:eastAsia="lt-LT"/>
                      </w:rPr>
                      <w:t>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w:t>
                    </w:r>
                    <w:r>
                      <w:rPr>
                        <w:bCs/>
                        <w:szCs w:val="24"/>
                        <w:lang w:eastAsia="lt-LT"/>
                      </w:rPr>
                      <w:t>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 xml:space="preserve">Švietimo, mokslo ir </w:t>
                    </w:r>
                    <w:r>
                      <w:rPr>
                        <w:bCs/>
                        <w:iCs/>
                        <w:szCs w:val="24"/>
                      </w:rPr>
                      <w:t>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7C1895"/>
          </w:sdtContent>
        </w:sdt>
        <w:sdt>
          <w:sdtPr>
            <w:alias w:val="skyrius"/>
            <w:tag w:val="part_947464248ae042f080a450c10c47f800"/>
            <w:id w:val="-547454914"/>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Pr>
                      <w:rFonts w:eastAsia="SimSun"/>
                      <w:b/>
                      <w:caps/>
                      <w:szCs w:val="24"/>
                      <w:lang w:eastAsia="lt-LT"/>
                    </w:rPr>
                    <w:t>XXVI</w:t>
                  </w:r>
                </w:sdtContent>
              </w:sdt>
              <w:r>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 xml:space="preserve">Įsteigtos mokslo pareigūnų ir nacionalinių </w:t>
                    </w:r>
                    <w:r>
                      <w:rPr>
                        <w:bCs/>
                        <w:iCs/>
                        <w:szCs w:val="24"/>
                        <w:lang w:eastAsia="lt-LT"/>
                      </w:rPr>
                      <w:t>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 xml:space="preserve">Skaičiuojamos įsteigtos ir išlaikytos pareigybės pagal </w:t>
                    </w:r>
                    <w:r>
                      <w:rPr>
                        <w:iCs/>
                        <w:szCs w:val="24"/>
                        <w:lang w:eastAsia="lt-LT"/>
                      </w:rPr>
                      <w:t>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įveiklinimas“.</w:t>
                    </w:r>
                  </w:p>
                  <w:p w:rsidR="005E73D5" w:rsidRDefault="007C1895">
                    <w:pPr>
                      <w:tabs>
                        <w:tab w:val="left" w:pos="253"/>
                      </w:tabs>
                      <w:spacing w:line="256" w:lineRule="auto"/>
                      <w:jc w:val="both"/>
                      <w:rPr>
                        <w:iCs/>
                        <w:szCs w:val="24"/>
                        <w:lang w:eastAsia="lt-LT"/>
                      </w:rPr>
                    </w:pPr>
                    <w:r>
                      <w:rPr>
                        <w:iCs/>
                        <w:szCs w:val="24"/>
                        <w:lang w:eastAsia="lt-LT"/>
                      </w:rPr>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w:t>
                    </w:r>
                    <w:r>
                      <w:rPr>
                        <w:iCs/>
                        <w:szCs w:val="24"/>
                        <w:lang w:eastAsia="lt-LT"/>
                      </w:rPr>
                      <w:t>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Nacionaliniai kontaktiniai asmenys – kompetencijos ir patirties reikalavimus atitinkantys, pagal programos </w:t>
                    </w:r>
                    <w:r>
                      <w:rPr>
                        <w:iCs/>
                        <w:szCs w:val="24"/>
                        <w:lang w:eastAsia="lt-LT"/>
                      </w:rPr>
                      <w:t>„Europos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įveiklinimas“.</w:t>
                    </w:r>
                  </w:p>
                  <w:p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w:t>
                    </w:r>
                    <w:r>
                      <w:rPr>
                        <w:rFonts w:eastAsia="Calibri"/>
                        <w:bCs/>
                        <w:iCs/>
                        <w:szCs w:val="24"/>
                        <w:lang w:eastAsia="lt-LT"/>
                      </w:rPr>
                      <w:t xml:space="preserve">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w:t>
                    </w:r>
                    <w:r>
                      <w:rPr>
                        <w:szCs w:val="24"/>
                        <w:lang w:eastAsia="lt-LT"/>
                      </w:rPr>
                      <w:t>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w:t>
                    </w:r>
                    <w:r>
                      <w:rPr>
                        <w:bCs/>
                        <w:szCs w:val="24"/>
                        <w:lang w:eastAsia="lt-LT"/>
                      </w:rPr>
                      <w: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w:t>
                    </w:r>
                    <w:r>
                      <w:rPr>
                        <w:bCs/>
                        <w:iCs/>
                        <w:szCs w:val="24"/>
                        <w:lang w:eastAsia="lt-LT"/>
                      </w:rPr>
                      <w: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Kita </w:t>
                    </w:r>
                    <w:r>
                      <w:rPr>
                        <w:szCs w:val="24"/>
                        <w:lang w:eastAsia="lt-LT"/>
                      </w:rPr>
                      <w:t>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7C1895"/>
          </w:sdtContent>
        </w:sdt>
        <w:sdt>
          <w:sdtPr>
            <w:alias w:val="skyrius"/>
            <w:tag w:val="part_9141d6b09714436d956cca7e84e25c26"/>
            <w:id w:val="-608895811"/>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Pr>
                      <w:rFonts w:eastAsia="SimSun"/>
                      <w:b/>
                      <w:caps/>
                      <w:szCs w:val="24"/>
                      <w:lang w:eastAsia="lt-LT"/>
                    </w:rPr>
                    <w:t>XXVII</w:t>
                  </w:r>
                </w:sdtContent>
              </w:sdt>
              <w:r>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 xml:space="preserve">Stebėsenos rodiklio </w:t>
                    </w:r>
                    <w:r>
                      <w:rPr>
                        <w:szCs w:val="24"/>
                        <w:lang w:eastAsia="lt-LT"/>
                      </w:rPr>
                      <w:t>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Produkto rodiklis </w:t>
                    </w:r>
                    <w:r>
                      <w:rPr>
                        <w:lang w:eastAsia="lt-LT"/>
                      </w:rPr>
                      <w:t>(nacionalinis)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i/>
                        <w:iCs/>
                        <w:szCs w:val="24"/>
                      </w:rPr>
                      <w:t>EuroHPC</w:t>
                    </w:r>
                    <w:r>
                      <w:rPr>
                        <w:szCs w:val="24"/>
                      </w:rPr>
                      <w:t xml:space="preserve"> centro paslauga – plataus spektro superkompiuterinės (HPC) paslaugos įvairioms vartotojų grupėms, įskaitant bazinių ir specializuotų (AI/HPDA/HPC) superkompiuterinių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r>
                      <w:rPr>
                        <w:rFonts w:eastAsia="Calibri"/>
                        <w:i/>
                        <w:iCs/>
                        <w:szCs w:val="24"/>
                      </w:rPr>
                      <w:t>workshop</w:t>
                    </w:r>
                    <w:r>
                      <w:rPr>
                        <w:rFonts w:eastAsia="Calibri"/>
                        <w:szCs w:val="24"/>
                      </w:rPr>
                      <w:t xml:space="preserve"> ar hekatonas) ir asmuo gali dalyvauti keliuose mokymuose, ir bus pakartotinai įskaičiuotas (asmuo gali būti iš tos pačios įstaigos, kuris vykdo</w:t>
                    </w:r>
                    <w:r>
                      <w:rPr>
                        <w:rFonts w:eastAsia="Calibri"/>
                        <w:szCs w:val="24"/>
                      </w:rPr>
                      <w:t xml:space="preserve">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w:t>
                    </w:r>
                    <w:r>
                      <w:rPr>
                        <w:szCs w:val="24"/>
                        <w:lang w:eastAsia="lt-LT"/>
                      </w:rPr>
                      <w:t>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w:t>
                    </w:r>
                    <w:r>
                      <w:rPr>
                        <w:lang w:eastAsia="lt-LT"/>
                      </w:rPr>
                      <w: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 xml:space="preserve">Stebėsenos rodiklis laikomas pasiektu, kai atsakinga institucija (priklausomai nuo siekiamo konkretaus rezultato pobūdžio) </w:t>
                    </w:r>
                    <w:r>
                      <w:rPr>
                        <w:szCs w:val="24"/>
                      </w:rPr>
                      <w:t>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7C1895">
              <w:pPr>
                <w:ind w:left="4820"/>
              </w:pPr>
            </w:p>
          </w:sdtContent>
        </w:sdt>
        <w:sdt>
          <w:sdtPr>
            <w:alias w:val="skyrius"/>
            <w:tag w:val="part_c2b9d183ecf047c28b15dc6e982af117"/>
            <w:id w:val="894323534"/>
            <w:lock w:val="sdtLocked"/>
          </w:sdtPr>
          <w:sdtEndPr/>
          <w:sdtContent>
            <w:p w:rsidR="005E73D5" w:rsidRDefault="007C1895">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Pr>
                      <w:rFonts w:eastAsia="SimSun"/>
                      <w:b/>
                      <w:caps/>
                      <w:szCs w:val="24"/>
                      <w:lang w:eastAsia="lt-LT"/>
                    </w:rPr>
                    <w:t>XXVIII</w:t>
                  </w:r>
                </w:sdtContent>
              </w:sdt>
              <w:r>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Stebėsenos rodiklio </w:t>
                    </w:r>
                    <w:r>
                      <w:rPr>
                        <w:szCs w:val="24"/>
                        <w:lang w:eastAsia="lt-LT"/>
                      </w:rPr>
                      <w:t>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w:t>
                    </w:r>
                    <w:r>
                      <w:rPr>
                        <w:rFonts w:eastAsia="Calibri"/>
                        <w:szCs w:val="24"/>
                      </w:rPr>
                      <w:t>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Sumuojamas bendras LINO biuro organizuotų renginių / susitikimų </w:t>
                    </w:r>
                    <w:r>
                      <w:rPr>
                        <w:szCs w:val="24"/>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pasiekimą atsiskaitoma projekto vykdytojui deklaruojant rodiklio pasiekimą veiklos ataskaitoje / ataskaitose </w:t>
                    </w:r>
                    <w:r>
                      <w:rPr>
                        <w:lang w:eastAsia="lt-LT"/>
                      </w:rPr>
                      <w:t>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w:t>
                    </w:r>
                    <w:r>
                      <w:rPr>
                        <w:szCs w:val="24"/>
                      </w:rPr>
                      <w:t>zultato pobūdžio) patvirtina 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Įstaigos padalinys ir kontaktinis </w:t>
                    </w:r>
                    <w:r>
                      <w:rPr>
                        <w:szCs w:val="24"/>
                        <w:lang w:eastAsia="lt-LT"/>
                      </w:rPr>
                      <w:t>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7C1895"/>
          </w:sdtContent>
        </w:sdt>
        <w:sdt>
          <w:sdtPr>
            <w:alias w:val="skyrius"/>
            <w:tag w:val="part_3f9382ae8a1444a8b088a11b96e27e91"/>
            <w:id w:val="1121885481"/>
            <w:lock w:val="sdtLocked"/>
          </w:sdtPr>
          <w:sdtEndPr/>
          <w:sdtContent>
            <w:p w:rsidR="005E73D5" w:rsidRDefault="007C1895">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Pr>
                      <w:rFonts w:eastAsia="SimSun"/>
                      <w:b/>
                      <w:bCs/>
                      <w:caps/>
                      <w:lang w:eastAsia="lt-LT"/>
                    </w:rPr>
                    <w:t>XXIX</w:t>
                  </w:r>
                </w:sdtContent>
              </w:sdt>
              <w:r>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taikomųjų mokslinių tyrimų ir eksperimentinės plėtros  veiklą nuo 4 TRL (išskirtinais atvejais – ir komercinį potencialą kuriančius fundamentinius mokslinius tyrimus (TRL2-3), kai jie atitinka sumaniąją specializaciją ir verslo, visuomenės poreikius bei ka</w:t>
                    </w:r>
                    <w:r>
                      <w:t>i fundamentiniai tyrimai yra neatsiejama MTEP projekto dalis) vykdantis ir jos pagrindu kurti komercinamas žinias siekiantis mokslo ir studijų institucijos arba universiteto ligoninės padalinys, turintis tarptautinį partnerį ir su juo pasirašytą susitarimą</w:t>
                    </w:r>
                    <w:r>
                      <w:t xml:space="preserve"> dėl bendros MTEP veiklos vykdymo ir (ar) žinių komercinimo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 xml:space="preserve">Sumuojami sukurti </w:t>
                    </w:r>
                    <w:r>
                      <w:rPr>
                        <w:szCs w:val="24"/>
                      </w:rPr>
                      <w:t>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Už pasiekimą </w:t>
                    </w:r>
                    <w:r>
                      <w:rPr>
                        <w:lang w:eastAsia="lt-LT"/>
                      </w:rPr>
                      <w:t>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w:t>
                    </w:r>
                    <w:r>
                      <w: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w:t>
                    </w:r>
                    <w:r>
                      <w:rPr>
                        <w:lang w:eastAsia="en-GB"/>
                      </w:rPr>
                      <w:t xml:space="preserve">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5E73D5" w:rsidRDefault="007C1895"/>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3D5" w:rsidRDefault="007C1895">
      <w:pPr>
        <w:rPr>
          <w:sz w:val="22"/>
          <w:szCs w:val="22"/>
        </w:rPr>
      </w:pPr>
      <w:r>
        <w:rPr>
          <w:sz w:val="22"/>
          <w:szCs w:val="22"/>
        </w:rPr>
        <w:separator/>
      </w:r>
    </w:p>
  </w:endnote>
  <w:endnote w:type="continuationSeparator" w:id="0">
    <w:p w:rsidR="005E73D5" w:rsidRDefault="007C1895">
      <w:pPr>
        <w:rPr>
          <w:sz w:val="22"/>
          <w:szCs w:val="22"/>
        </w:rPr>
      </w:pPr>
      <w:r>
        <w:rPr>
          <w:sz w:val="22"/>
          <w:szCs w:val="22"/>
        </w:rPr>
        <w:continuationSeparator/>
      </w:r>
    </w:p>
  </w:endnote>
  <w:endnote w:type="continuationNotice" w:id="1">
    <w:p w:rsidR="005E73D5" w:rsidRDefault="005E73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3D5" w:rsidRDefault="007C1895">
      <w:pPr>
        <w:rPr>
          <w:sz w:val="22"/>
          <w:szCs w:val="22"/>
        </w:rPr>
      </w:pPr>
      <w:r>
        <w:rPr>
          <w:sz w:val="22"/>
          <w:szCs w:val="22"/>
        </w:rPr>
        <w:separator/>
      </w:r>
    </w:p>
  </w:footnote>
  <w:footnote w:type="continuationSeparator" w:id="0">
    <w:p w:rsidR="005E73D5" w:rsidRDefault="007C1895">
      <w:pPr>
        <w:rPr>
          <w:sz w:val="22"/>
          <w:szCs w:val="22"/>
        </w:rPr>
      </w:pPr>
      <w:r>
        <w:rPr>
          <w:sz w:val="22"/>
          <w:szCs w:val="22"/>
        </w:rPr>
        <w:continuationSeparator/>
      </w:r>
    </w:p>
  </w:footnote>
  <w:footnote w:type="continuationNotice" w:id="1">
    <w:p w:rsidR="005E73D5" w:rsidRDefault="005E73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53</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73D5"/>
    <w:rsid w:val="007C1895"/>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a45e62ef-0ea5-4159-8e4e-935c311ecee2"/>
    <ds:schemaRef ds:uri="http://schemas.microsoft.com/office/2006/documentManagement/types"/>
    <ds:schemaRef ds:uri="1e1693f3-5ac1-46eb-845a-c82675dfe7a6"/>
    <ds:schemaRef ds:uri="http://purl.org/dc/dcmitype/"/>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37183B59-D72E-469A-836E-9093C8534670}">
  <ds:schemaRefs>
    <ds:schemaRef ds:uri="http://lrs.lt/TAIS/DocParts"/>
  </ds:schemaRefs>
</ds:datastoreItem>
</file>

<file path=customXml/itemProps4.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1CC364E-1482-4889-ADEB-111F9BB52514}">
  <ds:schemaRefs>
    <ds:schemaRef ds:uri="http://schemas.openxmlformats.org/officeDocument/2006/bibliography"/>
  </ds:schemaRefs>
</ds:datastoreItem>
</file>

<file path=customXml/itemProps6.xml><?xml version="1.0" encoding="utf-8"?>
<ds:datastoreItem xmlns:ds="http://schemas.openxmlformats.org/officeDocument/2006/customXml" ds:itemID="{527DF7EF-6587-4127-9FD6-B97AFEA2D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64510</Words>
  <Characters>36772</Characters>
  <Application>Microsoft Office Word</Application>
  <DocSecurity>0</DocSecurity>
  <Lines>306</Lines>
  <Paragraphs>202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101080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DZIKAITĖ Jolanta</cp:lastModifiedBy>
  <cp:revision>2</cp:revision>
  <cp:lastPrinted>2022-11-21T17:49:00Z</cp:lastPrinted>
  <dcterms:created xsi:type="dcterms:W3CDTF">2024-10-21T05:28:00Z</dcterms:created>
  <dcterms:modified xsi:type="dcterms:W3CDTF">2024-10-21T05:28:00Z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