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edab816099cd4241a2fc616aa3944b74"/>
        <w:lock w:val="sdtLocked"/>
        <w:richText/>
      </w:sdtPr>
      <w:sdtContent>
        <w:p w14:paraId="6EB6EFE4" w14:textId="77777777">
          <w:pPr>
            <w:tabs>
              <w:tab w:val="center" w:pos="4819"/>
              <w:tab w:val="right" w:pos="9638"/>
            </w:tabs>
          </w:pPr>
        </w:p>
        <w:p w14:paraId="4718DA0C" w14:textId="77777777">
          <w:pPr>
            <w:ind w:left="10206"/>
            <w:jc w:val="both"/>
            <w:rPr>
              <w:szCs w:val="24"/>
            </w:rPr>
          </w:pPr>
          <w:r>
            <w:rPr>
              <w:szCs w:val="24"/>
            </w:rPr>
            <w:t>18 priedo „2022–2030 m. plėtros programos valdytojos Lietuvos Respublikos švietimo, mokslo ir sporto ministerijos mokslo plėtros programos pažangos priemonės Nr. 12-001-01-02-01 „Stiprinti inovacijų ekosistemas mokslo centruose“ projektų finansavimo sąlygų aprašo Nr. 17“</w:t>
          </w:r>
        </w:p>
        <w:p w14:paraId="1F71C851" w14:textId="77777777">
          <w:pPr>
            <w:ind w:left="10206"/>
            <w:jc w:val="both"/>
            <w:rPr>
              <w:szCs w:val="24"/>
            </w:rPr>
          </w:pPr>
          <w:sdt>
            <w:sdtPr>
              <w:alias w:val="Numeris"/>
              <w:tag w:val="nr_edab816099cd4241a2fc616aa3944b74"/>
              <w:lock w:val="sdtLocked"/>
              <w:richText/>
            </w:sdtPr>
            <w:sdtContent>
              <w:r>
                <w:rPr>
                  <w:szCs w:val="24"/>
                </w:rPr>
                <w:t>7</w:t>
              </w:r>
            </w:sdtContent>
          </w:sdt>
          <w:r>
            <w:rPr>
              <w:szCs w:val="24"/>
            </w:rPr>
            <w:t xml:space="preserve"> priedas</w:t>
          </w:r>
        </w:p>
        <w:p w14:paraId="6B1E899D" w14:textId="77777777">
          <w:pPr>
            <w:jc w:val="center"/>
            <w:rPr>
              <w:rFonts w:eastAsia="Calibri"/>
              <w:b/>
              <w:bCs/>
              <w:szCs w:val="24"/>
            </w:rPr>
          </w:pPr>
        </w:p>
        <w:p w14:paraId="0D92431A" w14:textId="77777777">
          <w:pPr>
            <w:jc w:val="center"/>
            <w:rPr>
              <w:rFonts w:eastAsia="Calibri"/>
              <w:b/>
              <w:bCs/>
            </w:rPr>
          </w:pPr>
          <w:sdt>
            <w:sdtPr>
              <w:alias w:val="Pavadinimas"/>
              <w:tag w:val="title_edab816099cd4241a2fc616aa3944b74"/>
              <w:lock w:val="sdtLocked"/>
              <w:richText/>
            </w:sdtPr>
            <w:sdtContent>
              <w:r>
                <w:rPr>
                  <w:rFonts w:eastAsia="Calibri"/>
                  <w:b/>
                  <w:bCs/>
                </w:rPr>
                <w:t>PROJEKTO (ĮSKAITANT JUNGTINĮ PROJEKTĄ) ATITIKTIES REIKŠMINGOS ŽALOS NEDARYMO HORIZONTALIAJAM PRINCIPUI VERTINIMO REIKALAVIMŲ APRAŠAS</w:t>
              </w:r>
            </w:sdtContent>
          </w:sdt>
        </w:p>
        <w:p w14:paraId="3F24E1AF" w14:textId="77777777">
          <w:pPr>
            <w:jc w:val="center"/>
            <w:rPr>
              <w:rFonts w:eastAsia="Calibri"/>
              <w:b/>
              <w:bCs/>
              <w:szCs w:val="24"/>
            </w:rPr>
          </w:pPr>
        </w:p>
        <w:p w14:paraId="04F2DAFB"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3C791F1" w14:textId="7777777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4A36C4AF" w14:textId="77777777">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4471"/>
            <w:gridCol w:w="5093"/>
          </w:tblGrid>
          <w:tr w14:paraId="58B4333D" w14:textId="77777777">
            <w:tc>
              <w:tcPr>
                <w:tcW w:w="4885" w:type="dxa"/>
              </w:tcPr>
              <w:p w14:paraId="32244A69" w14:textId="77777777">
                <w:pPr>
                  <w:jc w:val="center"/>
                  <w:rPr>
                    <w:rFonts w:eastAsia="Calibri"/>
                    <w:b/>
                    <w:szCs w:val="24"/>
                  </w:rPr>
                </w:pPr>
                <w:r>
                  <w:rPr>
                    <w:rFonts w:eastAsia="Calibri"/>
                    <w:b/>
                    <w:szCs w:val="24"/>
                  </w:rPr>
                  <w:t>Aplinkos tikslai</w:t>
                </w:r>
              </w:p>
              <w:p w14:paraId="35477A02"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852R2020&amp;locale=lt \t _blank">
                  <w:r>
                    <w:rPr>
                      <w:rFonts w:eastAsia="Calibri"/>
                      <w:i/>
                      <w:szCs w:val="24"/>
                      <w:u w:val="single"/>
                      <w:color w:val="0000FF" w:themeColor="hyperlink"/>
                    </w:rPr>
                    <w:t>(ES) Nr. 2020/852</w:t>
                  </w:r>
                </w:fldSimple>
                <w:r>
                  <w:rPr>
                    <w:rFonts w:eastAsia="Calibri"/>
                    <w:i/>
                    <w:szCs w:val="24"/>
                  </w:rPr>
                  <w:t xml:space="preserve"> dėl sistemos tvariam investavimui palengvinti sukūrimo, kuriuo iš dalies keičiamas Reglamentas </w:t>
                </w:r>
                <w:fldSimple w:instr="HYPERLINK http://eur-lex.europa.eu/legal-content/LIT/TXT/?uri=CELEX:32088R2019&amp;locale=lt \t _blank">
                  <w:r>
                    <w:rPr>
                      <w:rFonts w:eastAsia="Calibri"/>
                      <w:i/>
                      <w:szCs w:val="24"/>
                      <w:u w:val="single"/>
                      <w:color w:val="0000FF" w:themeColor="hyperlink"/>
                    </w:rPr>
                    <w:t>(ES) Nr. 2019/2088</w:t>
                  </w:r>
                </w:fldSimple>
                <w:r>
                  <w:rPr>
                    <w:rFonts w:eastAsia="Calibri"/>
                    <w:i/>
                    <w:szCs w:val="24"/>
                  </w:rPr>
                  <w:t>)</w:t>
                </w:r>
              </w:p>
            </w:tc>
            <w:tc>
              <w:tcPr>
                <w:tcW w:w="4633" w:type="dxa"/>
              </w:tcPr>
              <w:p w14:paraId="12206CBB" w14:textId="77777777">
                <w:pPr>
                  <w:jc w:val="center"/>
                  <w:rPr>
                    <w:rFonts w:eastAsia="Calibri"/>
                    <w:b/>
                    <w:szCs w:val="24"/>
                  </w:rPr>
                </w:pPr>
                <w:r>
                  <w:rPr>
                    <w:rFonts w:eastAsia="Calibri"/>
                    <w:b/>
                    <w:szCs w:val="24"/>
                  </w:rPr>
                  <w:t>Pagrindimas</w:t>
                </w:r>
              </w:p>
              <w:p w14:paraId="00F7F8C9" w14:textId="77777777">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440FE8FF" w14:textId="77777777">
                <w:pPr>
                  <w:jc w:val="center"/>
                  <w:rPr>
                    <w:rFonts w:eastAsia="Calibri"/>
                    <w:i/>
                    <w:szCs w:val="24"/>
                  </w:rPr>
                </w:pPr>
                <w:r>
                  <w:rPr>
                    <w:rFonts w:eastAsia="Calibri"/>
                    <w:b/>
                    <w:szCs w:val="24"/>
                  </w:rPr>
                  <w:t>Pagrindimo dokumentai</w:t>
                </w:r>
              </w:p>
              <w:p w14:paraId="316A5E66"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07BE1B6D" w14:textId="77777777">
            <w:tc>
              <w:tcPr>
                <w:tcW w:w="4885" w:type="dxa"/>
              </w:tcPr>
              <w:p w14:paraId="141E903E"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73904F45" w14:textId="77777777">
                <w:pPr>
                  <w:spacing w:line="259" w:lineRule="auto"/>
                  <w:jc w:val="both"/>
                  <w:rPr>
                    <w:rFonts w:eastAsia="Calibri"/>
                    <w:bCs/>
                    <w:i/>
                    <w:szCs w:val="24"/>
                  </w:rPr>
                </w:pPr>
                <w:r>
                  <w:rPr>
                    <w:rFonts w:eastAsia="Calibri"/>
                    <w:bCs/>
                    <w:szCs w:val="24"/>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
                    <w:szCs w:val="24"/>
                  </w:rPr>
                  <w:t xml:space="preserve">nes: </w:t>
                </w:r>
              </w:p>
              <w:p w14:paraId="023E057A" w14:textId="77777777">
                <w:pPr>
                  <w:rPr>
                    <w:szCs w:val="24"/>
                  </w:rPr>
                </w:pPr>
              </w:p>
              <w:p w14:paraId="2064D318" w14:textId="77777777">
                <w:pPr>
                  <w:jc w:val="both"/>
                  <w:rPr>
                    <w:rFonts w:eastAsia="Calibri"/>
                    <w:bCs/>
                    <w:i/>
                    <w:szCs w:val="24"/>
                  </w:rPr>
                </w:pPr>
                <w:r>
                  <w:rPr>
                    <w:rFonts w:eastAsia="Calibri"/>
                    <w:bCs/>
                    <w:szCs w:val="24"/>
                  </w:rPr>
                  <w:t xml:space="preserve">- planuojama įsigyti įranga privalės atitikti (tai bus numatoma atitinkamuose įrangos įsigijimo dokumentuose) efektyvumo, tvarumo, ilgaamžiškumo reikalavimus pagal </w:t>
                </w:r>
                <w:r>
                  <w:rPr>
                    <w:rFonts w:eastAsia="Calibri"/>
                    <w:szCs w:val="24"/>
                  </w:rPr>
                  <w:t xml:space="preserve">2009 m. spalio 21 d. Europos Parlamento ir Tarybos direktyvą </w:t>
                </w:r>
                <w:fldSimple w:instr="HYPERLINK http://eur-lex.europa.eu/legal-content/LIT/TXT/?uri=CELEX:32009L0125&amp;locale=lt \t _blank">
                  <w:r>
                    <w:rPr>
                      <w:rFonts w:eastAsia="Calibri"/>
                      <w:szCs w:val="24"/>
                      <w:u w:val="single"/>
                      <w:color w:val="0000FF" w:themeColor="hyperlink"/>
                    </w:rPr>
                    <w:t>2009/125/EB</w:t>
                  </w:r>
                </w:fldSimple>
                <w:r>
                  <w:rPr>
                    <w:rFonts w:eastAsia="Calibri"/>
                    <w:szCs w:val="24"/>
                  </w:rPr>
                  <w:t xml:space="preserve">, nustatančią ekologinio projektavimo reikalavimų su energija susijusiems gaminiams nustatymo sistemą (toliau – </w:t>
                </w:r>
                <w:r>
                  <w:rPr>
                    <w:rFonts w:eastAsia="Calibri"/>
                    <w:bCs/>
                    <w:szCs w:val="24"/>
                  </w:rPr>
                  <w:t xml:space="preserve">Direktyva </w:t>
                </w:r>
                <w:fldSimple w:instr="HYPERLINK http://eur-lex.europa.eu/legal-content/LIT/TXT/?uri=CELEX:32009L0125&amp;locale=lt \t _blank">
                  <w:r>
                    <w:rPr>
                      <w:rFonts w:eastAsia="Calibri"/>
                      <w:bCs/>
                      <w:szCs w:val="24"/>
                      <w:u w:val="single"/>
                      <w:color w:val="0000FF" w:themeColor="hyperlink"/>
                    </w:rPr>
                    <w:t>2009/125</w:t>
                  </w:r>
                </w:fldSimple>
                <w:r>
                  <w:rPr>
                    <w:rFonts w:eastAsia="Calibri"/>
                    <w:bCs/>
                    <w:szCs w:val="24"/>
                  </w:rPr>
                  <w:t>/EC)</w:t>
                </w:r>
                <w:r>
                  <w:rPr>
                    <w:rFonts w:eastAsia="Calibri"/>
                    <w:szCs w:val="24"/>
                  </w:rPr>
                  <w:t xml:space="preserve"> ir 2011 m. birželio 8 d. Europos Parlamento ir Tarybos direktyvą </w:t>
                </w:r>
                <w:fldSimple w:instr="HYPERLINK http://eur-lex.europa.eu/legal-content/LIT/TXT/?uri=CELEX:32011L0065&amp;locale=lt \t _blank">
                  <w:r>
                    <w:rPr>
                      <w:rFonts w:eastAsia="Calibri"/>
                      <w:szCs w:val="24"/>
                      <w:u w:val="single"/>
                      <w:color w:val="0000FF" w:themeColor="hyperlink"/>
                    </w:rPr>
                    <w:t>2011/65/ES</w:t>
                  </w:r>
                </w:fldSimple>
                <w:r>
                  <w:rPr>
                    <w:rFonts w:eastAsia="Calibri"/>
                    <w:szCs w:val="24"/>
                  </w:rPr>
                  <w:t xml:space="preserve"> dėl tam tikrų pavojingų medžiagų naudojimo elektros ir elektroninėje įrangoje apribojimo (toliau - </w:t>
                </w:r>
                <w:r>
                  <w:rPr>
                    <w:rFonts w:eastAsia="Calibri"/>
                    <w:bCs/>
                    <w:szCs w:val="24"/>
                  </w:rPr>
                  <w:t xml:space="preserve">Direktyva </w:t>
                </w:r>
                <w:fldSimple w:instr="HYPERLINK http://eur-lex.europa.eu/legal-content/LIT/TXT/?uri=CELEX:32011L0065&amp;locale=lt \t _blank">
                  <w:r>
                    <w:rPr>
                      <w:rFonts w:eastAsia="Calibri"/>
                      <w:bCs/>
                      <w:szCs w:val="24"/>
                      <w:u w:val="single"/>
                      <w:color w:val="0000FF" w:themeColor="hyperlink"/>
                    </w:rPr>
                    <w:t>2011/65/ES</w:t>
                  </w:r>
                </w:fldSimple>
                <w:r>
                  <w:rPr>
                    <w:rFonts w:eastAsia="Calibri"/>
                    <w:bCs/>
                    <w:szCs w:val="24"/>
                  </w:rPr>
                  <w:t>)</w:t>
                </w:r>
                <w:r>
                  <w:rPr>
                    <w:rFonts w:eastAsia="Calibri"/>
                    <w:szCs w:val="24"/>
                  </w:rPr>
                  <w:t xml:space="preserve"> </w:t>
                </w:r>
                <w:r>
                  <w:rPr>
                    <w:rFonts w:eastAsia="Calibri"/>
                    <w:bCs/>
                    <w:szCs w:val="24"/>
                  </w:rPr>
                  <w:t>(taikoma, jeigu vykdant veiklas, yra numatoma įsigyti IT ir kt. įrangą).</w:t>
                </w:r>
              </w:p>
            </w:tc>
            <w:tc>
              <w:tcPr>
                <w:tcW w:w="5331" w:type="dxa"/>
              </w:tcPr>
              <w:p w14:paraId="5702F4EB" w14:textId="77777777">
                <w:pPr>
                  <w:tabs>
                    <w:tab w:val="left" w:pos="589"/>
                  </w:tabs>
                  <w:spacing w:line="259" w:lineRule="auto"/>
                  <w:jc w:val="both"/>
                  <w:rPr>
                    <w:rFonts w:eastAsia="Calibri"/>
                    <w:szCs w:val="24"/>
                  </w:rPr>
                </w:pPr>
                <w:r>
                  <w:rPr>
                    <w:rFonts w:eastAsia="Calibri"/>
                    <w:szCs w:val="24"/>
                  </w:rPr>
                  <w:t>Pirkimų dokumentacija, sutartis su rangovu, darbų atlikimo aktas ir pan.</w:t>
                </w:r>
              </w:p>
              <w:p w14:paraId="277ACADE" w14:textId="77777777">
                <w:pPr>
                  <w:rPr>
                    <w:szCs w:val="24"/>
                  </w:rPr>
                </w:pPr>
              </w:p>
              <w:p w14:paraId="2CC564EA" w14:textId="77777777">
                <w:pPr>
                  <w:tabs>
                    <w:tab w:val="left" w:pos="589"/>
                  </w:tabs>
                  <w:jc w:val="both"/>
                  <w:rPr>
                    <w:rFonts w:eastAsia="Calibri"/>
                    <w:szCs w:val="24"/>
                  </w:rPr>
                </w:pPr>
                <w:r>
                  <w:rPr>
                    <w:rFonts w:eastAsia="Calibri"/>
                    <w:szCs w:val="24"/>
                  </w:rPr>
                  <w:t>Įrangos įsigijimo dokumentai.</w:t>
                </w:r>
              </w:p>
              <w:p w14:paraId="2BBD3CAD" w14:textId="77777777">
                <w:pPr>
                  <w:tabs>
                    <w:tab w:val="left" w:pos="589"/>
                  </w:tabs>
                  <w:jc w:val="both"/>
                  <w:rPr>
                    <w:rFonts w:eastAsia="Calibri"/>
                    <w:szCs w:val="24"/>
                  </w:rPr>
                </w:pPr>
                <w:r>
                  <w:rPr>
                    <w:rFonts w:eastAsia="Calibri"/>
                    <w:szCs w:val="24"/>
                  </w:rPr>
                  <w:t>Projekto vykdytojo deklaracija.</w:t>
                </w:r>
              </w:p>
              <w:p w14:paraId="15CD8042" w14:textId="77777777">
                <w:pPr>
                  <w:tabs>
                    <w:tab w:val="left" w:pos="589"/>
                  </w:tabs>
                  <w:jc w:val="both"/>
                  <w:rPr>
                    <w:rFonts w:eastAsia="Calibri"/>
                    <w:i/>
                    <w:szCs w:val="24"/>
                  </w:rPr>
                </w:pPr>
              </w:p>
            </w:tc>
          </w:tr>
          <w:tr w14:paraId="7B015AC2" w14:textId="77777777">
            <w:tc>
              <w:tcPr>
                <w:tcW w:w="4885" w:type="dxa"/>
              </w:tcPr>
              <w:p w14:paraId="232EE7F6"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59858728" w14:textId="77777777">
                <w:pPr>
                  <w:jc w:val="both"/>
                  <w:rPr>
                    <w:rFonts w:eastAsia="Calibri"/>
                    <w:bCs/>
                    <w:szCs w:val="24"/>
                  </w:rPr>
                </w:pPr>
                <w:r>
                  <w:rPr>
                    <w:rFonts w:eastAsia="Calibri"/>
                    <w:bCs/>
                    <w:szCs w:val="24"/>
                  </w:rPr>
                  <w:t>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(kondensavimo) poreikius ir kt.</w:t>
                </w:r>
              </w:p>
            </w:tc>
            <w:tc>
              <w:tcPr>
                <w:tcW w:w="5331" w:type="dxa"/>
              </w:tcPr>
              <w:p w14:paraId="729EEB9C" w14:textId="77777777">
                <w:pPr>
                  <w:tabs>
                    <w:tab w:val="left" w:pos="31"/>
                  </w:tabs>
                  <w:jc w:val="both"/>
                  <w:rPr>
                    <w:rFonts w:eastAsia="Calibri"/>
                    <w:szCs w:val="24"/>
                  </w:rPr>
                </w:pPr>
                <w:r>
                  <w:rPr>
                    <w:rFonts w:eastAsia="Calibri"/>
                    <w:szCs w:val="24"/>
                  </w:rPr>
                  <w:t>Pirkimų dokumentacija, sutartis su rangovu, darbų atlikimo aktas ir pan.</w:t>
                </w:r>
              </w:p>
              <w:p w14:paraId="55C1B6F5" w14:textId="77777777">
                <w:pPr>
                  <w:jc w:val="both"/>
                  <w:rPr>
                    <w:rFonts w:eastAsia="Calibri"/>
                    <w:szCs w:val="24"/>
                  </w:rPr>
                </w:pPr>
                <w:r>
                  <w:rPr>
                    <w:rFonts w:eastAsia="Calibri"/>
                    <w:szCs w:val="24"/>
                  </w:rPr>
                  <w:t>Įrangos įsigijimo dokumentai.</w:t>
                </w:r>
              </w:p>
              <w:p w14:paraId="0394B571" w14:textId="77777777">
                <w:pPr>
                  <w:jc w:val="both"/>
                  <w:rPr>
                    <w:rFonts w:eastAsia="Calibri"/>
                    <w:bCs/>
                    <w:szCs w:val="24"/>
                  </w:rPr>
                </w:pPr>
                <w:r>
                  <w:rPr>
                    <w:rFonts w:eastAsia="Calibri"/>
                    <w:bCs/>
                    <w:szCs w:val="24"/>
                  </w:rPr>
                  <w:t>Projekto vykdytojo deklaracija.</w:t>
                </w:r>
              </w:p>
            </w:tc>
          </w:tr>
          <w:tr w14:paraId="50AE2FD2" w14:textId="77777777">
            <w:tc>
              <w:tcPr>
                <w:tcW w:w="4885" w:type="dxa"/>
              </w:tcPr>
              <w:p w14:paraId="7E03B2D8"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14:paraId="6EF0F7BC" w14:textId="77777777">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14:paraId="2D5CDD76" w14:textId="77777777">
                <w:pPr>
                  <w:jc w:val="both"/>
                  <w:rPr>
                    <w:rFonts w:eastAsia="Calibri"/>
                    <w:bCs/>
                    <w:szCs w:val="24"/>
                  </w:rPr>
                </w:pPr>
                <w:r>
                  <w:rPr>
                    <w:rFonts w:eastAsia="Calibri"/>
                    <w:bCs/>
                    <w:szCs w:val="24"/>
                  </w:rPr>
                  <w:t>Pirkimų dokumentacija, sutartis su rangovu, darbų atlikimo aktas ir pan.</w:t>
                </w:r>
              </w:p>
              <w:p w14:paraId="5EA8BC93" w14:textId="77777777">
                <w:pPr>
                  <w:jc w:val="both"/>
                  <w:rPr>
                    <w:rFonts w:eastAsia="Calibri"/>
                    <w:bCs/>
                    <w:szCs w:val="24"/>
                  </w:rPr>
                </w:pPr>
                <w:r>
                  <w:rPr>
                    <w:rFonts w:eastAsia="Calibri"/>
                    <w:bCs/>
                    <w:szCs w:val="24"/>
                  </w:rPr>
                  <w:t>Įrangos įsigijimo dokumentai.</w:t>
                </w:r>
              </w:p>
              <w:p w14:paraId="0A5742E6" w14:textId="77777777">
                <w:pPr>
                  <w:jc w:val="both"/>
                  <w:rPr>
                    <w:rFonts w:eastAsia="Calibri"/>
                    <w:bCs/>
                    <w:szCs w:val="24"/>
                  </w:rPr>
                </w:pPr>
                <w:r>
                  <w:rPr>
                    <w:rFonts w:eastAsia="Calibri"/>
                    <w:bCs/>
                    <w:szCs w:val="24"/>
                  </w:rPr>
                  <w:t>Projekto vykdytojo deklaracija.</w:t>
                </w:r>
              </w:p>
            </w:tc>
          </w:tr>
          <w:tr w14:paraId="02D92402" w14:textId="77777777">
            <w:tc>
              <w:tcPr>
                <w:tcW w:w="4885" w:type="dxa"/>
              </w:tcPr>
              <w:p w14:paraId="456D62F5"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107A186A" w14:textId="77777777">
                <w:pPr>
                  <w:spacing w:line="259" w:lineRule="auto"/>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14:paraId="370751F5" w14:textId="77777777">
                <w:pPr>
                  <w:rPr>
                    <w:szCs w:val="24"/>
                  </w:rPr>
                </w:pPr>
              </w:p>
              <w:p w14:paraId="2EDFE75E" w14:textId="77777777">
                <w:pPr>
                  <w:spacing w:line="259" w:lineRule="auto"/>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w:t>
                </w:r>
                <w:fldSimple w:instr="HYPERLINK http://eur-lex.europa.eu/legal-content/LIT/TXT/?uri=CELEX:32009L0125&amp;locale=lt \t _blank">
                  <w:r>
                    <w:rPr>
                      <w:rFonts w:eastAsia="Calibri"/>
                      <w:bCs/>
                      <w:szCs w:val="24"/>
                      <w:u w:val="single"/>
                      <w:color w:val="0000FF" w:themeColor="hyperlink"/>
                    </w:rPr>
                    <w:t>2009/125</w:t>
                  </w:r>
                </w:fldSimple>
                <w:r>
                  <w:rPr>
                    <w:rFonts w:eastAsia="Calibri"/>
                    <w:bCs/>
                    <w:szCs w:val="24"/>
                  </w:rPr>
                  <w:t xml:space="preserve">/EC (serveriams ir duomenims saugoti, kompiuteriams ir kompiuterių serveriams ar elektroniniams ekranams) ir Direktyvą </w:t>
                </w:r>
                <w:fldSimple w:instr="HYPERLINK http://eur-lex.europa.eu/legal-content/LIT/TXT/?uri=CELEX:32011L0065&amp;locale=lt \t _blank">
                  <w:r>
                    <w:rPr>
                      <w:rFonts w:eastAsia="Calibri"/>
                      <w:bCs/>
                      <w:szCs w:val="24"/>
                      <w:u w:val="single"/>
                      <w:color w:val="0000FF" w:themeColor="hyperlink"/>
                    </w:rPr>
                    <w:t>2011/65/ES</w:t>
                  </w:r>
                </w:fldSimple>
                <w:r>
                  <w:rPr>
                    <w:rFonts w:eastAsia="Calibri"/>
                    <w:bCs/>
                    <w:szCs w:val="24"/>
                  </w:rPr>
                  <w:t>.</w:t>
                </w:r>
              </w:p>
              <w:p w14:paraId="5EBBBFF0" w14:textId="77777777">
                <w:pPr>
                  <w:rPr>
                    <w:szCs w:val="24"/>
                  </w:rPr>
                </w:pPr>
              </w:p>
              <w:p w14:paraId="63BF3C44" w14:textId="77777777">
                <w:pPr>
                  <w:jc w:val="both"/>
                  <w:rPr>
                    <w:rFonts w:eastAsia="Calibri"/>
                  </w:rPr>
                </w:pPr>
                <w:r>
                  <w:rPr>
                    <w:rFonts w:eastAsia="Calibri"/>
                  </w:rPr>
                  <w:t xml:space="preserve">Pasibaigus įsigytos įrangos naudingo tarnavimo laikui, įrangos tiekėjai (pardavėjai) privalės (tai bus numatoma atitinkamuose įrangos įsigijimo dokumentuose). Įrangos atliekas sutvarkyti vadovaudamiesi 2012 m. liepos 4 d. Europos Parlamento ir Tarybos direktyvos </w:t>
                </w:r>
                <w:fldSimple w:instr="HYPERLINK http://eur-lex.europa.eu/legal-content/LIT/TXT/?uri=CELEX:32012L0019&amp;locale=lt \t _blank">
                  <w:r>
                    <w:rPr>
                      <w:rFonts w:eastAsia="Calibri"/>
                      <w:u w:val="single"/>
                      <w:color w:val="0000FF" w:themeColor="hyperlink"/>
                    </w:rPr>
                    <w:t>2012/19/ES</w:t>
                  </w:r>
                </w:fldSimple>
                <w:r>
                  <w:rPr>
                    <w:rFonts w:eastAsia="Calibri"/>
                  </w:rPr>
                  <w:t xml:space="preserve"> dėl elektros ir elektroninės įrangos atliekų (toliau – Direktyva </w:t>
                </w:r>
                <w:fldSimple w:instr="HYPERLINK http://eur-lex.europa.eu/legal-content/LIT/TXT/?uri=CELEX:32012L0019&amp;locale=lt \t _blank">
                  <w:r>
                    <w:rPr>
                      <w:rFonts w:eastAsia="Calibri"/>
                      <w:u w:val="single"/>
                      <w:color w:val="0000FF" w:themeColor="hyperlink"/>
                    </w:rPr>
                    <w:t>2012/19/ES</w:t>
                  </w:r>
                </w:fldSimple>
                <w:r>
                  <w:rPr>
                    <w:rFonts w:eastAsia="Calibri"/>
                  </w:rPr>
                  <w:t>) reikalavimais ir Lietuvos Respublikos teisės aktais, reglamentuojančiais atliekų tvarkymą bei Valstybinio atliekų prevencijos ir tvarkymo plano nuostatomis.</w:t>
                </w:r>
              </w:p>
            </w:tc>
            <w:tc>
              <w:tcPr>
                <w:tcW w:w="5331" w:type="dxa"/>
              </w:tcPr>
              <w:p w14:paraId="3A77F3FD" w14:textId="77777777">
                <w:pPr>
                  <w:jc w:val="both"/>
                  <w:rPr>
                    <w:rFonts w:eastAsia="Calibri"/>
                    <w:szCs w:val="24"/>
                  </w:rPr>
                </w:pPr>
                <w:r>
                  <w:rPr>
                    <w:rFonts w:eastAsia="Calibri"/>
                    <w:szCs w:val="24"/>
                  </w:rPr>
                  <w:t>Pirkimų dokumentacija, sutartis su rangovu, darbų atlikimo aktas ir pan.</w:t>
                </w:r>
              </w:p>
              <w:p w14:paraId="26D81158" w14:textId="77777777">
                <w:pPr>
                  <w:jc w:val="both"/>
                  <w:rPr>
                    <w:rFonts w:eastAsia="Calibri"/>
                    <w:szCs w:val="24"/>
                  </w:rPr>
                </w:pPr>
                <w:r>
                  <w:rPr>
                    <w:rFonts w:eastAsia="Calibri"/>
                    <w:szCs w:val="24"/>
                  </w:rPr>
                  <w:t>IT įrangos įsigijimo dokumentai.</w:t>
                </w:r>
              </w:p>
              <w:p w14:paraId="4A1E2E0A" w14:textId="77777777">
                <w:pPr>
                  <w:jc w:val="both"/>
                  <w:rPr>
                    <w:rFonts w:eastAsia="Calibri"/>
                    <w:szCs w:val="24"/>
                  </w:rPr>
                </w:pPr>
                <w:r>
                  <w:rPr>
                    <w:rFonts w:eastAsia="Calibri"/>
                    <w:szCs w:val="24"/>
                  </w:rPr>
                  <w:t>Projekto vykdytojo deklaracija.</w:t>
                </w:r>
              </w:p>
            </w:tc>
          </w:tr>
          <w:tr w14:paraId="1EE45C31" w14:textId="77777777">
            <w:tc>
              <w:tcPr>
                <w:tcW w:w="4885" w:type="dxa"/>
              </w:tcPr>
              <w:p w14:paraId="5F470331"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42525DEC" w14:textId="77777777">
                <w:pPr>
                  <w:spacing w:line="259" w:lineRule="auto"/>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reformos atitinka oro, vandens ar žemės taršos prevencijos ir kontrolės tikslą:</w:t>
                </w:r>
              </w:p>
              <w:p w14:paraId="6CE9FF86" w14:textId="77777777">
                <w:pPr>
                  <w:rPr>
                    <w:szCs w:val="24"/>
                  </w:rPr>
                </w:pPr>
              </w:p>
              <w:p w14:paraId="67FC9AE2" w14:textId="77777777">
                <w:pPr>
                  <w:rPr>
                    <w:szCs w:val="24"/>
                  </w:rPr>
                </w:pPr>
              </w:p>
              <w:p w14:paraId="60CEBCD2" w14:textId="77777777">
                <w:pPr>
                  <w:spacing w:line="259" w:lineRule="auto"/>
                  <w:jc w:val="both"/>
                  <w:rPr>
                    <w:rFonts w:eastAsia="Calibri"/>
                    <w:szCs w:val="24"/>
                  </w:rPr>
                </w:pPr>
                <w:r>
                  <w:rPr>
                    <w:rFonts w:eastAsia="Calibri"/>
                    <w:szCs w:val="24"/>
                  </w:rPr>
                  <w:t>Nenumatoma, kad įgyvendinant reformą ar investiciją padidės teršalų išmetimas į orą, vandenį ar žemę, kadangi:</w:t>
                </w:r>
              </w:p>
              <w:p w14:paraId="762EB3A1" w14:textId="77777777">
                <w:pPr>
                  <w:rPr>
                    <w:szCs w:val="24"/>
                  </w:rPr>
                </w:pPr>
              </w:p>
              <w:p w14:paraId="78AE248A" w14:textId="77777777">
                <w:pPr>
                  <w:jc w:val="both"/>
                  <w:rPr>
                    <w:rFonts w:eastAsia="Calibri"/>
                  </w:rPr>
                </w:pPr>
                <w:r>
                  <w:rPr>
                    <w:rFonts w:eastAsia="Calibri"/>
                  </w:rPr>
                  <w:t xml:space="preserve">1. statybose naudojamose statybinėse dalyse ir medžiagose nėra asbesto ir labai didelį susirūpinimą keliančių medžiagų, nustatytų remiantis medžiagų, kurioms reikalingas leidimas, sąrašu, nurodytu Europos Parlamento reglamento </w:t>
                </w:r>
                <w:fldSimple w:instr="HYPERLINK http://eur-lex.europa.eu/legal-content/LIT/TXT/?uri=CELEX:32006R1907&amp;locale=lt \t _blank">
                  <w:r>
                    <w:rPr>
                      <w:rFonts w:eastAsia="Calibri"/>
                      <w:u w:val="single"/>
                      <w:color w:val="0000FF" w:themeColor="hyperlink"/>
                    </w:rPr>
                    <w:t>(EB) Nr. 1907/2006</w:t>
                  </w:r>
                </w:fldSimple>
                <w:r>
                  <w:rPr>
                    <w:rFonts w:eastAsia="Calibri"/>
                  </w:rPr>
                  <w:t xml:space="preserve"> dėl cheminių medžiagų registracijos, įvertinimo, autorizacijos ir apribojimų (REACH), įsteigiantis Europos cheminių medžiagų agentūrą, iš dalies keičiantis Direktyvą </w:t>
                </w:r>
                <w:fldSimple w:instr="HYPERLINK http://eur-lex.europa.eu/legal-content/LIT/TXT/?uri=CELEX:31999L0045&amp;locale=lt \t _blank">
                  <w:r>
                    <w:rPr>
                      <w:rFonts w:eastAsia="Calibri"/>
                      <w:u w:val="single"/>
                      <w:color w:val="0000FF" w:themeColor="hyperlink"/>
                    </w:rPr>
                    <w:t>1999/45/EB</w:t>
                  </w:r>
                </w:fldSimple>
                <w:r>
                  <w:rPr>
                    <w:rFonts w:eastAsia="Calibri"/>
                  </w:rPr>
                  <w:t xml:space="preserve"> bei panaikinantis Tarybos reglamentą </w:t>
                </w:r>
                <w:fldSimple w:instr="HYPERLINK http://eur-lex.europa.eu/legal-content/LIT/TXT/?uri=CELEX:31993R0793&amp;locale=lt \t _blank">
                  <w:r>
                    <w:rPr>
                      <w:rFonts w:eastAsia="Calibri"/>
                      <w:u w:val="single"/>
                      <w:color w:val="0000FF" w:themeColor="hyperlink"/>
                    </w:rPr>
                    <w:t>(EEB) Nr. 793/93</w:t>
                  </w:r>
                </w:fldSimple>
                <w:r>
                  <w:rPr>
                    <w:rFonts w:eastAsia="Calibri"/>
                  </w:rPr>
                  <w:t xml:space="preserve">, Komisijos reglamentą </w:t>
                </w:r>
                <w:fldSimple w:instr="HYPERLINK http://eur-lex.europa.eu/legal-content/LIT/TXT/?uri=CELEX:31994R1488&amp;locale=lt \t _blank">
                  <w:r>
                    <w:rPr>
                      <w:rFonts w:eastAsia="Calibri"/>
                      <w:u w:val="single"/>
                      <w:color w:val="0000FF" w:themeColor="hyperlink"/>
                    </w:rPr>
                    <w:t>(EB) Nr. 1488/94</w:t>
                  </w:r>
                </w:fldSimple>
                <w:r>
                  <w:rPr>
                    <w:rFonts w:eastAsia="Calibri"/>
                  </w:rPr>
                  <w:t xml:space="preserve">, Tarybos direktyvą </w:t>
                </w:r>
                <w:fldSimple w:instr="HYPERLINK http://eur-lex.europa.eu/legal-content/LIT/TXT/?uri=CELEX:31976L0769&amp;locale=lt \t _blank">
                  <w:r>
                    <w:rPr>
                      <w:rFonts w:eastAsia="Calibri"/>
                      <w:u w:val="single"/>
                      <w:color w:val="0000FF" w:themeColor="hyperlink"/>
                    </w:rPr>
                    <w:t>76/769/EEB</w:t>
                  </w:r>
                </w:fldSimple>
                <w:r>
                  <w:rPr>
                    <w:rFonts w:eastAsia="Calibri"/>
                  </w:rPr>
                  <w:t xml:space="preserve"> ir Komisijos direktyvas </w:t>
                </w:r>
                <w:fldSimple w:instr="HYPERLINK http://eur-lex.europa.eu/legal-content/LIT/TXT/?uri=CELEX:31991L0155&amp;locale=lt \t _blank">
                  <w:r>
                    <w:rPr>
                      <w:rFonts w:eastAsia="Calibri"/>
                      <w:u w:val="single"/>
                      <w:color w:val="0000FF" w:themeColor="hyperlink"/>
                    </w:rPr>
                    <w:t>91/155/EEB</w:t>
                  </w:r>
                </w:fldSimple>
                <w:r>
                  <w:rPr>
                    <w:rFonts w:eastAsia="Calibri"/>
                  </w:rPr>
                  <w:t xml:space="preserve">, </w:t>
                </w:r>
                <w:fldSimple w:instr="HYPERLINK http://eur-lex.europa.eu/legal-content/LIT/TXT/?uri=CELEX:31993L0067&amp;locale=lt \t _blank">
                  <w:r>
                    <w:rPr>
                      <w:rFonts w:eastAsia="Calibri"/>
                      <w:u w:val="single"/>
                      <w:color w:val="0000FF" w:themeColor="hyperlink"/>
                    </w:rPr>
                    <w:t>93/67/EEB</w:t>
                  </w:r>
                </w:fldSimple>
                <w:r>
                  <w:rPr>
                    <w:rFonts w:eastAsia="Calibri"/>
                  </w:rPr>
                  <w:t xml:space="preserve">, </w:t>
                </w:r>
                <w:fldSimple w:instr="HYPERLINK http://eur-lex.europa.eu/legal-content/LIT/TXT/?uri=CELEX:31993L0105&amp;locale=lt \t _blank">
                  <w:r>
                    <w:rPr>
                      <w:rFonts w:eastAsia="Calibri"/>
                      <w:u w:val="single"/>
                      <w:color w:val="0000FF" w:themeColor="hyperlink"/>
                    </w:rPr>
                    <w:t>93/105/EB</w:t>
                  </w:r>
                </w:fldSimple>
                <w:r>
                  <w:rPr>
                    <w:rFonts w:eastAsia="Calibri"/>
                  </w:rPr>
                  <w:t xml:space="preserve"> bei </w:t>
                </w:r>
                <w:fldSimple w:instr="HYPERLINK http://eur-lex.europa.eu/legal-content/LIT/TXT/?uri=CELEX:32000L0021&amp;locale=lt \t _blank">
                  <w:r>
                    <w:rPr>
                      <w:rFonts w:eastAsia="Calibri"/>
                      <w:u w:val="single"/>
                      <w:color w:val="0000FF" w:themeColor="hyperlink"/>
                    </w:rPr>
                    <w:t>2000/21/EB</w:t>
                  </w:r>
                </w:fldSimple>
                <w:r>
                  <w:rPr>
                    <w:rFonts w:eastAsia="Calibri"/>
                  </w:rPr>
                  <w:t xml:space="preserve">  XIV priede ;</w:t>
                </w:r>
              </w:p>
              <w:p w14:paraId="4BBCC87B" w14:textId="77777777">
                <w:pPr>
                  <w:jc w:val="both"/>
                  <w:rPr>
                    <w:rFonts w:eastAsia="Calibri"/>
                  </w:rPr>
                </w:pPr>
                <w:r>
                  <w:rPr>
                    <w:rFonts w:eastAsia="Calibri"/>
                  </w:rPr>
                  <w:t>2. statyboje naudojami komponentai ir medžiagos, galinčios liestis su gyventojais, išskiria mažiau nei 0,06 mg formaldehido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14:paraId="2463E463" w14:textId="77777777">
                <w:pPr>
                  <w:spacing w:line="259" w:lineRule="auto"/>
                  <w:jc w:val="both"/>
                  <w:rPr>
                    <w:rFonts w:eastAsia="Calibri"/>
                    <w:szCs w:val="24"/>
                  </w:rPr>
                </w:pPr>
                <w:r>
                  <w:rPr>
                    <w:rFonts w:eastAsia="Calibri"/>
                    <w:szCs w:val="24"/>
                  </w:rPr>
                  <w:t xml:space="preserve">3.  imamasi priemonių sumažinti triukšmą, dulkes ir teršalus išmetant statybos ar priežiūros darbus.</w:t>
                </w:r>
              </w:p>
              <w:p w14:paraId="273D6B4E" w14:textId="77777777">
                <w:pPr>
                  <w:rPr>
                    <w:szCs w:val="24"/>
                  </w:rPr>
                </w:pPr>
              </w:p>
              <w:p w14:paraId="7A4A51CB" w14:textId="77777777">
                <w:pPr>
                  <w:spacing w:line="259" w:lineRule="auto"/>
                  <w:jc w:val="both"/>
                  <w:rPr>
                    <w:rFonts w:eastAsia="Calibri"/>
                    <w:szCs w:val="24"/>
                  </w:rPr>
                </w:pPr>
                <w:r>
                  <w:rPr>
                    <w:rFonts w:eastAsia="Calibri"/>
                    <w:szCs w:val="24"/>
                  </w:rPr>
                  <w:t>Vertinama, kad investicijos atitinka tausaus vandens ir jūrų išteklių naudojimo ir apsaugos tikslą, nes įgyvendinant veiklas, nenumatoma, kad bus daroma žala vandens ir jūrų ištekliams.</w:t>
                </w:r>
              </w:p>
              <w:p w14:paraId="1030DD5F" w14:textId="77777777">
                <w:pPr>
                  <w:rPr>
                    <w:szCs w:val="24"/>
                  </w:rPr>
                </w:pPr>
              </w:p>
              <w:p w14:paraId="3DA94C78" w14:textId="77777777">
                <w:pPr>
                  <w:jc w:val="both"/>
                  <w:rPr>
                    <w:rFonts w:eastAsia="Calibri"/>
                    <w:b/>
                    <w:szCs w:val="24"/>
                  </w:rPr>
                </w:pPr>
                <w:r>
                  <w:rPr>
                    <w:rFonts w:eastAsia="Calibri"/>
                    <w:szCs w:val="24"/>
                  </w:rPr>
                  <w:t>Veikla įgyvendinama vadovaujantis Europos Parlamento ir Tarybos Direktyva (ES) 2018 m. gruodžio 11 d.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14:paraId="22E771F6" w14:textId="77777777">
                <w:pPr>
                  <w:jc w:val="both"/>
                  <w:rPr>
                    <w:rFonts w:eastAsia="Calibri"/>
                    <w:szCs w:val="24"/>
                  </w:rPr>
                </w:pPr>
                <w:r>
                  <w:rPr>
                    <w:rFonts w:eastAsia="Calibri"/>
                    <w:szCs w:val="24"/>
                  </w:rPr>
                  <w:t>Pirkimų dokumentacija, sutartis su rangovu, darbų atlikimo aktas ir pan.</w:t>
                </w:r>
              </w:p>
              <w:p w14:paraId="240BA018" w14:textId="77777777">
                <w:pPr>
                  <w:jc w:val="both"/>
                  <w:rPr>
                    <w:rFonts w:eastAsia="Calibri"/>
                    <w:szCs w:val="24"/>
                  </w:rPr>
                </w:pPr>
                <w:r>
                  <w:rPr>
                    <w:rFonts w:eastAsia="Calibri"/>
                    <w:szCs w:val="24"/>
                  </w:rPr>
                  <w:t>Įrangos įsigijimo dokumentai.</w:t>
                </w:r>
              </w:p>
              <w:p w14:paraId="6D097542" w14:textId="77777777">
                <w:pPr>
                  <w:jc w:val="both"/>
                  <w:rPr>
                    <w:rFonts w:eastAsia="Calibri"/>
                    <w:szCs w:val="24"/>
                  </w:rPr>
                </w:pPr>
                <w:r>
                  <w:rPr>
                    <w:rFonts w:eastAsia="Calibri"/>
                    <w:szCs w:val="24"/>
                  </w:rPr>
                  <w:t>Projekto vykdytojo deklaracija.</w:t>
                </w:r>
              </w:p>
            </w:tc>
          </w:tr>
          <w:tr w14:paraId="11E87A1D" w14:textId="77777777">
            <w:tc>
              <w:tcPr>
                <w:tcW w:w="4885" w:type="dxa"/>
              </w:tcPr>
              <w:p w14:paraId="39B176FA"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682E30FB" w14:textId="77777777">
                <w:pPr>
                  <w:spacing w:line="259" w:lineRule="auto"/>
                  <w:jc w:val="both"/>
                  <w:rPr>
                    <w:rFonts w:eastAsia="Calibri"/>
                    <w:szCs w:val="24"/>
                  </w:rPr>
                </w:pPr>
                <w:r>
                  <w:rPr>
                    <w:rFonts w:eastAsia="Calibri"/>
                    <w:szCs w:val="24"/>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14:paraId="4F19F70F" w14:textId="77777777">
                <w:pPr>
                  <w:rPr>
                    <w:szCs w:val="24"/>
                  </w:rPr>
                </w:pPr>
              </w:p>
              <w:p w14:paraId="3227C72D" w14:textId="77777777">
                <w:pPr>
                  <w:rPr>
                    <w:rFonts w:eastAsia="Calibri"/>
                    <w:b/>
                    <w:szCs w:val="24"/>
                  </w:rPr>
                </w:pPr>
                <w:r>
                  <w:rPr>
                    <w:rFonts w:eastAsia="Calibri"/>
                    <w:szCs w:val="24"/>
                  </w:rPr>
                  <w:t>Nenumatoma kurti ar renovuoti infrastruktūros saugomose teritorijose ar gyvūnų, augalų buveinių ir rūšių, įskaitant ES saugomų, apsaugos teritorijose.</w:t>
                </w:r>
              </w:p>
            </w:tc>
            <w:tc>
              <w:tcPr>
                <w:tcW w:w="5331" w:type="dxa"/>
              </w:tcPr>
              <w:p w14:paraId="3B10E330" w14:textId="77777777">
                <w:pPr>
                  <w:jc w:val="both"/>
                  <w:rPr>
                    <w:rFonts w:eastAsia="Calibri"/>
                    <w:szCs w:val="24"/>
                  </w:rPr>
                </w:pPr>
                <w:r>
                  <w:rPr>
                    <w:rFonts w:eastAsia="Calibri"/>
                    <w:szCs w:val="24"/>
                  </w:rPr>
                  <w:t>Projekto vykdytojo deklaracija</w:t>
                </w:r>
              </w:p>
            </w:tc>
          </w:tr>
        </w:tbl>
        <w:p w14:paraId="1EA15D90" w14:textId="77777777">
          <w:pPr>
            <w:spacing w:line="276" w:lineRule="auto"/>
            <w:jc w:val="center"/>
            <w:rPr>
              <w:szCs w:val="24"/>
            </w:rPr>
          </w:pPr>
        </w:p>
        <w:p w14:paraId="733D5574" w14:textId="7F8A403D">
          <w:pPr>
            <w:spacing w:line="276" w:lineRule="auto"/>
            <w:jc w:val="center"/>
            <w:rPr>
              <w:szCs w:val="24"/>
            </w:rPr>
          </w:pPr>
          <w:r>
            <w:rPr>
              <w:szCs w:val="24"/>
            </w:rPr>
            <w:t>______________________</w:t>
          </w:r>
        </w:p>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7981A4" w14:textId="77777777">
      <w:r>
        <w:separator/>
      </w:r>
    </w:p>
  </w:endnote>
  <w:endnote w:type="continuationSeparator" w:id="0">
    <w:p w14:paraId="5170401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3277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5AAA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40A0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26BDB" w14:textId="77777777">
      <w:r>
        <w:separator/>
      </w:r>
    </w:p>
  </w:footnote>
  <w:footnote w:type="continuationSeparator" w:id="0">
    <w:p w14:paraId="3EDA113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B5255"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ED682" w14:textId="7DE1183E">
    <w:pPr>
      <w:tabs>
        <w:tab w:val="center" w:pos="4819"/>
        <w:tab w:val="right" w:pos="9638"/>
      </w:tabs>
      <w:jc w:val="center"/>
    </w:pPr>
    <w:r>
      <w:fldChar w:fldCharType="begin"/>
    </w:r>
    <w:r>
      <w:instrText>PAGE   \* MERGEFORMAT</w:instrText>
    </w:r>
    <w:r>
      <w:fldChar w:fldCharType="separate"/>
    </w:r>
    <w:r>
      <w:t>2</w:t>
    </w:r>
    <w:r>
      <w:fldChar w:fldCharType="end"/>
    </w:r>
  </w:p>
  <w:p w14:paraId="4D12BB2B"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B3704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F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1FD92"/>
  <w15:chartTrackingRefBased/>
  <w15:docId w15:val="{7243A810-D594-4D53-9A93-77E7B0280D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7" Abbr="7 pr." Title="PROJEKTO (ĮSKAITANT JUNGTINĮ PROJEKTĄ) ATITIKTIES REIKŠMINGOS ŽALOS NEDARYMO HORIZONTALIAJAM PRINCIPUI VERTINIMO REIKALAVIMŲ APRAŠAS" DocPartId="c313bbd84bd64f56a1d6e0d1b6929b7d" PartId="edab816099cd4241a2fc616aa3944b74"/>
</Parts>
</file>

<file path=customXml/itemProps1.xml><?xml version="1.0" encoding="utf-8"?>
<ds:datastoreItem xmlns:ds="http://schemas.openxmlformats.org/officeDocument/2006/customXml" ds:itemID="{458BA398-8F06-4219-B309-DC310017C6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979</Words>
  <Characters>6997</Characters>
  <Application>Microsoft Office Word</Application>
  <DocSecurity>4</DocSecurity>
  <Lines>225</Lines>
  <Paragraphs>58</Paragraphs>
  <ScaleCrop>false</ScaleCrop>
  <Company/>
  <LinksUpToDate>false</LinksUpToDate>
  <CharactersWithSpaces>7918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2025-10-07T04:50:00Z</dcterms:created>
  <dc:creator>Čepas Vytautas | ŠMSM</dc:creator>
  <lastModifiedBy>adlibuser</lastModifiedBy>
  <dcterms:modified xsi:type="dcterms:W3CDTF">2025-10-07T04:50:00Z</dcterms:modified>
  <revision>2</revision>
</coreProperties>
</file>