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5 pr."/>
        <w:tag w:val="part_b070065a33144de4a5a2c8c0cea48ce5"/>
        <w:lock w:val="sdtLocked"/>
        <w:richText/>
      </w:sdtPr>
      <w:sdtContent>
        <w:p w14:paraId="2A4E8D17" w14:textId="77777777">
          <w:pPr>
            <w:tabs>
              <w:tab w:val="center" w:pos="4819"/>
              <w:tab w:val="right" w:pos="9638"/>
            </w:tabs>
            <w:rPr>
              <w:rFonts w:ascii="Calibri" w:hAnsi="Calibri"/>
              <w:sz w:val="22"/>
              <w:szCs w:val="22"/>
            </w:rPr>
          </w:pPr>
        </w:p>
        <w:p w14:paraId="24DD92DD" w14:textId="77777777">
          <w:pPr>
            <w:ind w:left="10200"/>
            <w:rPr>
              <w:szCs w:val="24"/>
            </w:rPr>
          </w:pPr>
          <w:r>
            <w:rPr>
              <w:szCs w:val="24"/>
            </w:rPr>
            <w:t xml:space="preserve">Ilgalaikio pacientų, sergančių lėtinėmis                                                                                                          ligomis, sveikatos būklės stebėjimo tvarkos aprašo                                        </w:t>
          </w:r>
          <w:sdt>
            <w:sdtPr>
              <w:alias w:val="Numeris"/>
              <w:tag w:val="nr_b070065a33144de4a5a2c8c0cea48ce5"/>
              <w:lock w:val="sdtLocked"/>
              <w:richText/>
            </w:sdtPr>
            <w:sdtContent>
              <w:r>
                <w:rPr>
                  <w:szCs w:val="24"/>
                </w:rPr>
                <w:t>5</w:t>
              </w:r>
            </w:sdtContent>
          </w:sdt>
          <w:r>
            <w:rPr>
              <w:szCs w:val="24"/>
            </w:rPr>
            <w:t xml:space="preserve"> priedas</w:t>
          </w:r>
        </w:p>
        <w:p w14:paraId="6357DF35" w14:textId="77777777">
          <w:pPr>
            <w:rPr>
              <w:szCs w:val="24"/>
            </w:rPr>
          </w:pPr>
        </w:p>
        <w:p w14:paraId="493316F3" w14:textId="2F0ECF15">
          <w:pPr>
            <w:jc w:val="center"/>
            <w:rPr>
              <w:b/>
              <w:szCs w:val="24"/>
            </w:rPr>
          </w:pPr>
          <w:sdt>
            <w:sdtPr>
              <w:alias w:val="Pavadinimas"/>
              <w:tag w:val="title_b070065a33144de4a5a2c8c0cea48ce5"/>
              <w:lock w:val="sdtLocked"/>
              <w:richText/>
            </w:sdtPr>
            <w:sdtContent>
              <w:r>
                <w:rPr>
                  <w:b/>
                  <w:szCs w:val="24"/>
                </w:rPr>
                <w:t>ILGALAIKIO SUAUGUSIŲJŲ, SERGANČIŲ TUBERKULIOZE, SVEIKATOS BŪKLĖS STEBĖJIMO SĄLYGOS IR LIGŲ SĄRAŠAS</w:t>
              </w:r>
            </w:sdtContent>
          </w:sdt>
        </w:p>
        <w:p w14:paraId="108FC110" w14:textId="77777777">
          <w:pPr>
            <w:jc w:val="center"/>
            <w:rPr>
              <w:b/>
              <w:szCs w:val="24"/>
            </w:rPr>
          </w:pPr>
        </w:p>
        <w:tbl>
          <w:tblPr>
            <w:tblW w:w="14992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0A0" w:firstRow="1" w:lastRow="0" w:firstColumn="1" w:lastColumn="0" w:noHBand="0" w:noVBand="0"/>
          </w:tblPr>
          <w:tblGrid>
            <w:gridCol w:w="2660"/>
            <w:gridCol w:w="4252"/>
            <w:gridCol w:w="2268"/>
            <w:gridCol w:w="2410"/>
            <w:gridCol w:w="3402"/>
          </w:tblGrid>
          <w:tr w14:paraId="18C55C5A" w14:textId="77777777">
            <w:trPr>
              <w:tblHeader/>
            </w:trPr>
            <w:tc>
              <w:tcPr>
                <w:tcW w:w="2660" w:type="dxa"/>
              </w:tcPr>
              <w:p w14:paraId="480447BC" w14:textId="77777777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Gydytojo specialisto profesinė kvalifikacija</w:t>
                </w:r>
              </w:p>
            </w:tc>
            <w:tc>
              <w:tcPr>
                <w:tcW w:w="4252" w:type="dxa"/>
              </w:tcPr>
              <w:p w14:paraId="6740E0DE" w14:textId="77777777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Ligos pavadinimas</w:t>
                </w:r>
              </w:p>
            </w:tc>
            <w:tc>
              <w:tcPr>
                <w:tcW w:w="2268" w:type="dxa"/>
              </w:tcPr>
              <w:p w14:paraId="3EFFA23B" w14:textId="77777777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 xml:space="preserve">Ligos kodas </w:t>
                </w:r>
              </w:p>
              <w:p w14:paraId="6FFF7564" w14:textId="77777777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pagal TLK-10-AM</w:t>
                </w:r>
              </w:p>
            </w:tc>
            <w:tc>
              <w:tcPr>
                <w:tcW w:w="2410" w:type="dxa"/>
              </w:tcPr>
              <w:p w14:paraId="364773DE" w14:textId="77777777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Paciento sveikatos būklės tikrinimo</w:t>
                </w:r>
              </w:p>
              <w:p w14:paraId="6E34CCE9" w14:textId="77777777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periodiškumas</w:t>
                </w:r>
              </w:p>
            </w:tc>
            <w:tc>
              <w:tcPr>
                <w:tcW w:w="3402" w:type="dxa"/>
              </w:tcPr>
              <w:p w14:paraId="7AA5E87F" w14:textId="77777777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Paciento sveikatos</w:t>
                </w:r>
              </w:p>
              <w:p w14:paraId="49D55908" w14:textId="77777777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būklės stebėjimo trukmė</w:t>
                </w:r>
              </w:p>
            </w:tc>
          </w:tr>
          <w:tr w14:paraId="54E9B8C7" w14:textId="77777777">
            <w:tc>
              <w:tcPr>
                <w:tcW w:w="2660" w:type="dxa"/>
                <w:vMerge w:val="restart"/>
              </w:tcPr>
              <w:p w14:paraId="6674B75E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Gydytojas pulmonologas</w:t>
                </w:r>
              </w:p>
            </w:tc>
            <w:tc>
              <w:tcPr>
                <w:tcW w:w="4252" w:type="dxa"/>
              </w:tcPr>
              <w:p w14:paraId="26AB86B6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1. Tuberkuliozės pasekmės, kvėpavimo ir kitų sistemų organų ir nepatikslintos tuberkuliozės pasekmės </w:t>
                </w:r>
              </w:p>
            </w:tc>
            <w:tc>
              <w:tcPr>
                <w:tcW w:w="2268" w:type="dxa"/>
              </w:tcPr>
              <w:p w14:paraId="1D5BCDBC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B90.0–B90.9</w:t>
                </w:r>
              </w:p>
            </w:tc>
            <w:tc>
              <w:tcPr>
                <w:tcW w:w="2410" w:type="dxa"/>
              </w:tcPr>
              <w:p w14:paraId="65F06210" w14:textId="4BDC1B8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Pirmus dvejus metus 2 kartus per metus, vėliau 1 kartą per metus </w:t>
                </w:r>
              </w:p>
            </w:tc>
            <w:tc>
              <w:tcPr>
                <w:tcW w:w="3402" w:type="dxa"/>
              </w:tcPr>
              <w:p w14:paraId="51EEE590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5 metai </w:t>
                </w:r>
              </w:p>
            </w:tc>
          </w:tr>
          <w:tr w14:paraId="70F19211" w14:textId="77777777">
            <w:tc>
              <w:tcPr>
                <w:tcW w:w="2660" w:type="dxa"/>
                <w:vMerge/>
              </w:tcPr>
              <w:p w14:paraId="2562809D" w14:textId="77777777">
                <w:pPr>
                  <w:rPr>
                    <w:szCs w:val="24"/>
                  </w:rPr>
                </w:pPr>
              </w:p>
            </w:tc>
            <w:tc>
              <w:tcPr>
                <w:tcW w:w="4252" w:type="dxa"/>
              </w:tcPr>
              <w:p w14:paraId="4EECC41A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 Kontaktas su sergančiais tuberkulioze asmenimis ir tuberkuliozės poveikis</w:t>
                </w:r>
              </w:p>
            </w:tc>
            <w:tc>
              <w:tcPr>
                <w:tcW w:w="2268" w:type="dxa"/>
              </w:tcPr>
              <w:p w14:paraId="6C2BF4B5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Z20.1 </w:t>
                </w:r>
              </w:p>
            </w:tc>
            <w:tc>
              <w:tcPr>
                <w:tcW w:w="2410" w:type="dxa"/>
              </w:tcPr>
              <w:p w14:paraId="6D57A6BB" w14:textId="0ECF573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Pirmus dvejus metus 2 kartus per metus, vėliau 1 kartą per metus</w:t>
                </w:r>
              </w:p>
            </w:tc>
            <w:tc>
              <w:tcPr>
                <w:tcW w:w="3402" w:type="dxa"/>
              </w:tcPr>
              <w:p w14:paraId="56A45230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 metai</w:t>
                </w:r>
              </w:p>
              <w:p w14:paraId="78F1D7D2" w14:textId="77777777">
                <w:pPr>
                  <w:jc w:val="center"/>
                  <w:rPr>
                    <w:szCs w:val="24"/>
                  </w:rPr>
                </w:pPr>
              </w:p>
            </w:tc>
          </w:tr>
          <w:tr w14:paraId="6B19C2A5" w14:textId="77777777">
            <w:tc>
              <w:tcPr>
                <w:tcW w:w="2660" w:type="dxa"/>
                <w:vMerge/>
              </w:tcPr>
              <w:p w14:paraId="7E7D7CE6" w14:textId="77777777">
                <w:pPr>
                  <w:rPr>
                    <w:szCs w:val="24"/>
                  </w:rPr>
                </w:pPr>
              </w:p>
            </w:tc>
            <w:tc>
              <w:tcPr>
                <w:tcW w:w="4252" w:type="dxa"/>
              </w:tcPr>
              <w:p w14:paraId="2F2D84F5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3. Stebėjimas dėl įtariamos tuberkuliozės </w:t>
                </w:r>
              </w:p>
            </w:tc>
            <w:tc>
              <w:tcPr>
                <w:tcW w:w="2268" w:type="dxa"/>
              </w:tcPr>
              <w:p w14:paraId="00527929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Z03.0</w:t>
                </w:r>
              </w:p>
            </w:tc>
            <w:tc>
              <w:tcPr>
                <w:tcW w:w="2410" w:type="dxa"/>
              </w:tcPr>
              <w:p w14:paraId="76FEB850" w14:textId="7C02AF5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 kartus per metus</w:t>
                </w:r>
              </w:p>
            </w:tc>
            <w:tc>
              <w:tcPr>
                <w:tcW w:w="3402" w:type="dxa"/>
              </w:tcPr>
              <w:p w14:paraId="24F1CB87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metai</w:t>
                </w:r>
              </w:p>
            </w:tc>
          </w:tr>
        </w:tbl>
        <w:p w14:paraId="7210FACA" w14:textId="26AD9492">
          <w:pPr>
            <w:jc w:val="both"/>
            <w:rPr>
              <w:szCs w:val="24"/>
            </w:rPr>
          </w:pPr>
          <w:r>
            <w:rPr>
              <w:b/>
              <w:bCs/>
              <w:szCs w:val="24"/>
            </w:rPr>
            <w:t>Pastabos</w:t>
          </w:r>
          <w:r>
            <w:rPr>
              <w:szCs w:val="24"/>
            </w:rPr>
            <w:t>:</w:t>
          </w:r>
        </w:p>
        <w:sdt>
          <w:sdtPr>
            <w:alias w:val="5 pr. 1 p."/>
            <w:tag w:val="part_5ef5d01eb0c84d608d276f9e511fbd1b"/>
            <w:lock w:val="sdtLocked"/>
            <w:richText/>
          </w:sdtPr>
          <w:sdtContent>
            <w:p w14:paraId="0A4C6515" w14:textId="3D0538FE">
              <w:pPr>
                <w:jc w:val="both"/>
                <w:rPr>
                  <w:szCs w:val="24"/>
                </w:rPr>
              </w:pPr>
              <w:sdt>
                <w:sdtPr>
                  <w:alias w:val="Numeris"/>
                  <w:tag w:val="nr_5ef5d01eb0c84d608d276f9e511fbd1b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Prieš pirmąjį paciento vizitą pas gydytoją pulmonologą dėl ilgalaikio sveikatos būklės stebėjimo šeimos gydytojas (ar jo komandos narys) jam atlieka bendrą kraujo tyrimą,  C reaktyviojo baltymo (CRB) tyrimą. </w:t>
              </w:r>
            </w:p>
          </w:sdtContent>
        </w:sdt>
        <w:sdt>
          <w:sdtPr>
            <w:alias w:val="5 pr. 2 p."/>
            <w:tag w:val="part_c6a9f8b18a6c43b4894687855516a0fc"/>
            <w:lock w:val="sdtLocked"/>
            <w:richText/>
          </w:sdtPr>
          <w:sdtContent>
            <w:p w14:paraId="0223FF27" w14:textId="3A25E438">
              <w:pPr>
                <w:jc w:val="both"/>
                <w:rPr>
                  <w:szCs w:val="24"/>
                </w:rPr>
              </w:pPr>
              <w:sdt>
                <w:sdtPr>
                  <w:alias w:val="Numeris"/>
                  <w:tag w:val="nr_c6a9f8b18a6c43b4894687855516a0fc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Gydytojas pulmonologas, vykdydamas paciento ilgalaikį sveikatos būklės stebėjimą, turi atlikti krūtinės ląstos rentgenografiją, prireikus – ir kitus tyrimus (mikrobiologinį ištyrimą dėl tuberkuliozės mikobakterijų, kompiuterinę tomografiją, bronchoskopiją ir kt.).</w:t>
              </w:r>
            </w:p>
          </w:sdtContent>
        </w:sdt>
        <w:sdt>
          <w:sdtPr>
            <w:alias w:val="5 pr. 3 p."/>
            <w:tag w:val="part_c326a0355aa24e208735622bcf2fcafd"/>
            <w:lock w:val="sdtLocked"/>
            <w:richText/>
          </w:sdtPr>
          <w:sdtContent>
            <w:p w14:paraId="54865070" w14:textId="1D6DF7B1">
              <w:pPr>
                <w:jc w:val="both"/>
                <w:rPr>
                  <w:szCs w:val="24"/>
                </w:rPr>
              </w:pPr>
              <w:sdt>
                <w:sdtPr>
                  <w:alias w:val="Numeris"/>
                  <w:tag w:val="nr_c326a0355aa24e208735622bcf2fcafd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 xml:space="preserve">. TLK-10-AM – Tarptautinės statistinės ligų ir susijusių sveikatos sutrikimų klasifikacijos dešimtasis pataisytas ir papildytas leidimas „Sisteminis ligų sąrašas“ (Australijos modifikacija, TLK-10-AM), įdiegtas Lietuvos Respublikos sveikatos apsaugos ministro 2011 m. vasario 23 d. įsakymu Nr. V-164 „Dėl Tarptautinės statistinės ligų ir sveikatos sutrikimų klasifikacijos dešimtojo pataisyto ir papildyto leidimo „Sisteminis ligų sąrašas“ (Australijos modifikacija, TLK-10-AM) įdiegimo“. </w:t>
              </w:r>
            </w:p>
          </w:sdtContent>
        </w:sdt>
        <w:sdt>
          <w:sdtPr>
            <w:alias w:val="pabaiga"/>
            <w:tag w:val="part_ee9d2b47fb894c71bb4c8122f1b73c83"/>
            <w:lock w:val="sdtLocked"/>
            <w:richText/>
          </w:sdtPr>
          <w:sdtContent>
            <w:p w14:paraId="6AE4A077" w14:textId="2FD9E080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––––––––––––––––––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/>
      <w:pgMar w:top="1134" w:right="1701" w:bottom="567" w:left="1134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87C2B8E" w14:textId="77777777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separator/>
      </w:r>
    </w:p>
  </w:endnote>
  <w:endnote w:type="continuationSeparator" w:id="0">
    <w:p w14:paraId="56884F03" w14:textId="77777777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6CC66A" w14:textId="77777777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1954BD" w14:textId="77777777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1D542A" w14:textId="77777777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54D953D" w14:textId="77777777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separator/>
      </w:r>
    </w:p>
  </w:footnote>
  <w:footnote w:type="continuationSeparator" w:id="0">
    <w:p w14:paraId="6C9E6EBD" w14:textId="77777777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02337B" w14:textId="77777777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E4E3F7" w14:textId="77777777">
    <w:pPr>
      <w:tabs>
        <w:tab w:val="center" w:pos="4819"/>
        <w:tab w:val="right" w:pos="9638"/>
      </w:tabs>
      <w:jc w:val="center"/>
      <w:rPr>
        <w:rFonts w:ascii="Calibri" w:hAnsi="Calibri"/>
        <w:sz w:val="22"/>
        <w:szCs w:val="22"/>
      </w:rPr>
    </w:pPr>
    <w:r>
      <w:rPr>
        <w:rFonts w:ascii="Calibri" w:hAnsi="Calibri"/>
        <w:sz w:val="22"/>
        <w:szCs w:val="22"/>
      </w:rPr>
      <w:fldChar w:fldCharType="begin"/>
    </w:r>
    <w:r>
      <w:rPr>
        <w:rFonts w:ascii="Calibri" w:hAnsi="Calibri"/>
        <w:sz w:val="22"/>
        <w:szCs w:val="22"/>
      </w:rPr>
      <w:instrText>PAGE   \* MERGEFORMAT</w:instrText>
    </w:r>
    <w:r>
      <w:rPr>
        <w:rFonts w:ascii="Calibri" w:hAnsi="Calibri"/>
        <w:sz w:val="22"/>
        <w:szCs w:val="22"/>
      </w:rPr>
      <w:fldChar w:fldCharType="separate"/>
    </w:r>
    <w:r>
      <w:rPr>
        <w:rFonts w:ascii="Calibri" w:hAnsi="Calibri"/>
        <w:sz w:val="22"/>
        <w:szCs w:val="22"/>
      </w:rPr>
      <w:t>9</w:t>
    </w:r>
    <w:r>
      <w:rPr>
        <w:rFonts w:ascii="Calibri" w:hAnsi="Calibri"/>
        <w:sz w:val="22"/>
        <w:szCs w:val="22"/>
      </w:rPr>
      <w:fldChar w:fldCharType="end"/>
    </w:r>
  </w:p>
  <w:p w14:paraId="610A4DC0" w14:textId="77777777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F71682" w14:textId="77777777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54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1DD8951"/>
  <w15:docId w15:val="{2F7FB81D-6B10-4F67-B00B-643BD7A0DB0C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57431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5" Abbr="5 pr." Title="ILGALAIKIO SUAUGUSIŲJŲ, SERGANČIŲ TUBERKULIOZE, SVEIKATOS BŪKLĖS STEBĖJIMO SĄLYGOS IR LIGŲ SĄRAŠAS" DocPartId="434408faf536469fbea4caf1ef6fa580" PartId="b070065a33144de4a5a2c8c0cea48ce5">
    <Part Type="punktas" Nr="1" Abbr="5 pr. 1 p." DocPartId="04fbb26166f94a119fe26fd7286e35be" PartId="5ef5d01eb0c84d608d276f9e511fbd1b"/>
    <Part Type="punktas" Nr="2" Abbr="5 pr. 2 p." DocPartId="4cbb37d810944d1b9418546a74ee4ed0" PartId="c6a9f8b18a6c43b4894687855516a0fc"/>
    <Part Type="punktas" Nr="3" Abbr="5 pr. 3 p." DocPartId="36a65c2222e14f2093154f4aa5d7adb5" PartId="c326a0355aa24e208735622bcf2fcafd"/>
    <Part Type="pabaiga" DocPartId="2f80c2f8dc2146e9a72dd2a8c52ef5b0" PartId="ee9d2b47fb894c71bb4c8122f1b73c83"/>
  </Part>
</Parts>
</file>

<file path=customXml/itemProps1.xml><?xml version="1.0" encoding="utf-8"?>
<ds:datastoreItem xmlns:ds="http://schemas.openxmlformats.org/officeDocument/2006/customXml" ds:itemID="{65145346-67EA-44DC-933C-A64493136B6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242</Words>
  <Characters>1743</Characters>
  <Application>Microsoft Office Word</Application>
  <DocSecurity>4</DocSecurity>
  <Lines>58</Lines>
  <Paragraphs>33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Ilgalaikio pacientų, sergančių lėtinėmis</vt:lpstr>
      <vt:lpstr>Ilgalaikio pacientų, sergančių lėtinėmis</vt:lpstr>
    </vt:vector>
  </TitlesOfParts>
  <Company>LR Sveikatos apsaugos ministerija</Company>
  <LinksUpToDate>false</LinksUpToDate>
  <CharactersWithSpaces>1952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2026-02-10T10:45:00Z</dcterms:created>
  <dc:creator>Asta Einikienė</dc:creator>
  <lastModifiedBy>adlibuser</lastModifiedBy>
  <lastPrinted>2014-01-27T08:35:00Z</lastPrinted>
  <dcterms:modified xsi:type="dcterms:W3CDTF">2026-02-10T10:45:00Z</dcterms:modified>
  <revision>2</revision>
  <dc:title>Ilgalaikio pacientų, sergančių lėtinėmis</dc:title>
</coreProperties>
</file>