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BD30884" w14:textId="77777777" w:rsidR="00901171" w:rsidRDefault="00AC2762">
      <w:pPr>
        <w:spacing w:after="0" w:line="240" w:lineRule="auto"/>
        <w:ind w:left="4320" w:firstLine="720"/>
        <w:rPr>
          <w:rFonts w:ascii="Times New Roman" w:hAnsi="Times New Roman"/>
          <w:sz w:val="24"/>
          <w:szCs w:val="24"/>
          <w:lang w:eastAsia="lt-LT"/>
        </w:rPr>
      </w:pPr>
      <w:r>
        <w:rPr>
          <w:rFonts w:ascii="Times New Roman" w:hAnsi="Times New Roman"/>
          <w:sz w:val="24"/>
          <w:szCs w:val="24"/>
          <w:lang w:eastAsia="lt-LT"/>
        </w:rPr>
        <w:t>Techninių reikalavimų vidaus vandenų</w:t>
      </w:r>
    </w:p>
    <w:p w14:paraId="7BD30885" w14:textId="77777777" w:rsidR="00901171" w:rsidRDefault="00AC2762">
      <w:pPr>
        <w:spacing w:after="0" w:line="240" w:lineRule="auto"/>
        <w:ind w:left="4320" w:firstLine="720"/>
        <w:rPr>
          <w:rFonts w:ascii="Times New Roman" w:hAnsi="Times New Roman"/>
          <w:sz w:val="24"/>
          <w:szCs w:val="24"/>
          <w:lang w:eastAsia="lt-LT"/>
        </w:rPr>
      </w:pPr>
      <w:r>
        <w:rPr>
          <w:rFonts w:ascii="Times New Roman" w:hAnsi="Times New Roman"/>
          <w:sz w:val="24"/>
          <w:szCs w:val="24"/>
          <w:lang w:eastAsia="lt-LT"/>
        </w:rPr>
        <w:t>transporto priemonėms,</w:t>
      </w:r>
      <w:r>
        <w:t xml:space="preserve"> </w:t>
      </w:r>
      <w:r>
        <w:rPr>
          <w:rFonts w:ascii="Times New Roman" w:hAnsi="Times New Roman"/>
          <w:sz w:val="24"/>
          <w:szCs w:val="24"/>
          <w:lang w:eastAsia="lt-LT"/>
        </w:rPr>
        <w:t xml:space="preserve">plaukiojančioms </w:t>
      </w:r>
    </w:p>
    <w:p w14:paraId="7BD30886" w14:textId="77777777" w:rsidR="00901171" w:rsidRDefault="00AC2762">
      <w:pPr>
        <w:spacing w:after="0" w:line="240" w:lineRule="auto"/>
        <w:ind w:left="5040"/>
        <w:rPr>
          <w:rFonts w:ascii="Times New Roman" w:hAnsi="Times New Roman"/>
          <w:sz w:val="24"/>
          <w:szCs w:val="24"/>
          <w:lang w:eastAsia="lt-LT"/>
        </w:rPr>
      </w:pPr>
      <w:r>
        <w:rPr>
          <w:rFonts w:ascii="Times New Roman" w:hAnsi="Times New Roman"/>
          <w:sz w:val="24"/>
          <w:szCs w:val="24"/>
          <w:lang w:eastAsia="lt-LT"/>
        </w:rPr>
        <w:t>Europos Sąjungos vidaus vandenų keliais,</w:t>
      </w:r>
    </w:p>
    <w:p w14:paraId="7BD30887" w14:textId="77777777" w:rsidR="00901171" w:rsidRDefault="00AC2762">
      <w:pPr>
        <w:spacing w:after="0" w:line="240" w:lineRule="auto"/>
        <w:ind w:left="4320" w:firstLine="720"/>
        <w:rPr>
          <w:rStyle w:val="FontStyle301"/>
          <w:sz w:val="24"/>
          <w:szCs w:val="24"/>
        </w:rPr>
      </w:pPr>
      <w:r>
        <w:rPr>
          <w:rFonts w:ascii="Times New Roman" w:hAnsi="Times New Roman"/>
          <w:sz w:val="24"/>
          <w:szCs w:val="24"/>
          <w:lang w:eastAsia="lt-LT"/>
        </w:rPr>
        <w:t>nustatymo,</w:t>
      </w:r>
      <w:r>
        <w:rPr>
          <w:rStyle w:val="FontStyle301"/>
          <w:sz w:val="24"/>
          <w:szCs w:val="24"/>
        </w:rPr>
        <w:t xml:space="preserve"> Europos Sąjungos vidaus </w:t>
      </w:r>
    </w:p>
    <w:p w14:paraId="7BD30888" w14:textId="77777777" w:rsidR="00901171" w:rsidRDefault="00AC2762">
      <w:pPr>
        <w:spacing w:after="0" w:line="240" w:lineRule="auto"/>
        <w:ind w:left="4320" w:firstLine="720"/>
        <w:rPr>
          <w:rStyle w:val="FontStyle301"/>
          <w:sz w:val="24"/>
          <w:szCs w:val="24"/>
        </w:rPr>
      </w:pPr>
      <w:r>
        <w:rPr>
          <w:rStyle w:val="FontStyle301"/>
          <w:sz w:val="24"/>
          <w:szCs w:val="24"/>
        </w:rPr>
        <w:t xml:space="preserve">vandenų laivybos sertifikatų išdavimo, </w:t>
      </w:r>
    </w:p>
    <w:p w14:paraId="7BD30889" w14:textId="77777777" w:rsidR="00901171" w:rsidRDefault="00AC2762">
      <w:pPr>
        <w:spacing w:after="0" w:line="240" w:lineRule="auto"/>
        <w:ind w:left="4320" w:firstLine="720"/>
        <w:rPr>
          <w:rStyle w:val="FontStyle301"/>
          <w:sz w:val="24"/>
          <w:szCs w:val="24"/>
        </w:rPr>
      </w:pPr>
      <w:r>
        <w:rPr>
          <w:rStyle w:val="FontStyle301"/>
          <w:sz w:val="24"/>
          <w:szCs w:val="24"/>
        </w:rPr>
        <w:t xml:space="preserve">pratęsimo, atnaujinimo, pakeitimo ir </w:t>
      </w:r>
    </w:p>
    <w:p w14:paraId="7BD3088A" w14:textId="77777777" w:rsidR="00901171" w:rsidRDefault="00AC2762">
      <w:pPr>
        <w:spacing w:after="0" w:line="240" w:lineRule="auto"/>
        <w:ind w:left="5040"/>
        <w:rPr>
          <w:rFonts w:ascii="Times New Roman" w:hAnsi="Times New Roman"/>
          <w:sz w:val="24"/>
          <w:szCs w:val="24"/>
          <w:lang w:eastAsia="lt-LT"/>
        </w:rPr>
      </w:pPr>
      <w:r>
        <w:rPr>
          <w:rStyle w:val="FontStyle301"/>
          <w:sz w:val="24"/>
          <w:szCs w:val="24"/>
        </w:rPr>
        <w:t>panaikinimo,</w:t>
      </w:r>
      <w:r>
        <w:t xml:space="preserve"> </w:t>
      </w:r>
      <w:r>
        <w:rPr>
          <w:rStyle w:val="FontStyle301"/>
          <w:sz w:val="24"/>
          <w:szCs w:val="24"/>
        </w:rPr>
        <w:t>klasifikavimo bendrovių pripažinimo tvarkos aprašo</w:t>
      </w:r>
    </w:p>
    <w:p w14:paraId="7BD3088B" w14:textId="77777777" w:rsidR="00901171" w:rsidRDefault="00AC2762">
      <w:pPr>
        <w:spacing w:after="0" w:line="240" w:lineRule="auto"/>
        <w:ind w:left="4320" w:firstLine="720"/>
        <w:rPr>
          <w:rFonts w:ascii="Times New Roman" w:hAnsi="Times New Roman"/>
          <w:sz w:val="24"/>
          <w:szCs w:val="24"/>
          <w:lang w:eastAsia="lt-LT"/>
        </w:rPr>
      </w:pPr>
      <w:r>
        <w:rPr>
          <w:rFonts w:ascii="Times New Roman" w:hAnsi="Times New Roman"/>
          <w:sz w:val="24"/>
          <w:szCs w:val="24"/>
          <w:lang w:eastAsia="lt-LT"/>
        </w:rPr>
        <w:t>5 priedas</w:t>
      </w:r>
    </w:p>
    <w:p w14:paraId="7BD3088C" w14:textId="77777777" w:rsidR="00901171" w:rsidRDefault="00901171">
      <w:pPr>
        <w:spacing w:after="0" w:line="240" w:lineRule="auto"/>
        <w:ind w:left="4320" w:firstLine="720"/>
        <w:rPr>
          <w:rFonts w:ascii="Times New Roman" w:hAnsi="Times New Roman"/>
          <w:sz w:val="24"/>
          <w:szCs w:val="24"/>
          <w:lang w:eastAsia="lt-LT"/>
        </w:rPr>
      </w:pPr>
    </w:p>
    <w:p w14:paraId="7BD3088D" w14:textId="77777777" w:rsidR="00901171" w:rsidRDefault="00901171" w:rsidP="000D7166">
      <w:pPr>
        <w:spacing w:after="0" w:line="240" w:lineRule="auto"/>
        <w:ind w:left="4320" w:firstLine="720"/>
        <w:jc w:val="center"/>
        <w:rPr>
          <w:rFonts w:ascii="Times New Roman" w:hAnsi="Times New Roman"/>
          <w:color w:val="FF0000"/>
          <w:sz w:val="24"/>
          <w:szCs w:val="24"/>
          <w:lang w:eastAsia="lt-LT"/>
        </w:rPr>
      </w:pPr>
    </w:p>
    <w:p w14:paraId="1360A409" w14:textId="1144162A" w:rsidR="000D7166" w:rsidRDefault="000D7166" w:rsidP="000D7166">
      <w:pPr>
        <w:spacing w:after="0" w:line="240" w:lineRule="auto"/>
        <w:ind w:firstLine="357"/>
        <w:jc w:val="center"/>
        <w:rPr>
          <w:rFonts w:ascii="Times New Roman" w:hAnsi="Times New Roman" w:cs="Times New Roman"/>
          <w:b/>
          <w:sz w:val="24"/>
          <w:szCs w:val="24"/>
        </w:rPr>
      </w:pPr>
      <w:r w:rsidRPr="000D7166">
        <w:rPr>
          <w:rFonts w:ascii="Times New Roman" w:hAnsi="Times New Roman" w:cs="Times New Roman"/>
          <w:b/>
          <w:bCs/>
          <w:sz w:val="24"/>
          <w:szCs w:val="24"/>
          <w:lang w:val="en-US"/>
        </w:rPr>
        <w:t>KLASIFIKAVIMO BENDROVIŲ PRIPAŽINIMO REIKALAVIMAI</w:t>
      </w:r>
    </w:p>
    <w:p w14:paraId="7405E545" w14:textId="77777777" w:rsidR="000D7166" w:rsidRDefault="000D7166">
      <w:pPr>
        <w:spacing w:after="0" w:line="240" w:lineRule="auto"/>
        <w:ind w:firstLine="357"/>
        <w:jc w:val="both"/>
        <w:rPr>
          <w:rFonts w:ascii="Times New Roman" w:hAnsi="Times New Roman" w:cs="Times New Roman"/>
          <w:b/>
          <w:sz w:val="24"/>
          <w:szCs w:val="24"/>
        </w:rPr>
      </w:pPr>
    </w:p>
    <w:p w14:paraId="7BD3088F" w14:textId="01BB8EC4"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 Klasifikavimo bendrovės, įgaliotos Lietuvos Respublikos vardu vykdyti vidaus vandenų transporto priemonių techninius patikrinimus ir išduoti tai patvirtinančius dokumentus (liudijimus), siekiančios pripažinimo, turi atitikti visus šiuos kriterijus:</w:t>
      </w:r>
    </w:p>
    <w:p w14:paraId="7BD30890" w14:textId="0F1C500C"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1.1. </w:t>
      </w:r>
      <w:r w:rsidR="000D7166" w:rsidRPr="000D7166">
        <w:rPr>
          <w:rFonts w:ascii="Times New Roman" w:hAnsi="Times New Roman" w:cs="Times New Roman"/>
          <w:sz w:val="24"/>
          <w:szCs w:val="24"/>
        </w:rPr>
        <w:t>Klasifikavimo bendrovė gali dokumentais pagrįsti didelę patirtį, įgytą vertinant vidaus vandenų laivų projektus ir konstrukcijas. Klasifikavimo bendrovė turi išsamias vidaus vandenų laivų projektavimo, statybos ir periodinio tikrinimo, visų pirma stovumo skaičiavimo pagal Taisyklių, pridėtų prie Europos sutarties dėl pavojingų krovinių tarptautinio vežimo vidaus vandenų keliais (ADN), 9 dalį, kaip nurodyta Europos vidaus vandenų laivybos standartų rengimo komiteto 2022 m. spalio 13 d. posėdyje priimtame Europos standarte, kuriuo nustatomi techniniai reikalavimai vidaus vandenų laivams (ES-TRIN 2023/1) (toliau – ES-TRIN standartas), taisykles ir nuostatus, kurie skelbiami bent anglų, olandų, prancūzų arba vokiečių kalba ir nuolat atnaujinami bei tobulinami vykdant mokslinių tyrimų ir technologinės plėtros programas. Taisyklės ir nuostatai neprieštarauja Europos Sąjungos teisės nuostatoms arba galiojantiems tarptautiniams susitarimams</w:t>
      </w:r>
      <w:r>
        <w:rPr>
          <w:rFonts w:ascii="Times New Roman" w:hAnsi="Times New Roman" w:cs="Times New Roman"/>
          <w:sz w:val="24"/>
          <w:szCs w:val="24"/>
        </w:rPr>
        <w:t>.</w:t>
      </w:r>
    </w:p>
    <w:p w14:paraId="7BD30891"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1.2. Klasifikavimo bendrovė kasmet skelbia savo laivų registrą.</w:t>
      </w:r>
    </w:p>
    <w:p w14:paraId="7BD30892"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1.3. Klasifikavimo bendrovės nekontroliuoja laivų savininkai ar statytojai arba kiti asmenys, kurių komercinė veikla yra susijusi su laivų projektavimu, gamyba, įrengimu, remontu, eksploatavimu ar draudimu. Klasifikavimo bendrovė pajamas turi gauti ne iš vienos įmonės.</w:t>
      </w:r>
    </w:p>
    <w:p w14:paraId="7BD30893"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1.4. Klasifikavimo bendrovės buveinė ar filialas, įgaliotas priimti sprendimus ir veikti visose atitinkamose srityse pagal vidaus vandenų transportą reglamentuojančius teisės aktus, yra vienoje iš Europos Sąjungos valstybių narių.</w:t>
      </w:r>
    </w:p>
    <w:p w14:paraId="7BD30894"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1.5. Klasifikavimo bendrovė ir jos ekspertai turi gerą reputaciją vidaus vandenų transporto srityje; ekspertai gali pateikti savo profesinių gebėjimų įrodymą. Už jų veiklą atsako klasifikavimo bendrovė.</w:t>
      </w:r>
    </w:p>
    <w:p w14:paraId="7BD30895"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1.6. Klasifikavimo bendrovė turi gausų techninį, vadybos, pagalbinį, tikrinimo ir mokslinį personalą, atitinkantį jos uždavinius bei klasifikuojamus laivus, kuris taip pat rūpinasi pajėgumų plėtra ir taisyklių atnaujinimu. Ji turi inspektorius bent vienoje Europos Sąjungos valstybėje narėje.</w:t>
      </w:r>
    </w:p>
    <w:p w14:paraId="7BD30896"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1.7. Klasifikavimo bendrovės veiklą reglamentuoja etikos kodeksas.</w:t>
      </w:r>
    </w:p>
    <w:p w14:paraId="7BD30897"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1.8. Klasifikavimo bendrovė yra valdoma ir administruojama taip, kad būtų užtikrintas Lietuvos Respublikos teisės aktuose nustatytas informacijos konfidencialumas.</w:t>
      </w:r>
    </w:p>
    <w:p w14:paraId="7BD30898"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 xml:space="preserve">1.9. Klasifikavimo bendrovė yra pasirengusi teikti atitinkamą informaciją kompetentingoms </w:t>
      </w:r>
      <w:r>
        <w:t xml:space="preserve"> </w:t>
      </w:r>
      <w:r>
        <w:rPr>
          <w:rFonts w:ascii="Times New Roman" w:hAnsi="Times New Roman" w:cs="Times New Roman"/>
          <w:sz w:val="24"/>
          <w:szCs w:val="24"/>
        </w:rPr>
        <w:t>institucijoms, kurioms Lietuvos Respublikos teisės aktų nustatyta tvarka yra suteikti įgaliojimai, susiję su šia informacija, ar jos reikia jų tiesioginėms funkcijoms atlikti.</w:t>
      </w:r>
    </w:p>
    <w:p w14:paraId="7BD30899" w14:textId="77777777" w:rsidR="00901171" w:rsidRDefault="00AC2762" w:rsidP="003C463E">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lastRenderedPageBreak/>
        <w:t>1.10. Klasifikavimo bendrovės vadovybė apibrėžia ir dokumentais pagrindžia savo kokybės politiką, tikslus ir įsipareigojimus dėl kokybės ir užtikrina, kad ši politika būtų suprantama, įgyvendinama ir kad jos būtų laikomasi visais klasifikavimo bendrovės lygiais.</w:t>
      </w:r>
    </w:p>
    <w:p w14:paraId="7BD3089A"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1.11. Klasifikavimo bendrovė parengia, įdiegia ir taiko veiksmingą vidaus kokybės sistemą, grindžiamą atitinkamomis tarptautiniu mastu pripažintų kokybės standartų dalimis ir atitinkančią EN ISO/IEC 17020:2004, kaip aiškinama IACS Kokybės sistemos sertifikavimo schemos reikalavimuose. Kokybės sistema turi būti sertifikuota nepriklausomos audito įstaigos, pripažintos valstybės, kurioje yra klasifikavimo bendrovės buveinė arba jos filialas, kaip numatyta 1.4 papunktyje, administracijos, kuri</w:t>
      </w:r>
      <w:r>
        <w:rPr>
          <w:rFonts w:ascii="Times New Roman" w:hAnsi="Times New Roman" w:cs="Times New Roman"/>
          <w:i/>
          <w:sz w:val="24"/>
          <w:szCs w:val="24"/>
        </w:rPr>
        <w:t>, inter alia</w:t>
      </w:r>
      <w:r>
        <w:rPr>
          <w:rFonts w:ascii="Times New Roman" w:hAnsi="Times New Roman" w:cs="Times New Roman"/>
          <w:sz w:val="24"/>
          <w:szCs w:val="24"/>
        </w:rPr>
        <w:t>, užtikrina, kad:</w:t>
      </w:r>
    </w:p>
    <w:p w14:paraId="7BD3089B" w14:textId="77777777" w:rsidR="00901171" w:rsidRDefault="00AC2762">
      <w:pPr>
        <w:spacing w:after="0" w:line="240" w:lineRule="auto"/>
        <w:ind w:firstLine="357"/>
        <w:jc w:val="both"/>
        <w:rPr>
          <w:rFonts w:ascii="Times New Roman" w:hAnsi="Times New Roman" w:cs="Times New Roman"/>
          <w:sz w:val="24"/>
          <w:szCs w:val="24"/>
        </w:rPr>
      </w:pPr>
      <w:r>
        <w:rPr>
          <w:rFonts w:ascii="Times New Roman" w:hAnsi="Times New Roman" w:cs="Times New Roman"/>
          <w:sz w:val="24"/>
          <w:szCs w:val="24"/>
        </w:rPr>
        <w:t>1.11.1. klasifikavimo bendrovės taisyklės ir nuostatai būtų nustatomi ir taikomi sistemingai;</w:t>
      </w:r>
    </w:p>
    <w:p w14:paraId="7BD3089C"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1.11.2. būtų laikomasi klasifikavimo bendrovės taisyklių ir nuostatų;</w:t>
      </w:r>
    </w:p>
    <w:p w14:paraId="7BD3089D"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1.11.3. būtų laikomasi teisės aktuose numatyto darbo, kurį atlikti yra įgaliota klasifikavimo bendrovė, reikalavimų;</w:t>
      </w:r>
    </w:p>
    <w:p w14:paraId="7BD3089E"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1.11.4. personalo, kurio darbas turi įtakos klasifikavimo bendrovės paslaugų kokybei, pareigos, įgaliojimai ir santykiai būtų apibrėžti ir įforminti dokumentais;</w:t>
      </w:r>
    </w:p>
    <w:p w14:paraId="7BD3089F"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1.11.5. visas darbas būtų atliekamas kontroliuojamomis sąlygomis;</w:t>
      </w:r>
    </w:p>
    <w:p w14:paraId="7BD308A0"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1.11.6. būtų įdiegta priežiūros sistema, kuri padėtų stebėti klasifikavimo bendrovės tiesiogiai įdarbintų inspektorių ir techninio bei administracinio personalo veiksmus ir darbą;</w:t>
      </w:r>
    </w:p>
    <w:p w14:paraId="7BD308A1"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1.11.7. pagrindiniame teisės akte numatyto darbo, kurį klasifikavimo bendrovė yra įgaliota atlikti, reikalavimus vykdytų ar jų vykdymą tiesiogiai prižiūrėtų tik klasifikavimo bendrovės arba kitų pripažintų klasifikavimo bendrovių inspektoriai;</w:t>
      </w:r>
    </w:p>
    <w:p w14:paraId="7BD308A2"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1.11.8. būtų įdiegta inspektorių kvalifikacijos įgijimo ir nuolatinio jų žinių atnaujinimo sistema;</w:t>
      </w:r>
    </w:p>
    <w:p w14:paraId="7BD308A3"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1.11.9. būtų tvarkomi įrašai, liudijantys, kad laikomasi teikiamų paslaugų sričių privalomų standartų ir kad kokybės sistema veikia veiksmingai;</w:t>
      </w:r>
    </w:p>
    <w:p w14:paraId="7BD308A4"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1.11.10. visuose padaliniuose veiktų planinio ir dokumentais grindžiamo kokybės užtikrinimo veiklos vidaus audito bendra sistema;</w:t>
      </w:r>
    </w:p>
    <w:p w14:paraId="7BD308A5"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1.11.11. kokybės sistema privalo būti sertifikuota nepriklausomos audito įstaigos, pripažintos valstybės, kurioje yra klasifikavimo bendrovės buveinė arba jos filialas, kaip numatyta 1.4 papunktyje, administracijos;</w:t>
      </w:r>
    </w:p>
    <w:p w14:paraId="7BD308A6"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1.11.12. klasifikavimo bendrovė įsipareigoja savo reikalavimus suderinti su atitinkamomis Europos Sąjungos direktyvomis ir Europos Komisijai laiku teikti visą atitinkamą informaciją;</w:t>
      </w:r>
    </w:p>
    <w:p w14:paraId="7BD308A7"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1.11.13. klasifikavimo bendrovė įsipareigoja periodiškai konsultuotis su jau pripažintomis klasifikavimo bendrovėmis, kad būtų užtikrintas jų techninių standartų ir tų standartų įgyvendinimo lygiavertiškumas, o rengdama savo taisykles ir nuostatus turi leisti dalyvauti valstybės narės ir kitų suinteresuotų šalių atstovams.</w:t>
      </w:r>
    </w:p>
    <w:p w14:paraId="7BD308A8" w14:textId="340769E4"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 xml:space="preserve">2. </w:t>
      </w:r>
      <w:r w:rsidR="000D7166" w:rsidRPr="000D7166">
        <w:rPr>
          <w:rFonts w:ascii="Times New Roman" w:hAnsi="Times New Roman" w:cs="Times New Roman"/>
          <w:sz w:val="24"/>
          <w:szCs w:val="24"/>
        </w:rPr>
        <w:t>Paraišką pripažinti klasifikavimo bendrovę Europos Komisijai pateikia Lietuvos transporto saugos administracija (toliau – Administracija). Prie šios paraiškos pridedama visa informacija ir dokumentai, kurių reikia norint patikrinti, ar tenkinami pripažinimo kriterijai</w:t>
      </w:r>
      <w:r>
        <w:rPr>
          <w:rFonts w:ascii="Times New Roman" w:hAnsi="Times New Roman" w:cs="Times New Roman"/>
          <w:sz w:val="24"/>
          <w:szCs w:val="24"/>
        </w:rPr>
        <w:t>.</w:t>
      </w:r>
    </w:p>
    <w:p w14:paraId="7BD308A9" w14:textId="77777777"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3. Administracija gali pateikti Europos Komisijai prašymą panaikinti pripažinimą, jeigu ji mano, kad klasifikavimo bendrovė nebetenkina nustatytų kriterijų. Prie prašymo panaikinti pripažinimą pridedami jį pagrindžiantys dokumentai.</w:t>
      </w:r>
    </w:p>
    <w:p w14:paraId="7BD308AA" w14:textId="6B783A89" w:rsidR="00901171" w:rsidRDefault="00AC2762">
      <w:pPr>
        <w:spacing w:after="0" w:line="240" w:lineRule="auto"/>
        <w:ind w:firstLine="356"/>
        <w:jc w:val="both"/>
        <w:rPr>
          <w:rFonts w:ascii="Times New Roman" w:hAnsi="Times New Roman" w:cs="Times New Roman"/>
          <w:sz w:val="24"/>
          <w:szCs w:val="24"/>
        </w:rPr>
      </w:pPr>
      <w:r>
        <w:rPr>
          <w:rFonts w:ascii="Times New Roman" w:hAnsi="Times New Roman" w:cs="Times New Roman"/>
          <w:sz w:val="24"/>
          <w:szCs w:val="24"/>
        </w:rPr>
        <w:t xml:space="preserve">4. </w:t>
      </w:r>
      <w:r w:rsidR="000D7166" w:rsidRPr="000D7166">
        <w:rPr>
          <w:rFonts w:ascii="Times New Roman" w:hAnsi="Times New Roman" w:cs="Times New Roman"/>
          <w:sz w:val="24"/>
          <w:szCs w:val="24"/>
        </w:rPr>
        <w:t>Klasifikavimo bendrovės, kurioms ne vėliau kaip 2016 m. spalio 6 d. buvo suteiktas pripažinimas pagal 2006 m. gruodžio 12 d. Europos Parlamento ir Tarybos direktyvą 2006/87/EB, nustatančią techninius reikalavimus vidaus vandenų laivams ir panaikinančią Tarybos direktyvą 82/714/EEB</w:t>
      </w:r>
      <w:r w:rsidR="000D7166">
        <w:rPr>
          <w:rFonts w:ascii="Times New Roman" w:hAnsi="Times New Roman" w:cs="Times New Roman"/>
          <w:sz w:val="24"/>
          <w:szCs w:val="24"/>
        </w:rPr>
        <w:t>, savo pripažinimą išlaiko</w:t>
      </w:r>
      <w:bookmarkStart w:id="0" w:name="_GoBack"/>
      <w:bookmarkEnd w:id="0"/>
      <w:r>
        <w:rPr>
          <w:rFonts w:ascii="Times New Roman" w:hAnsi="Times New Roman" w:cs="Times New Roman"/>
          <w:sz w:val="24"/>
          <w:szCs w:val="24"/>
        </w:rPr>
        <w:t>.</w:t>
      </w:r>
    </w:p>
    <w:p w14:paraId="7BD308AB" w14:textId="77777777" w:rsidR="00901171" w:rsidRDefault="00901171">
      <w:pPr>
        <w:spacing w:after="0" w:line="240" w:lineRule="auto"/>
        <w:ind w:firstLine="356"/>
        <w:jc w:val="both"/>
        <w:rPr>
          <w:rFonts w:ascii="Times New Roman" w:hAnsi="Times New Roman" w:cs="Times New Roman"/>
          <w:sz w:val="24"/>
          <w:szCs w:val="24"/>
        </w:rPr>
      </w:pPr>
    </w:p>
    <w:p w14:paraId="7BD308AC" w14:textId="77777777" w:rsidR="00901171" w:rsidRDefault="00AC2762">
      <w:pPr>
        <w:spacing w:after="0" w:line="240" w:lineRule="auto"/>
        <w:ind w:firstLine="356"/>
        <w:jc w:val="center"/>
      </w:pPr>
      <w:r>
        <w:rPr>
          <w:rFonts w:ascii="Times New Roman" w:hAnsi="Times New Roman" w:cs="Times New Roman"/>
          <w:sz w:val="24"/>
          <w:szCs w:val="24"/>
        </w:rPr>
        <w:t>_______________________________</w:t>
      </w:r>
    </w:p>
    <w:sectPr w:rsidR="00901171">
      <w:headerReference w:type="default" r:id="rId6"/>
      <w:pgSz w:w="12240" w:h="15840"/>
      <w:pgMar w:top="1440" w:right="1440" w:bottom="1440" w:left="1440" w:header="720" w:footer="0" w:gutter="0"/>
      <w:cols w:space="1296"/>
      <w:formProt w:val="0"/>
      <w:titlePg/>
      <w:docGrid w:linePitch="360" w:charSpace="-204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2AA5BE" w14:textId="77777777" w:rsidR="00FC7EB6" w:rsidRDefault="00FC7EB6">
      <w:pPr>
        <w:spacing w:after="0" w:line="240" w:lineRule="auto"/>
      </w:pPr>
      <w:r>
        <w:separator/>
      </w:r>
    </w:p>
  </w:endnote>
  <w:endnote w:type="continuationSeparator" w:id="0">
    <w:p w14:paraId="375C0178" w14:textId="77777777" w:rsidR="00FC7EB6" w:rsidRDefault="00FC7EB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BA"/>
    <w:family w:val="swiss"/>
    <w:pitch w:val="variable"/>
    <w:sig w:usb0="E4002EFF" w:usb1="C000247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Liberation Sans">
    <w:altName w:val="Arial"/>
    <w:panose1 w:val="020B0604020202020204"/>
    <w:charset w:val="BA"/>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0"/>
    <w:family w:val="roman"/>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7E11FF" w14:textId="77777777" w:rsidR="00FC7EB6" w:rsidRDefault="00FC7EB6">
      <w:pPr>
        <w:spacing w:after="0" w:line="240" w:lineRule="auto"/>
      </w:pPr>
      <w:r>
        <w:separator/>
      </w:r>
    </w:p>
  </w:footnote>
  <w:footnote w:type="continuationSeparator" w:id="0">
    <w:p w14:paraId="3CB8C7D6" w14:textId="77777777" w:rsidR="00FC7EB6" w:rsidRDefault="00FC7EB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81524982"/>
      <w:docPartObj>
        <w:docPartGallery w:val="Page Numbers (Top of Page)"/>
        <w:docPartUnique/>
      </w:docPartObj>
    </w:sdtPr>
    <w:sdtEndPr/>
    <w:sdtContent>
      <w:p w14:paraId="7BD308B1" w14:textId="207957D4" w:rsidR="00901171" w:rsidRDefault="00AC2762">
        <w:pPr>
          <w:pStyle w:val="Antrats"/>
          <w:jc w:val="center"/>
        </w:pPr>
        <w:r>
          <w:fldChar w:fldCharType="begin"/>
        </w:r>
        <w:r>
          <w:instrText>PAGE</w:instrText>
        </w:r>
        <w:r>
          <w:fldChar w:fldCharType="separate"/>
        </w:r>
        <w:r w:rsidR="000D7166">
          <w:rPr>
            <w:noProof/>
          </w:rPr>
          <w:t>2</w:t>
        </w:r>
        <w:r>
          <w:fldChar w:fldCharType="end"/>
        </w:r>
      </w:p>
    </w:sdtContent>
  </w:sdt>
  <w:p w14:paraId="7BD308B2" w14:textId="77777777" w:rsidR="00901171" w:rsidRDefault="00901171">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1171"/>
    <w:rsid w:val="000D7166"/>
    <w:rsid w:val="003C463E"/>
    <w:rsid w:val="00591F9D"/>
    <w:rsid w:val="008C0A24"/>
    <w:rsid w:val="00901171"/>
    <w:rsid w:val="00AA1DEB"/>
    <w:rsid w:val="00AC2762"/>
    <w:rsid w:val="00FC7EB6"/>
  </w:rsids>
  <m:mathPr>
    <m:mathFont m:val="Cambria Math"/>
    <m:brkBin m:val="before"/>
    <m:brkBinSub m:val="--"/>
    <m:smallFrac m:val="0"/>
    <m:dispDef/>
    <m:lMargin m:val="0"/>
    <m:rMargin m:val="0"/>
    <m:defJc m:val="centerGroup"/>
    <m:wrapIndent m:val="1440"/>
    <m:intLim m:val="subSup"/>
    <m:naryLim m:val="undOvr"/>
  </m:mathPr>
  <w:themeFontLang w:val="en-U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D30884"/>
  <w15:docId w15:val="{F59FB864-8101-44DA-890C-5B7816D8D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pPr>
      <w:spacing w:after="160" w:line="259" w:lineRule="auto"/>
    </w:pPr>
    <w:rPr>
      <w:lang w:val="lt-LT"/>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FontStyle301">
    <w:name w:val="Font Style301"/>
    <w:qFormat/>
    <w:rsid w:val="0039088E"/>
    <w:rPr>
      <w:rFonts w:ascii="Times New Roman" w:hAnsi="Times New Roman" w:cs="Times New Roman"/>
      <w:sz w:val="18"/>
      <w:szCs w:val="18"/>
    </w:rPr>
  </w:style>
  <w:style w:type="character" w:customStyle="1" w:styleId="AntratsDiagrama">
    <w:name w:val="Antraštės Diagrama"/>
    <w:basedOn w:val="Numatytasispastraiposriftas"/>
    <w:link w:val="Antrats"/>
    <w:uiPriority w:val="99"/>
    <w:qFormat/>
    <w:rsid w:val="00A13769"/>
    <w:rPr>
      <w:lang w:val="lt-LT"/>
    </w:rPr>
  </w:style>
  <w:style w:type="character" w:customStyle="1" w:styleId="PoratDiagrama">
    <w:name w:val="Poraštė Diagrama"/>
    <w:basedOn w:val="Numatytasispastraiposriftas"/>
    <w:link w:val="Porat"/>
    <w:uiPriority w:val="99"/>
    <w:qFormat/>
    <w:rsid w:val="00A13769"/>
    <w:rPr>
      <w:lang w:val="lt-LT"/>
    </w:rPr>
  </w:style>
  <w:style w:type="character" w:customStyle="1" w:styleId="DebesliotekstasDiagrama">
    <w:name w:val="Debesėlio tekstas Diagrama"/>
    <w:basedOn w:val="Numatytasispastraiposriftas"/>
    <w:link w:val="Debesliotekstas"/>
    <w:uiPriority w:val="99"/>
    <w:semiHidden/>
    <w:qFormat/>
    <w:rsid w:val="00EF03D4"/>
    <w:rPr>
      <w:rFonts w:ascii="Segoe UI" w:hAnsi="Segoe UI" w:cs="Segoe UI"/>
      <w:sz w:val="18"/>
      <w:szCs w:val="18"/>
      <w:lang w:val="lt-LT"/>
    </w:rPr>
  </w:style>
  <w:style w:type="character" w:customStyle="1" w:styleId="ListLabel1">
    <w:name w:val="ListLabel 1"/>
    <w:qFormat/>
    <w:rPr>
      <w:color w:val="2F5496"/>
    </w:rPr>
  </w:style>
  <w:style w:type="character" w:customStyle="1" w:styleId="ListLabel2">
    <w:name w:val="ListLabel 2"/>
    <w:qFormat/>
    <w:rPr>
      <w:color w:val="2F5496"/>
    </w:rPr>
  </w:style>
  <w:style w:type="character" w:customStyle="1" w:styleId="ListLabel3">
    <w:name w:val="ListLabel 3"/>
    <w:qFormat/>
    <w:rPr>
      <w:color w:val="2F5496"/>
    </w:rPr>
  </w:style>
  <w:style w:type="character" w:customStyle="1" w:styleId="ListLabel4">
    <w:name w:val="ListLabel 4"/>
    <w:qFormat/>
    <w:rPr>
      <w:color w:val="2F5496"/>
    </w:rPr>
  </w:style>
  <w:style w:type="character" w:customStyle="1" w:styleId="ListLabel5">
    <w:name w:val="ListLabel 5"/>
    <w:qFormat/>
    <w:rPr>
      <w:color w:val="2F5496"/>
    </w:rPr>
  </w:style>
  <w:style w:type="character" w:customStyle="1" w:styleId="ListLabel6">
    <w:name w:val="ListLabel 6"/>
    <w:qFormat/>
    <w:rPr>
      <w:color w:val="2F5496"/>
    </w:rPr>
  </w:style>
  <w:style w:type="character" w:customStyle="1" w:styleId="ListLabel7">
    <w:name w:val="ListLabel 7"/>
    <w:qFormat/>
    <w:rPr>
      <w:color w:val="2F5496"/>
    </w:rPr>
  </w:style>
  <w:style w:type="character" w:customStyle="1" w:styleId="ListLabel8">
    <w:name w:val="ListLabel 8"/>
    <w:qFormat/>
    <w:rPr>
      <w:color w:val="2F5496"/>
    </w:rPr>
  </w:style>
  <w:style w:type="paragraph" w:customStyle="1" w:styleId="Heading">
    <w:name w:val="Heading"/>
    <w:basedOn w:val="prastasis"/>
    <w:next w:val="Pagrindinistekstas"/>
    <w:qFormat/>
    <w:pPr>
      <w:keepNext/>
      <w:spacing w:before="240" w:after="120"/>
    </w:pPr>
    <w:rPr>
      <w:rFonts w:ascii="Liberation Sans" w:eastAsia="Microsoft YaHei" w:hAnsi="Liberation Sans" w:cs="Mangal"/>
      <w:sz w:val="28"/>
      <w:szCs w:val="28"/>
    </w:rPr>
  </w:style>
  <w:style w:type="paragraph" w:styleId="Pagrindinistekstas">
    <w:name w:val="Body Text"/>
    <w:basedOn w:val="prastasis"/>
    <w:pPr>
      <w:spacing w:after="140" w:line="288" w:lineRule="auto"/>
    </w:pPr>
  </w:style>
  <w:style w:type="paragraph" w:styleId="Sraas">
    <w:name w:val="List"/>
    <w:basedOn w:val="Pagrindinistekstas"/>
    <w:rPr>
      <w:rFonts w:cs="Mangal"/>
    </w:rPr>
  </w:style>
  <w:style w:type="paragraph" w:styleId="Antrat">
    <w:name w:val="caption"/>
    <w:basedOn w:val="prastasis"/>
    <w:qFormat/>
    <w:pPr>
      <w:suppressLineNumbers/>
      <w:spacing w:before="120" w:after="120"/>
    </w:pPr>
    <w:rPr>
      <w:rFonts w:cs="Mangal"/>
      <w:i/>
      <w:iCs/>
      <w:sz w:val="24"/>
      <w:szCs w:val="24"/>
    </w:rPr>
  </w:style>
  <w:style w:type="paragraph" w:customStyle="1" w:styleId="Index">
    <w:name w:val="Index"/>
    <w:basedOn w:val="prastasis"/>
    <w:qFormat/>
    <w:pPr>
      <w:suppressLineNumbers/>
    </w:pPr>
    <w:rPr>
      <w:rFonts w:cs="Mangal"/>
    </w:rPr>
  </w:style>
  <w:style w:type="paragraph" w:styleId="Sraopastraipa">
    <w:name w:val="List Paragraph"/>
    <w:basedOn w:val="prastasis"/>
    <w:uiPriority w:val="34"/>
    <w:qFormat/>
    <w:rsid w:val="006166CA"/>
    <w:pPr>
      <w:ind w:left="720"/>
      <w:contextualSpacing/>
    </w:pPr>
  </w:style>
  <w:style w:type="paragraph" w:styleId="Antrats">
    <w:name w:val="header"/>
    <w:basedOn w:val="prastasis"/>
    <w:link w:val="AntratsDiagrama"/>
    <w:uiPriority w:val="99"/>
    <w:unhideWhenUsed/>
    <w:rsid w:val="00A13769"/>
    <w:pPr>
      <w:tabs>
        <w:tab w:val="center" w:pos="4986"/>
        <w:tab w:val="right" w:pos="9972"/>
      </w:tabs>
      <w:spacing w:after="0" w:line="240" w:lineRule="auto"/>
    </w:pPr>
  </w:style>
  <w:style w:type="paragraph" w:styleId="Porat">
    <w:name w:val="footer"/>
    <w:basedOn w:val="prastasis"/>
    <w:link w:val="PoratDiagrama"/>
    <w:uiPriority w:val="99"/>
    <w:unhideWhenUsed/>
    <w:rsid w:val="00A13769"/>
    <w:pPr>
      <w:tabs>
        <w:tab w:val="center" w:pos="4986"/>
        <w:tab w:val="right" w:pos="9972"/>
      </w:tabs>
      <w:spacing w:after="0" w:line="240" w:lineRule="auto"/>
    </w:pPr>
  </w:style>
  <w:style w:type="paragraph" w:styleId="Debesliotekstas">
    <w:name w:val="Balloon Text"/>
    <w:basedOn w:val="prastasis"/>
    <w:link w:val="DebesliotekstasDiagrama"/>
    <w:uiPriority w:val="99"/>
    <w:semiHidden/>
    <w:unhideWhenUsed/>
    <w:qFormat/>
    <w:rsid w:val="00EF03D4"/>
    <w:pPr>
      <w:spacing w:after="0" w:line="240" w:lineRule="auto"/>
    </w:pPr>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4326</Words>
  <Characters>2466</Characters>
  <Application>Microsoft Office Word</Application>
  <DocSecurity>0</DocSecurity>
  <Lines>20</Lines>
  <Paragraphs>13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Teresa Guchmazova</dc:creator>
  <cp:lastModifiedBy>PAPINIGIENĖ Augustė</cp:lastModifiedBy>
  <cp:revision>2</cp:revision>
  <dcterms:created xsi:type="dcterms:W3CDTF">2024-01-24T12:57:00Z</dcterms:created>
  <dcterms:modified xsi:type="dcterms:W3CDTF">2024-01-24T12:57:00Z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