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7 pr."/>
        <w:tag w:val="part_6d87532e5cd04c569ca4a6bc9cab3a48"/>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6d87532e5cd04c569ca4a6bc9cab3a48"/>
              <w:lock w:val="sdtLocked"/>
              <w:richText/>
            </w:sdtPr>
            <w:sdtContent>
              <w:r>
                <w:rPr>
                  <w:color w:val="242424"/>
                  <w:szCs w:val="24"/>
                  <w:lang w:eastAsia="lt-LT"/>
                </w:rPr>
                <w:t>7</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6d87532e5cd04c569ca4a6bc9cab3a48"/>
              <w:lock w:val="sdtLocked"/>
              <w:richText/>
            </w:sdtPr>
            <w:sdtContent>
              <w:r>
                <w:rPr>
                  <w:szCs w:val="24"/>
                  <w:lang w:eastAsia="lt-LT"/>
                </w:rPr>
                <w:t>ŠEIMOS FUNKCIONAVIMAS</w:t>
              </w:r>
            </w:sdtContent>
          </w:sdt>
        </w:p>
        <w:p>
          <w:pPr>
            <w:jc w:val="center"/>
            <w:rPr>
              <w:color w:val="000000"/>
              <w:szCs w:val="24"/>
            </w:rPr>
          </w:pP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5"/>
            <w:gridCol w:w="2959"/>
          </w:tblGrid>
          <w:tr>
            <w:tc>
              <w:tcPr>
                <w:tcW w:w="7695" w:type="dxa"/>
              </w:tcPr>
              <w:p>
                <w:pPr>
                  <w:rPr>
                    <w:szCs w:val="24"/>
                  </w:rPr>
                </w:pPr>
                <w:r>
                  <w:rPr>
                    <w:szCs w:val="24"/>
                  </w:rPr>
                  <w:t>VIZITO DATA:</w:t>
                </w:r>
              </w:p>
            </w:tc>
            <w:tc>
              <w:tcPr>
                <w:tcW w:w="2959" w:type="dxa"/>
              </w:tcPr>
              <w:p>
                <w:pPr>
                  <w:rPr>
                    <w:szCs w:val="24"/>
                  </w:rPr>
                </w:pPr>
                <w:r>
                  <w:rPr>
                    <w:szCs w:val="24"/>
                  </w:rPr>
                  <w:t>Nustatytas rizikos lygis:</w:t>
                </w:r>
              </w:p>
            </w:tc>
          </w:tr>
          <w:tr>
            <w:tc>
              <w:tcPr>
                <w:tcW w:w="7695" w:type="dxa"/>
              </w:tcPr>
              <w:p>
                <w:pPr>
                  <w:rPr>
                    <w:szCs w:val="24"/>
                  </w:rPr>
                </w:pPr>
                <w:r>
                  <w:rPr>
                    <w:szCs w:val="24"/>
                  </w:rPr>
                  <w:t>VIZITO NR. :</w:t>
                </w:r>
              </w:p>
            </w:tc>
            <w:tc>
              <w:tcPr>
                <w:tcW w:w="2959" w:type="dxa"/>
                <w:vMerge w:val="restart"/>
              </w:tcPr>
              <w:p>
                <w:pPr>
                  <w:rPr>
                    <w:szCs w:val="24"/>
                  </w:rPr>
                </w:pPr>
              </w:p>
            </w:tc>
          </w:tr>
          <w:tr>
            <w:tc>
              <w:tcPr>
                <w:tcW w:w="7695" w:type="dxa"/>
              </w:tcPr>
              <w:p>
                <w:pPr>
                  <w:rPr>
                    <w:szCs w:val="24"/>
                  </w:rPr>
                </w:pPr>
                <w:r>
                  <w:rPr>
                    <w:szCs w:val="24"/>
                  </w:rPr>
                  <w:t>ŠLS VARDAS PAVARDĖ:</w:t>
                </w:r>
              </w:p>
            </w:tc>
            <w:tc>
              <w:tcPr>
                <w:tcW w:w="2959" w:type="dxa"/>
                <w:vMerge/>
              </w:tcPr>
              <w:p>
                <w:pPr>
                  <w:rPr>
                    <w:szCs w:val="24"/>
                  </w:rPr>
                </w:pPr>
              </w:p>
            </w:tc>
          </w:tr>
          <w:tr>
            <w:tc>
              <w:tcPr>
                <w:tcW w:w="7695" w:type="dxa"/>
              </w:tcPr>
              <w:p>
                <w:pPr>
                  <w:rPr>
                    <w:szCs w:val="24"/>
                  </w:rPr>
                </w:pPr>
                <w:r>
                  <w:rPr>
                    <w:szCs w:val="24"/>
                  </w:rPr>
                  <w:t>NĖŠČIOSIOS VARDAS PAVARDĖ:</w:t>
                </w:r>
              </w:p>
            </w:tc>
            <w:tc>
              <w:tcPr>
                <w:tcW w:w="2959" w:type="dxa"/>
                <w:vMerge/>
              </w:tcPr>
              <w:p>
                <w:pPr>
                  <w:rPr>
                    <w:szCs w:val="24"/>
                  </w:rPr>
                </w:pPr>
              </w:p>
            </w:tc>
          </w:tr>
          <w:tr>
            <w:tc>
              <w:tcPr>
                <w:tcW w:w="10654" w:type="dxa"/>
                <w:gridSpan w:val="2"/>
              </w:tcPr>
              <w:p>
                <w:pPr>
                  <w:rPr>
                    <w:rFonts w:eastAsia="Calibri"/>
                    <w:szCs w:val="24"/>
                  </w:rPr>
                </w:pPr>
                <w:r>
                  <w:rPr>
                    <w:rFonts w:eastAsia="Calibri"/>
                    <w:szCs w:val="24"/>
                  </w:rPr>
                  <w:t xml:space="preserve">Vertinama, kokia šeimos narių sveikatos būklė, ar šeimos nariai turi negalią, priklausomybių, ar šeimoje nėra smurtaujama, ar šeimos nariai nepriklauso uždaroms ar pavojingos ideologijos bendruomenėms, nusikalstamos veiklos grupuotėms ir kt. Taip pat vertinama, ar šeimoje vyksta dažni konfliktai, ar šeima nestokoja socialinių įgūdžių, dėl ko kyla pavojus gimsiančio vaiko gerovei. Analizuojamas šeimos narių elgesys, tarpusavio ryšio kokybė. Įvertinama, ar šeimos nariai turi darbą ir stabilias pajamas, ar adekvačiai supranta situaciją, ar geba bendrauti ir yra motyvuoti rūpintis gimsiančiu vaiku ir keisti esamą situaciją. </w:t>
                </w:r>
              </w:p>
              <w:p>
                <w:pPr>
                  <w:rPr>
                    <w:rFonts w:eastAsia="Calibri"/>
                    <w:szCs w:val="24"/>
                  </w:rPr>
                </w:pPr>
                <w:r>
                  <w:rPr>
                    <w:rFonts w:eastAsia="Calibri"/>
                    <w:szCs w:val="24"/>
                  </w:rPr>
                  <w:t>Jei nėščioji gyvena su savo tėvais, vertinama jos ir jos tėvų situacija, jei nėščioji gyvena savo šeimoje (kartu su gimsiančio kūdikio tėvu, sugyventiniu), vertinama jos šeimos situacija, arba abi situacijos, jei yra toks poreikis (pvz., net jei nėščioji gyvena jau savo sukurtoje šeimoje, tačiau jos tėvų šeima turi didelę įtaką nėščiosios ir jos partnerio santykiams).</w:t>
                </w:r>
              </w:p>
              <w:p>
                <w:pPr>
                  <w:rPr>
                    <w:rFonts w:eastAsia="CIDFont+F3"/>
                    <w:szCs w:val="24"/>
                  </w:rPr>
                </w:pPr>
                <w:r>
                  <w:rPr>
                    <w:rFonts w:eastAsia="Calibri"/>
                    <w:iCs/>
                    <w:szCs w:val="24"/>
                  </w:rPr>
                  <w:t>Išplėstinė šeima – tai ne tik nėščiosios tėvai, broliai bei seserys, bet ir kiti giminaičiai, kurie turi įtakos jos ir jos šeimos gyvenime. Tai gali būti seneliai, dėdės, tetos, pusbroliai ir pusseserės bei kiti asmenys, ką žmonės supranta, kaip savo šeimos narius. Tam tikrais atvejais tai gali būti asmenys, nesusieti jokiais giminystės ryšiais (pvz., globėjai, artimi draugai, kaimynai).</w:t>
                </w:r>
                <w:r>
                  <w:rPr>
                    <w:rFonts w:eastAsia="Calibri"/>
                    <w:i/>
                    <w:szCs w:val="24"/>
                  </w:rPr>
                  <w:t xml:space="preserve"> </w:t>
                </w:r>
                <w:r>
                  <w:rPr>
                    <w:rFonts w:eastAsia="Calibri"/>
                    <w:szCs w:val="24"/>
                  </w:rPr>
                  <w:t>Išplėstinės šeimos ištekliai gali būti reikšminga parama, bet ne visada tokios šeimos yra paremiančios, net gali būti ir labai trukdančios. Vertinama, ar išplėstinė šeima yra palaikanti.</w:t>
                </w:r>
              </w:p>
            </w:tc>
          </w:tr>
        </w:tbl>
        <w:p>
          <w:pPr>
            <w:spacing w:line="276" w:lineRule="auto"/>
            <w:rPr>
              <w:rFonts w:eastAsia="Calibri"/>
              <w:szCs w:val="24"/>
            </w:rPr>
          </w:pPr>
        </w:p>
        <w:p>
          <w:pPr>
            <w:rPr>
              <w:sz w:val="18"/>
              <w:szCs w:val="18"/>
            </w:rPr>
          </w:pP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43"/>
            <w:gridCol w:w="1082"/>
            <w:gridCol w:w="1133"/>
            <w:gridCol w:w="3996"/>
          </w:tblGrid>
          <w:tr>
            <w:tc>
              <w:tcPr>
                <w:tcW w:w="4678" w:type="dxa"/>
              </w:tcPr>
              <w:p>
                <w:pPr>
                  <w:spacing w:line="276" w:lineRule="auto"/>
                  <w:rPr>
                    <w:rFonts w:eastAsia="CIDFont+F3"/>
                    <w:b/>
                    <w:szCs w:val="24"/>
                  </w:rPr>
                </w:pPr>
                <w:r>
                  <w:rPr>
                    <w:rFonts w:eastAsia="CIDFont+F3"/>
                    <w:b/>
                    <w:szCs w:val="24"/>
                  </w:rPr>
                  <w:t>Rizikos veiksniai</w:t>
                </w:r>
              </w:p>
            </w:tc>
            <w:tc>
              <w:tcPr>
                <w:tcW w:w="1134" w:type="dxa"/>
              </w:tcPr>
              <w:p>
                <w:pPr>
                  <w:spacing w:line="276" w:lineRule="auto"/>
                  <w:jc w:val="center"/>
                  <w:rPr>
                    <w:rFonts w:eastAsia="CIDFont+F3"/>
                    <w:b/>
                    <w:szCs w:val="24"/>
                  </w:rPr>
                </w:pPr>
                <w:r>
                  <w:rPr>
                    <w:rFonts w:eastAsia="CIDFont+F3"/>
                    <w:b/>
                    <w:szCs w:val="24"/>
                  </w:rPr>
                  <w:t>Ne</w:t>
                </w:r>
              </w:p>
            </w:tc>
            <w:tc>
              <w:tcPr>
                <w:tcW w:w="1172" w:type="dxa"/>
              </w:tcPr>
              <w:p>
                <w:pPr>
                  <w:spacing w:line="276" w:lineRule="auto"/>
                  <w:jc w:val="center"/>
                  <w:rPr>
                    <w:rFonts w:eastAsia="CIDFont+F3"/>
                    <w:b/>
                    <w:szCs w:val="24"/>
                  </w:rPr>
                </w:pPr>
                <w:r>
                  <w:rPr>
                    <w:rFonts w:eastAsia="CIDFont+F3"/>
                    <w:b/>
                    <w:szCs w:val="24"/>
                  </w:rPr>
                  <w:t>Taip</w:t>
                </w:r>
              </w:p>
            </w:tc>
            <w:tc>
              <w:tcPr>
                <w:tcW w:w="4215" w:type="dxa"/>
              </w:tcPr>
              <w:p>
                <w:pPr>
                  <w:spacing w:line="276" w:lineRule="auto"/>
                  <w:rPr>
                    <w:rFonts w:eastAsia="CIDFont+F3"/>
                    <w:b/>
                    <w:szCs w:val="24"/>
                  </w:rPr>
                </w:pPr>
                <w:r>
                  <w:rPr>
                    <w:rFonts w:eastAsia="CIDFont+F3"/>
                    <w:b/>
                    <w:szCs w:val="24"/>
                  </w:rPr>
                  <w:t xml:space="preserve">Komentaras, aplinkybės </w:t>
                </w:r>
              </w:p>
              <w:p>
                <w:pPr>
                  <w:spacing w:line="276" w:lineRule="auto"/>
                  <w:rPr>
                    <w:rFonts w:eastAsia="CIDFont+F3"/>
                    <w:b/>
                    <w:szCs w:val="24"/>
                  </w:rPr>
                </w:pPr>
                <w:r>
                  <w:rPr>
                    <w:rFonts w:eastAsia="CIDFont+F3"/>
                    <w:b/>
                    <w:szCs w:val="24"/>
                  </w:rPr>
                  <w:t>(Įrašyti)</w:t>
                </w:r>
              </w:p>
            </w:tc>
          </w:tr>
          <w:tr>
            <w:tc>
              <w:tcPr>
                <w:tcW w:w="4678" w:type="dxa"/>
              </w:tcPr>
              <w:p>
                <w:pPr>
                  <w:spacing w:line="276" w:lineRule="auto"/>
                  <w:rPr>
                    <w:rFonts w:eastAsia="CIDFont+F3"/>
                    <w:b/>
                    <w:szCs w:val="24"/>
                  </w:rPr>
                </w:pPr>
                <w:r>
                  <w:rPr>
                    <w:rFonts w:eastAsia="CIDFont+F3"/>
                    <w:szCs w:val="24"/>
                  </w:rPr>
                  <w:t>Šeimos nario (-ių) sunki sveikatos būklė</w:t>
                </w:r>
              </w:p>
            </w:tc>
            <w:tc>
              <w:tcPr>
                <w:tcW w:w="1134" w:type="dxa"/>
              </w:tcPr>
              <w:p>
                <w:pPr>
                  <w:spacing w:line="276" w:lineRule="auto"/>
                  <w:jc w:val="center"/>
                  <w:rPr>
                    <w:rFonts w:eastAsia="CIDFont+F3"/>
                    <w:b/>
                    <w:szCs w:val="24"/>
                  </w:rPr>
                </w:pPr>
              </w:p>
            </w:tc>
            <w:tc>
              <w:tcPr>
                <w:tcW w:w="1172" w:type="dxa"/>
              </w:tcPr>
              <w:p>
                <w:pPr>
                  <w:spacing w:line="276" w:lineRule="auto"/>
                  <w:jc w:val="center"/>
                  <w:rPr>
                    <w:rFonts w:eastAsia="CIDFont+F3"/>
                    <w:b/>
                    <w:szCs w:val="24"/>
                  </w:rPr>
                </w:pPr>
              </w:p>
            </w:tc>
            <w:tc>
              <w:tcPr>
                <w:tcW w:w="4215" w:type="dxa"/>
              </w:tcPr>
              <w:p>
                <w:pPr>
                  <w:spacing w:line="276" w:lineRule="auto"/>
                  <w:rPr>
                    <w:rFonts w:eastAsia="CIDFont+F3"/>
                    <w:b/>
                    <w:szCs w:val="24"/>
                  </w:rPr>
                </w:pPr>
              </w:p>
            </w:tc>
          </w:tr>
          <w:tr>
            <w:tc>
              <w:tcPr>
                <w:tcW w:w="4678" w:type="dxa"/>
              </w:tcPr>
              <w:p>
                <w:pPr>
                  <w:spacing w:line="276" w:lineRule="auto"/>
                  <w:rPr>
                    <w:rFonts w:eastAsia="CIDFont+F3"/>
                    <w:b/>
                    <w:szCs w:val="24"/>
                  </w:rPr>
                </w:pPr>
                <w:r>
                  <w:rPr>
                    <w:rFonts w:eastAsia="CIDFont+F3"/>
                    <w:szCs w:val="24"/>
                  </w:rPr>
                  <w:t>Šeimos nario (-ių) negalia</w:t>
                </w:r>
              </w:p>
            </w:tc>
            <w:tc>
              <w:tcPr>
                <w:tcW w:w="1134" w:type="dxa"/>
              </w:tcPr>
              <w:p>
                <w:pPr>
                  <w:spacing w:line="276" w:lineRule="auto"/>
                  <w:jc w:val="center"/>
                  <w:rPr>
                    <w:rFonts w:eastAsia="CIDFont+F3"/>
                    <w:b/>
                    <w:szCs w:val="24"/>
                  </w:rPr>
                </w:pPr>
              </w:p>
            </w:tc>
            <w:tc>
              <w:tcPr>
                <w:tcW w:w="1172" w:type="dxa"/>
              </w:tcPr>
              <w:p>
                <w:pPr>
                  <w:spacing w:line="276" w:lineRule="auto"/>
                  <w:jc w:val="center"/>
                  <w:rPr>
                    <w:rFonts w:eastAsia="CIDFont+F3"/>
                    <w:b/>
                    <w:szCs w:val="24"/>
                  </w:rPr>
                </w:pPr>
              </w:p>
            </w:tc>
            <w:tc>
              <w:tcPr>
                <w:tcW w:w="4215" w:type="dxa"/>
              </w:tcPr>
              <w:p>
                <w:pPr>
                  <w:spacing w:line="276" w:lineRule="auto"/>
                  <w:rPr>
                    <w:rFonts w:eastAsia="CIDFont+F3"/>
                    <w:b/>
                    <w:szCs w:val="24"/>
                  </w:rPr>
                </w:pPr>
              </w:p>
            </w:tc>
          </w:tr>
          <w:tr>
            <w:tc>
              <w:tcPr>
                <w:tcW w:w="4678" w:type="dxa"/>
              </w:tcPr>
              <w:p>
                <w:pPr>
                  <w:tabs>
                    <w:tab w:val="left" w:pos="1065"/>
                  </w:tabs>
                  <w:spacing w:line="276" w:lineRule="auto"/>
                  <w:rPr>
                    <w:rFonts w:eastAsia="CIDFont+F3"/>
                    <w:b/>
                    <w:szCs w:val="24"/>
                  </w:rPr>
                </w:pPr>
                <w:r>
                  <w:rPr>
                    <w:rFonts w:eastAsia="CIDFont+F3"/>
                    <w:szCs w:val="24"/>
                  </w:rPr>
                  <w:t>Smurtas, smurtiniai santykiai šeimoje</w:t>
                </w:r>
              </w:p>
            </w:tc>
            <w:tc>
              <w:tcPr>
                <w:tcW w:w="1134" w:type="dxa"/>
              </w:tcPr>
              <w:p>
                <w:pPr>
                  <w:spacing w:line="276" w:lineRule="auto"/>
                  <w:jc w:val="center"/>
                  <w:rPr>
                    <w:rFonts w:eastAsia="CIDFont+F3"/>
                    <w:b/>
                    <w:szCs w:val="24"/>
                  </w:rPr>
                </w:pPr>
              </w:p>
            </w:tc>
            <w:tc>
              <w:tcPr>
                <w:tcW w:w="1172" w:type="dxa"/>
              </w:tcPr>
              <w:p>
                <w:pPr>
                  <w:spacing w:line="276" w:lineRule="auto"/>
                  <w:jc w:val="center"/>
                  <w:rPr>
                    <w:rFonts w:eastAsia="CIDFont+F3"/>
                    <w:b/>
                    <w:szCs w:val="24"/>
                  </w:rPr>
                </w:pPr>
              </w:p>
            </w:tc>
            <w:tc>
              <w:tcPr>
                <w:tcW w:w="4215" w:type="dxa"/>
              </w:tcPr>
              <w:p>
                <w:pPr>
                  <w:spacing w:line="276" w:lineRule="auto"/>
                  <w:rPr>
                    <w:rFonts w:eastAsia="CIDFont+F3"/>
                    <w:b/>
                    <w:szCs w:val="24"/>
                  </w:rPr>
                </w:pPr>
              </w:p>
            </w:tc>
          </w:tr>
          <w:tr>
            <w:tc>
              <w:tcPr>
                <w:tcW w:w="4678" w:type="dxa"/>
              </w:tcPr>
              <w:p>
                <w:pPr>
                  <w:spacing w:line="276" w:lineRule="auto"/>
                  <w:rPr>
                    <w:rFonts w:eastAsia="CIDFont+F3"/>
                    <w:b/>
                    <w:szCs w:val="24"/>
                  </w:rPr>
                </w:pPr>
                <w:r>
                  <w:rPr>
                    <w:rFonts w:eastAsia="CIDFont+F3"/>
                    <w:szCs w:val="24"/>
                  </w:rPr>
                  <w:t>Šeimos nario (-ių) priklausomybė nuo alkoholio</w:t>
                </w:r>
              </w:p>
            </w:tc>
            <w:tc>
              <w:tcPr>
                <w:tcW w:w="1134" w:type="dxa"/>
              </w:tcPr>
              <w:p>
                <w:pPr>
                  <w:spacing w:line="276" w:lineRule="auto"/>
                  <w:jc w:val="center"/>
                  <w:rPr>
                    <w:rFonts w:eastAsia="CIDFont+F3"/>
                    <w:b/>
                    <w:szCs w:val="24"/>
                  </w:rPr>
                </w:pPr>
              </w:p>
            </w:tc>
            <w:tc>
              <w:tcPr>
                <w:tcW w:w="1172" w:type="dxa"/>
              </w:tcPr>
              <w:p>
                <w:pPr>
                  <w:spacing w:line="276" w:lineRule="auto"/>
                  <w:jc w:val="center"/>
                  <w:rPr>
                    <w:rFonts w:eastAsia="CIDFont+F3"/>
                    <w:b/>
                    <w:szCs w:val="24"/>
                  </w:rPr>
                </w:pPr>
              </w:p>
            </w:tc>
            <w:tc>
              <w:tcPr>
                <w:tcW w:w="4215" w:type="dxa"/>
              </w:tcPr>
              <w:p>
                <w:pPr>
                  <w:spacing w:line="276" w:lineRule="auto"/>
                  <w:rPr>
                    <w:rFonts w:eastAsia="CIDFont+F3"/>
                    <w:b/>
                    <w:szCs w:val="24"/>
                  </w:rPr>
                </w:pPr>
              </w:p>
            </w:tc>
          </w:tr>
          <w:tr>
            <w:tc>
              <w:tcPr>
                <w:tcW w:w="4678" w:type="dxa"/>
              </w:tcPr>
              <w:p>
                <w:pPr>
                  <w:spacing w:line="276" w:lineRule="auto"/>
                  <w:rPr>
                    <w:rFonts w:eastAsia="CIDFont+F3"/>
                    <w:szCs w:val="24"/>
                  </w:rPr>
                </w:pPr>
                <w:r>
                  <w:rPr>
                    <w:rFonts w:eastAsia="CIDFont+F3"/>
                    <w:szCs w:val="24"/>
                  </w:rPr>
                  <w:t>Šeimos nario (-ių) priklausomybė nuo narkotikų</w:t>
                </w:r>
              </w:p>
            </w:tc>
            <w:tc>
              <w:tcPr>
                <w:tcW w:w="1134" w:type="dxa"/>
              </w:tcPr>
              <w:p>
                <w:pPr>
                  <w:spacing w:line="276" w:lineRule="auto"/>
                  <w:jc w:val="center"/>
                  <w:rPr>
                    <w:rFonts w:eastAsia="CIDFont+F3"/>
                    <w:b/>
                    <w:szCs w:val="24"/>
                  </w:rPr>
                </w:pPr>
              </w:p>
            </w:tc>
            <w:tc>
              <w:tcPr>
                <w:tcW w:w="1172" w:type="dxa"/>
              </w:tcPr>
              <w:p>
                <w:pPr>
                  <w:spacing w:line="276" w:lineRule="auto"/>
                  <w:jc w:val="center"/>
                  <w:rPr>
                    <w:rFonts w:eastAsia="CIDFont+F3"/>
                    <w:b/>
                    <w:szCs w:val="24"/>
                  </w:rPr>
                </w:pPr>
              </w:p>
            </w:tc>
            <w:tc>
              <w:tcPr>
                <w:tcW w:w="4215" w:type="dxa"/>
              </w:tcPr>
              <w:p>
                <w:pPr>
                  <w:spacing w:line="276" w:lineRule="auto"/>
                  <w:rPr>
                    <w:rFonts w:eastAsia="CIDFont+F3"/>
                    <w:b/>
                    <w:szCs w:val="24"/>
                  </w:rPr>
                </w:pPr>
              </w:p>
            </w:tc>
          </w:tr>
          <w:tr>
            <w:tc>
              <w:tcPr>
                <w:tcW w:w="4678" w:type="dxa"/>
              </w:tcPr>
              <w:p>
                <w:pPr>
                  <w:spacing w:line="276" w:lineRule="auto"/>
                  <w:rPr>
                    <w:rFonts w:eastAsia="CIDFont+F3"/>
                    <w:b/>
                    <w:szCs w:val="24"/>
                  </w:rPr>
                </w:pPr>
                <w:r>
                  <w:rPr>
                    <w:rFonts w:eastAsia="CIDFont+F3"/>
                    <w:szCs w:val="24"/>
                  </w:rPr>
                  <w:t>Šeimos nario (-ių) priklausymas uždaroms ar pavojingos ideologijos bendruomenėms</w:t>
                </w:r>
              </w:p>
            </w:tc>
            <w:tc>
              <w:tcPr>
                <w:tcW w:w="1134" w:type="dxa"/>
              </w:tcPr>
              <w:p>
                <w:pPr>
                  <w:spacing w:line="276" w:lineRule="auto"/>
                  <w:jc w:val="center"/>
                  <w:rPr>
                    <w:rFonts w:eastAsia="CIDFont+F3"/>
                    <w:b/>
                    <w:szCs w:val="24"/>
                  </w:rPr>
                </w:pPr>
              </w:p>
            </w:tc>
            <w:tc>
              <w:tcPr>
                <w:tcW w:w="1172" w:type="dxa"/>
              </w:tcPr>
              <w:p>
                <w:pPr>
                  <w:spacing w:line="276" w:lineRule="auto"/>
                  <w:jc w:val="center"/>
                  <w:rPr>
                    <w:rFonts w:eastAsia="CIDFont+F3"/>
                    <w:b/>
                    <w:szCs w:val="24"/>
                  </w:rPr>
                </w:pPr>
              </w:p>
            </w:tc>
            <w:tc>
              <w:tcPr>
                <w:tcW w:w="4215" w:type="dxa"/>
              </w:tcPr>
              <w:p>
                <w:pPr>
                  <w:spacing w:line="276" w:lineRule="auto"/>
                  <w:rPr>
                    <w:rFonts w:eastAsia="CIDFont+F3"/>
                    <w:b/>
                    <w:szCs w:val="24"/>
                  </w:rPr>
                </w:pPr>
              </w:p>
            </w:tc>
          </w:tr>
          <w:tr>
            <w:tc>
              <w:tcPr>
                <w:tcW w:w="4678" w:type="dxa"/>
              </w:tcPr>
              <w:p>
                <w:pPr>
                  <w:spacing w:line="276" w:lineRule="auto"/>
                  <w:rPr>
                    <w:rFonts w:eastAsia="CIDFont+F3"/>
                    <w:b/>
                    <w:szCs w:val="24"/>
                  </w:rPr>
                </w:pPr>
                <w:r>
                  <w:rPr>
                    <w:rFonts w:eastAsia="CIDFont+F3"/>
                    <w:szCs w:val="24"/>
                  </w:rPr>
                  <w:t>Šeimos nario (-ių) užsiėmimas nusikalstama veikla</w:t>
                </w:r>
              </w:p>
            </w:tc>
            <w:tc>
              <w:tcPr>
                <w:tcW w:w="1134" w:type="dxa"/>
              </w:tcPr>
              <w:p>
                <w:pPr>
                  <w:spacing w:line="276" w:lineRule="auto"/>
                  <w:jc w:val="center"/>
                  <w:rPr>
                    <w:rFonts w:eastAsia="CIDFont+F3"/>
                    <w:b/>
                    <w:szCs w:val="24"/>
                  </w:rPr>
                </w:pPr>
              </w:p>
            </w:tc>
            <w:tc>
              <w:tcPr>
                <w:tcW w:w="1172" w:type="dxa"/>
              </w:tcPr>
              <w:p>
                <w:pPr>
                  <w:spacing w:line="276" w:lineRule="auto"/>
                  <w:jc w:val="center"/>
                  <w:rPr>
                    <w:rFonts w:eastAsia="CIDFont+F3"/>
                    <w:b/>
                    <w:szCs w:val="24"/>
                  </w:rPr>
                </w:pPr>
              </w:p>
            </w:tc>
            <w:tc>
              <w:tcPr>
                <w:tcW w:w="4215" w:type="dxa"/>
              </w:tcPr>
              <w:p>
                <w:pPr>
                  <w:spacing w:line="276" w:lineRule="auto"/>
                  <w:rPr>
                    <w:rFonts w:eastAsia="CIDFont+F3"/>
                    <w:b/>
                    <w:szCs w:val="24"/>
                  </w:rPr>
                </w:pPr>
              </w:p>
            </w:tc>
          </w:tr>
          <w:tr>
            <w:tc>
              <w:tcPr>
                <w:tcW w:w="4678" w:type="dxa"/>
              </w:tcPr>
              <w:p>
                <w:pPr>
                  <w:spacing w:line="276" w:lineRule="auto"/>
                  <w:rPr>
                    <w:rFonts w:eastAsia="CIDFont+F3"/>
                    <w:szCs w:val="24"/>
                  </w:rPr>
                </w:pPr>
                <w:r>
                  <w:rPr>
                    <w:rFonts w:eastAsia="CIDFont+F3"/>
                    <w:szCs w:val="24"/>
                  </w:rPr>
                  <w:t>Nėščioji nedalyvauja darbo rinkoje (</w:t>
                </w:r>
                <w:r>
                  <w:rPr>
                    <w:rFonts w:eastAsia="CIDFont+F3"/>
                    <w:i/>
                    <w:szCs w:val="24"/>
                  </w:rPr>
                  <w:t>vertinama iki motinystės atostogų</w:t>
                </w:r>
                <w:r>
                  <w:rPr>
                    <w:rFonts w:eastAsia="CIDFont+F3"/>
                    <w:szCs w:val="24"/>
                  </w:rPr>
                  <w:t>)</w:t>
                </w:r>
              </w:p>
            </w:tc>
            <w:tc>
              <w:tcPr>
                <w:tcW w:w="1134" w:type="dxa"/>
              </w:tcPr>
              <w:p>
                <w:pPr>
                  <w:spacing w:line="276" w:lineRule="auto"/>
                  <w:jc w:val="center"/>
                  <w:rPr>
                    <w:rFonts w:eastAsia="CIDFont+F3"/>
                    <w:b/>
                    <w:szCs w:val="24"/>
                  </w:rPr>
                </w:pPr>
              </w:p>
            </w:tc>
            <w:tc>
              <w:tcPr>
                <w:tcW w:w="1172" w:type="dxa"/>
              </w:tcPr>
              <w:p>
                <w:pPr>
                  <w:spacing w:line="276" w:lineRule="auto"/>
                  <w:jc w:val="center"/>
                  <w:rPr>
                    <w:rFonts w:eastAsia="CIDFont+F3"/>
                    <w:b/>
                    <w:szCs w:val="24"/>
                  </w:rPr>
                </w:pPr>
              </w:p>
            </w:tc>
            <w:tc>
              <w:tcPr>
                <w:tcW w:w="4215" w:type="dxa"/>
              </w:tcPr>
              <w:p>
                <w:pPr>
                  <w:spacing w:line="276" w:lineRule="auto"/>
                  <w:rPr>
                    <w:rFonts w:eastAsia="CIDFont+F3"/>
                    <w:b/>
                    <w:szCs w:val="24"/>
                  </w:rPr>
                </w:pPr>
              </w:p>
            </w:tc>
          </w:tr>
          <w:tr>
            <w:tc>
              <w:tcPr>
                <w:tcW w:w="4678" w:type="dxa"/>
              </w:tcPr>
              <w:p>
                <w:pPr>
                  <w:spacing w:line="276" w:lineRule="auto"/>
                  <w:rPr>
                    <w:rFonts w:eastAsia="CIDFont+F3"/>
                    <w:szCs w:val="24"/>
                  </w:rPr>
                </w:pPr>
                <w:r>
                  <w:rPr>
                    <w:rFonts w:eastAsia="CIDFont+F3"/>
                    <w:szCs w:val="24"/>
                  </w:rPr>
                  <w:t>Šeimos nariai nedalyvauja darbo rinkoje</w:t>
                </w:r>
              </w:p>
            </w:tc>
            <w:tc>
              <w:tcPr>
                <w:tcW w:w="1134" w:type="dxa"/>
              </w:tcPr>
              <w:p>
                <w:pPr>
                  <w:spacing w:line="276" w:lineRule="auto"/>
                  <w:jc w:val="center"/>
                  <w:rPr>
                    <w:rFonts w:eastAsia="CIDFont+F3"/>
                    <w:b/>
                    <w:szCs w:val="24"/>
                  </w:rPr>
                </w:pPr>
              </w:p>
            </w:tc>
            <w:tc>
              <w:tcPr>
                <w:tcW w:w="1172" w:type="dxa"/>
              </w:tcPr>
              <w:p>
                <w:pPr>
                  <w:spacing w:line="276" w:lineRule="auto"/>
                  <w:jc w:val="center"/>
                  <w:rPr>
                    <w:rFonts w:eastAsia="CIDFont+F3"/>
                    <w:b/>
                    <w:szCs w:val="24"/>
                  </w:rPr>
                </w:pPr>
              </w:p>
            </w:tc>
            <w:tc>
              <w:tcPr>
                <w:tcW w:w="4215" w:type="dxa"/>
              </w:tcPr>
              <w:p>
                <w:pPr>
                  <w:spacing w:line="276" w:lineRule="auto"/>
                  <w:rPr>
                    <w:rFonts w:eastAsia="CIDFont+F3"/>
                    <w:b/>
                    <w:szCs w:val="24"/>
                  </w:rPr>
                </w:pPr>
              </w:p>
            </w:tc>
          </w:tr>
          <w:tr>
            <w:tc>
              <w:tcPr>
                <w:tcW w:w="4678" w:type="dxa"/>
              </w:tcPr>
              <w:p>
                <w:pPr>
                  <w:spacing w:line="276" w:lineRule="auto"/>
                  <w:rPr>
                    <w:rFonts w:eastAsia="CIDFont+F3"/>
                    <w:szCs w:val="24"/>
                  </w:rPr>
                </w:pPr>
                <w:r>
                  <w:rPr>
                    <w:rFonts w:eastAsia="CIDFont+F3"/>
                    <w:szCs w:val="24"/>
                  </w:rPr>
                  <w:t>Dažni konfliktai</w:t>
                </w:r>
              </w:p>
            </w:tc>
            <w:tc>
              <w:tcPr>
                <w:tcW w:w="1134" w:type="dxa"/>
              </w:tcPr>
              <w:p>
                <w:pPr>
                  <w:spacing w:line="276" w:lineRule="auto"/>
                  <w:jc w:val="center"/>
                  <w:rPr>
                    <w:rFonts w:eastAsia="CIDFont+F3"/>
                    <w:b/>
                    <w:szCs w:val="24"/>
                  </w:rPr>
                </w:pPr>
              </w:p>
            </w:tc>
            <w:tc>
              <w:tcPr>
                <w:tcW w:w="1172" w:type="dxa"/>
              </w:tcPr>
              <w:p>
                <w:pPr>
                  <w:spacing w:line="276" w:lineRule="auto"/>
                  <w:jc w:val="center"/>
                  <w:rPr>
                    <w:rFonts w:eastAsia="CIDFont+F3"/>
                    <w:b/>
                    <w:szCs w:val="24"/>
                  </w:rPr>
                </w:pPr>
              </w:p>
            </w:tc>
            <w:tc>
              <w:tcPr>
                <w:tcW w:w="4215" w:type="dxa"/>
              </w:tcPr>
              <w:p>
                <w:pPr>
                  <w:spacing w:line="276" w:lineRule="auto"/>
                  <w:rPr>
                    <w:rFonts w:eastAsia="CIDFont+F3"/>
                    <w:b/>
                    <w:szCs w:val="24"/>
                  </w:rPr>
                </w:pPr>
              </w:p>
            </w:tc>
          </w:tr>
          <w:tr>
            <w:tc>
              <w:tcPr>
                <w:tcW w:w="4678" w:type="dxa"/>
              </w:tcPr>
              <w:p>
                <w:pPr>
                  <w:spacing w:line="276" w:lineRule="auto"/>
                  <w:rPr>
                    <w:rFonts w:eastAsia="CIDFont+F3"/>
                    <w:szCs w:val="24"/>
                  </w:rPr>
                </w:pPr>
                <w:r>
                  <w:rPr>
                    <w:rFonts w:eastAsia="CIDFont+F3"/>
                    <w:szCs w:val="24"/>
                  </w:rPr>
                  <w:t>Riboti bendravimo įgūdžiai</w:t>
                </w:r>
              </w:p>
            </w:tc>
            <w:tc>
              <w:tcPr>
                <w:tcW w:w="1134" w:type="dxa"/>
              </w:tcPr>
              <w:p>
                <w:pPr>
                  <w:spacing w:line="276" w:lineRule="auto"/>
                  <w:jc w:val="center"/>
                  <w:rPr>
                    <w:rFonts w:eastAsia="CIDFont+F3"/>
                    <w:b/>
                    <w:szCs w:val="24"/>
                  </w:rPr>
                </w:pPr>
              </w:p>
            </w:tc>
            <w:tc>
              <w:tcPr>
                <w:tcW w:w="1172" w:type="dxa"/>
              </w:tcPr>
              <w:p>
                <w:pPr>
                  <w:spacing w:line="276" w:lineRule="auto"/>
                  <w:jc w:val="center"/>
                  <w:rPr>
                    <w:rFonts w:eastAsia="CIDFont+F3"/>
                    <w:b/>
                    <w:szCs w:val="24"/>
                  </w:rPr>
                </w:pPr>
              </w:p>
            </w:tc>
            <w:tc>
              <w:tcPr>
                <w:tcW w:w="4215" w:type="dxa"/>
              </w:tcPr>
              <w:p>
                <w:pPr>
                  <w:spacing w:line="276" w:lineRule="auto"/>
                  <w:rPr>
                    <w:rFonts w:eastAsia="CIDFont+F3"/>
                    <w:b/>
                    <w:szCs w:val="24"/>
                  </w:rPr>
                </w:pPr>
              </w:p>
            </w:tc>
          </w:tr>
          <w:tr>
            <w:tc>
              <w:tcPr>
                <w:tcW w:w="4678" w:type="dxa"/>
              </w:tcPr>
              <w:p>
                <w:pPr>
                  <w:spacing w:line="276" w:lineRule="auto"/>
                  <w:rPr>
                    <w:rFonts w:eastAsia="Calibri"/>
                    <w:szCs w:val="24"/>
                  </w:rPr>
                </w:pPr>
                <w:r>
                  <w:rPr>
                    <w:rFonts w:eastAsia="CIDFont+F3"/>
                    <w:szCs w:val="24"/>
                  </w:rPr>
                  <w:t>Socialinių įgūdžių stoka</w:t>
                </w:r>
              </w:p>
            </w:tc>
            <w:tc>
              <w:tcPr>
                <w:tcW w:w="1134" w:type="dxa"/>
              </w:tcPr>
              <w:p>
                <w:pPr>
                  <w:spacing w:line="276" w:lineRule="auto"/>
                  <w:jc w:val="center"/>
                  <w:rPr>
                    <w:rFonts w:eastAsia="CIDFont+F3"/>
                    <w:b/>
                    <w:szCs w:val="24"/>
                  </w:rPr>
                </w:pPr>
              </w:p>
            </w:tc>
            <w:tc>
              <w:tcPr>
                <w:tcW w:w="1172" w:type="dxa"/>
              </w:tcPr>
              <w:p>
                <w:pPr>
                  <w:spacing w:line="276" w:lineRule="auto"/>
                  <w:jc w:val="center"/>
                  <w:rPr>
                    <w:rFonts w:eastAsia="CIDFont+F3"/>
                    <w:b/>
                    <w:szCs w:val="24"/>
                  </w:rPr>
                </w:pPr>
              </w:p>
            </w:tc>
            <w:tc>
              <w:tcPr>
                <w:tcW w:w="4215" w:type="dxa"/>
              </w:tcPr>
              <w:p>
                <w:pPr>
                  <w:spacing w:line="276" w:lineRule="auto"/>
                  <w:rPr>
                    <w:rFonts w:eastAsia="CIDFont+F3"/>
                    <w:b/>
                    <w:szCs w:val="24"/>
                  </w:rPr>
                </w:pPr>
              </w:p>
            </w:tc>
          </w:tr>
          <w:tr>
            <w:tc>
              <w:tcPr>
                <w:tcW w:w="11199" w:type="dxa"/>
                <w:gridSpan w:val="4"/>
              </w:tcPr>
              <w:p>
                <w:pPr>
                  <w:spacing w:line="276" w:lineRule="auto"/>
                  <w:rPr>
                    <w:rFonts w:eastAsia="CIDFont+F3"/>
                    <w:b/>
                    <w:szCs w:val="24"/>
                  </w:rPr>
                </w:pPr>
                <w:r>
                  <w:rPr>
                    <w:rFonts w:eastAsia="Calibri"/>
                    <w:b/>
                    <w:szCs w:val="24"/>
                  </w:rPr>
                  <w:t>Šeimos pajamų pobūdis ir gavimo pastovumas</w:t>
                </w:r>
              </w:p>
            </w:tc>
          </w:tr>
          <w:tr>
            <w:tc>
              <w:tcPr>
                <w:tcW w:w="4678" w:type="dxa"/>
              </w:tcPr>
              <w:p>
                <w:pPr>
                  <w:spacing w:line="276" w:lineRule="auto"/>
                  <w:rPr>
                    <w:rFonts w:eastAsia="Calibri"/>
                    <w:szCs w:val="24"/>
                  </w:rPr>
                </w:pPr>
                <w:r>
                  <w:rPr>
                    <w:rFonts w:eastAsia="Calibri"/>
                    <w:szCs w:val="24"/>
                  </w:rPr>
                  <w:t>Atsitiktinis darbas bei atsitiktinės pajamos</w:t>
                </w:r>
              </w:p>
            </w:tc>
            <w:tc>
              <w:tcPr>
                <w:tcW w:w="1134" w:type="dxa"/>
              </w:tcPr>
              <w:p>
                <w:pPr>
                  <w:spacing w:line="276" w:lineRule="auto"/>
                  <w:jc w:val="center"/>
                  <w:rPr>
                    <w:rFonts w:eastAsia="CIDFont+F3"/>
                    <w:b/>
                    <w:szCs w:val="24"/>
                  </w:rPr>
                </w:pPr>
              </w:p>
            </w:tc>
            <w:tc>
              <w:tcPr>
                <w:tcW w:w="1172" w:type="dxa"/>
              </w:tcPr>
              <w:p>
                <w:pPr>
                  <w:spacing w:line="276" w:lineRule="auto"/>
                  <w:jc w:val="center"/>
                  <w:rPr>
                    <w:rFonts w:eastAsia="CIDFont+F3"/>
                    <w:b/>
                    <w:szCs w:val="24"/>
                  </w:rPr>
                </w:pPr>
              </w:p>
            </w:tc>
            <w:tc>
              <w:tcPr>
                <w:tcW w:w="4215" w:type="dxa"/>
              </w:tcPr>
              <w:p>
                <w:pPr>
                  <w:spacing w:line="276" w:lineRule="auto"/>
                  <w:rPr>
                    <w:rFonts w:eastAsia="CIDFont+F3"/>
                    <w:b/>
                    <w:szCs w:val="24"/>
                  </w:rPr>
                </w:pPr>
              </w:p>
            </w:tc>
          </w:tr>
          <w:tr>
            <w:tc>
              <w:tcPr>
                <w:tcW w:w="4678" w:type="dxa"/>
              </w:tcPr>
              <w:p>
                <w:pPr>
                  <w:spacing w:line="276" w:lineRule="auto"/>
                  <w:rPr>
                    <w:rFonts w:eastAsia="Calibri"/>
                    <w:szCs w:val="24"/>
                  </w:rPr>
                </w:pPr>
                <w:r>
                  <w:rPr>
                    <w:rFonts w:eastAsia="Calibri"/>
                    <w:szCs w:val="24"/>
                  </w:rPr>
                  <w:t>Trumpalaikės socialinės išmokos</w:t>
                </w:r>
              </w:p>
            </w:tc>
            <w:tc>
              <w:tcPr>
                <w:tcW w:w="1134" w:type="dxa"/>
              </w:tcPr>
              <w:p>
                <w:pPr>
                  <w:spacing w:line="276" w:lineRule="auto"/>
                  <w:jc w:val="center"/>
                  <w:rPr>
                    <w:rFonts w:eastAsia="CIDFont+F3"/>
                    <w:b/>
                    <w:szCs w:val="24"/>
                  </w:rPr>
                </w:pPr>
              </w:p>
            </w:tc>
            <w:tc>
              <w:tcPr>
                <w:tcW w:w="1172" w:type="dxa"/>
              </w:tcPr>
              <w:p>
                <w:pPr>
                  <w:spacing w:line="276" w:lineRule="auto"/>
                  <w:jc w:val="center"/>
                  <w:rPr>
                    <w:rFonts w:eastAsia="CIDFont+F3"/>
                    <w:b/>
                    <w:szCs w:val="24"/>
                  </w:rPr>
                </w:pPr>
              </w:p>
            </w:tc>
            <w:tc>
              <w:tcPr>
                <w:tcW w:w="4215" w:type="dxa"/>
              </w:tcPr>
              <w:p>
                <w:pPr>
                  <w:spacing w:line="276" w:lineRule="auto"/>
                  <w:rPr>
                    <w:rFonts w:eastAsia="CIDFont+F3"/>
                    <w:b/>
                    <w:szCs w:val="24"/>
                  </w:rPr>
                </w:pPr>
              </w:p>
            </w:tc>
          </w:tr>
          <w:tr>
            <w:tc>
              <w:tcPr>
                <w:tcW w:w="4678" w:type="dxa"/>
              </w:tcPr>
              <w:p>
                <w:pPr>
                  <w:spacing w:line="276" w:lineRule="auto"/>
                  <w:rPr>
                    <w:rFonts w:eastAsia="Calibri"/>
                    <w:szCs w:val="24"/>
                  </w:rPr>
                </w:pPr>
                <w:r>
                  <w:rPr>
                    <w:rFonts w:eastAsia="Calibri"/>
                    <w:szCs w:val="24"/>
                  </w:rPr>
                  <w:t>Ilgalaikės socialinės išmokos (prarandami ar neįgyjami darbo įgūdžiai)</w:t>
                </w:r>
              </w:p>
            </w:tc>
            <w:tc>
              <w:tcPr>
                <w:tcW w:w="1134" w:type="dxa"/>
              </w:tcPr>
              <w:p>
                <w:pPr>
                  <w:spacing w:line="276" w:lineRule="auto"/>
                  <w:jc w:val="center"/>
                  <w:rPr>
                    <w:rFonts w:eastAsia="CIDFont+F3"/>
                    <w:b/>
                    <w:szCs w:val="24"/>
                  </w:rPr>
                </w:pPr>
              </w:p>
            </w:tc>
            <w:tc>
              <w:tcPr>
                <w:tcW w:w="1172" w:type="dxa"/>
              </w:tcPr>
              <w:p>
                <w:pPr>
                  <w:spacing w:line="276" w:lineRule="auto"/>
                  <w:jc w:val="center"/>
                  <w:rPr>
                    <w:rFonts w:eastAsia="CIDFont+F3"/>
                    <w:b/>
                    <w:szCs w:val="24"/>
                  </w:rPr>
                </w:pPr>
              </w:p>
            </w:tc>
            <w:tc>
              <w:tcPr>
                <w:tcW w:w="4215" w:type="dxa"/>
              </w:tcPr>
              <w:p>
                <w:pPr>
                  <w:spacing w:line="276" w:lineRule="auto"/>
                  <w:rPr>
                    <w:rFonts w:eastAsia="CIDFont+F3"/>
                    <w:b/>
                    <w:szCs w:val="24"/>
                  </w:rPr>
                </w:pPr>
              </w:p>
            </w:tc>
          </w:tr>
          <w:tr>
            <w:tc>
              <w:tcPr>
                <w:tcW w:w="4678" w:type="dxa"/>
              </w:tcPr>
              <w:p>
                <w:pPr>
                  <w:spacing w:line="276" w:lineRule="auto"/>
                  <w:rPr>
                    <w:rFonts w:eastAsia="Calibri"/>
                    <w:szCs w:val="24"/>
                  </w:rPr>
                </w:pPr>
                <w:r>
                  <w:rPr>
                    <w:rFonts w:eastAsia="Calibri"/>
                    <w:szCs w:val="24"/>
                  </w:rPr>
                  <w:t>Neatsakingas skolinimasis (pvz. greitieji kreditai)</w:t>
                </w:r>
              </w:p>
            </w:tc>
            <w:tc>
              <w:tcPr>
                <w:tcW w:w="1134" w:type="dxa"/>
              </w:tcPr>
              <w:p>
                <w:pPr>
                  <w:spacing w:line="276" w:lineRule="auto"/>
                  <w:jc w:val="center"/>
                  <w:rPr>
                    <w:rFonts w:eastAsia="CIDFont+F3"/>
                    <w:b/>
                    <w:szCs w:val="24"/>
                  </w:rPr>
                </w:pPr>
              </w:p>
            </w:tc>
            <w:tc>
              <w:tcPr>
                <w:tcW w:w="1172" w:type="dxa"/>
              </w:tcPr>
              <w:p>
                <w:pPr>
                  <w:spacing w:line="276" w:lineRule="auto"/>
                  <w:jc w:val="center"/>
                  <w:rPr>
                    <w:rFonts w:eastAsia="CIDFont+F3"/>
                    <w:b/>
                    <w:szCs w:val="24"/>
                  </w:rPr>
                </w:pPr>
              </w:p>
            </w:tc>
            <w:tc>
              <w:tcPr>
                <w:tcW w:w="4215" w:type="dxa"/>
              </w:tcPr>
              <w:p>
                <w:pPr>
                  <w:spacing w:line="276" w:lineRule="auto"/>
                  <w:rPr>
                    <w:rFonts w:eastAsia="CIDFont+F3"/>
                    <w:b/>
                    <w:szCs w:val="24"/>
                  </w:rPr>
                </w:pPr>
              </w:p>
            </w:tc>
          </w:tr>
          <w:tr>
            <w:tc>
              <w:tcPr>
                <w:tcW w:w="4678" w:type="dxa"/>
              </w:tcPr>
              <w:p>
                <w:pPr>
                  <w:spacing w:line="276" w:lineRule="auto"/>
                  <w:rPr>
                    <w:rFonts w:eastAsia="Calibri"/>
                    <w:szCs w:val="24"/>
                  </w:rPr>
                </w:pPr>
                <w:r>
                  <w:rPr>
                    <w:rFonts w:eastAsia="CIDFont+F3"/>
                    <w:szCs w:val="24"/>
                  </w:rPr>
                  <w:t>Pajamos iš nelegalios veiklos</w:t>
                </w:r>
              </w:p>
            </w:tc>
            <w:tc>
              <w:tcPr>
                <w:tcW w:w="1134" w:type="dxa"/>
              </w:tcPr>
              <w:p>
                <w:pPr>
                  <w:spacing w:line="276" w:lineRule="auto"/>
                  <w:jc w:val="center"/>
                  <w:rPr>
                    <w:rFonts w:eastAsia="CIDFont+F3"/>
                    <w:b/>
                    <w:szCs w:val="24"/>
                  </w:rPr>
                </w:pPr>
              </w:p>
            </w:tc>
            <w:tc>
              <w:tcPr>
                <w:tcW w:w="1172" w:type="dxa"/>
              </w:tcPr>
              <w:p>
                <w:pPr>
                  <w:spacing w:line="276" w:lineRule="auto"/>
                  <w:jc w:val="center"/>
                  <w:rPr>
                    <w:rFonts w:eastAsia="CIDFont+F3"/>
                    <w:b/>
                    <w:szCs w:val="24"/>
                  </w:rPr>
                </w:pPr>
              </w:p>
            </w:tc>
            <w:tc>
              <w:tcPr>
                <w:tcW w:w="4215" w:type="dxa"/>
              </w:tcPr>
              <w:p>
                <w:pPr>
                  <w:spacing w:line="276" w:lineRule="auto"/>
                  <w:rPr>
                    <w:rFonts w:eastAsia="CIDFont+F3"/>
                    <w:b/>
                    <w:szCs w:val="24"/>
                  </w:rPr>
                </w:pPr>
              </w:p>
            </w:tc>
          </w:tr>
        </w:tbl>
        <w:p>
          <w:pPr>
            <w:rPr>
              <w:rFonts w:eastAsia="Calibri"/>
              <w:szCs w:val="24"/>
            </w:rPr>
          </w:pPr>
        </w:p>
        <w:tbl>
          <w:tblPr>
            <w:tblW w:w="10689"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59"/>
            <w:gridCol w:w="6230"/>
          </w:tblGrid>
          <w:tr>
            <w:trPr>
              <w:trHeight w:val="2099"/>
            </w:trPr>
            <w:tc>
              <w:tcPr>
                <w:tcW w:w="4459" w:type="dxa"/>
              </w:tcPr>
              <w:p>
                <w:pPr>
                  <w:rPr>
                    <w:rFonts w:eastAsia="CIDFont+F3"/>
                    <w:b/>
                    <w:szCs w:val="24"/>
                  </w:rPr>
                </w:pPr>
                <w:r>
                  <w:rPr>
                    <w:rFonts w:eastAsia="CIDFont+F3"/>
                    <w:b/>
                    <w:szCs w:val="24"/>
                  </w:rPr>
                  <w:t>Nėščioji gauna pagalbą (emocinę, praktinę, finansinę, kt.) iš išplėstinės šeimos ir turi paramos tinklą:</w:t>
                </w:r>
              </w:p>
              <w:p>
                <w:pPr>
                  <w:ind w:left="720" w:hanging="360"/>
                  <w:rPr>
                    <w:rFonts w:eastAsia="CIDFont+F3"/>
                    <w:szCs w:val="24"/>
                  </w:rPr>
                </w:pPr>
                <w:r>
                  <w:rPr>
                    <w:rFonts w:ascii="Symbol" w:eastAsia="CIDFont+F3" w:hAnsi="Symbol"/>
                    <w:szCs w:val="24"/>
                  </w:rPr>
                  <w:t></w:t>
                  <w:tab/>
                </w:r>
                <w:r>
                  <w:rPr>
                    <w:rFonts w:eastAsia="CIDFont+F3"/>
                    <w:szCs w:val="24"/>
                  </w:rPr>
                  <w:t xml:space="preserve">Taip </w:t>
                </w:r>
              </w:p>
              <w:p>
                <w:pPr>
                  <w:ind w:left="720" w:hanging="360"/>
                  <w:rPr>
                    <w:rFonts w:eastAsia="CIDFont+F3"/>
                    <w:szCs w:val="24"/>
                  </w:rPr>
                </w:pPr>
                <w:r>
                  <w:rPr>
                    <w:rFonts w:ascii="Symbol" w:eastAsia="CIDFont+F3" w:hAnsi="Symbol"/>
                    <w:szCs w:val="24"/>
                  </w:rPr>
                  <w:t></w:t>
                  <w:tab/>
                </w:r>
                <w:r>
                  <w:rPr>
                    <w:rFonts w:eastAsia="CIDFont+F3"/>
                    <w:szCs w:val="24"/>
                  </w:rPr>
                  <w:t>Ne</w:t>
                </w:r>
              </w:p>
              <w:p>
                <w:pPr>
                  <w:ind w:left="720" w:hanging="360"/>
                  <w:rPr>
                    <w:rFonts w:eastAsia="Calibri"/>
                    <w:b/>
                    <w:szCs w:val="24"/>
                  </w:rPr>
                </w:pPr>
                <w:r>
                  <w:rPr>
                    <w:rFonts w:ascii="Symbol" w:eastAsia="Calibri" w:hAnsi="Symbol"/>
                    <w:szCs w:val="24"/>
                  </w:rPr>
                  <w:t></w:t>
                  <w:tab/>
                </w:r>
                <w:r>
                  <w:rPr>
                    <w:rFonts w:eastAsia="CIDFont+F3"/>
                    <w:szCs w:val="24"/>
                  </w:rPr>
                  <w:t>Kita (įrašyti)...........................</w:t>
                </w:r>
              </w:p>
              <w:p>
                <w:pPr>
                  <w:rPr>
                    <w:rFonts w:eastAsia="Calibri"/>
                    <w:szCs w:val="24"/>
                  </w:rPr>
                </w:pPr>
              </w:p>
            </w:tc>
            <w:tc>
              <w:tcPr>
                <w:tcW w:w="6230" w:type="dxa"/>
              </w:tcPr>
              <w:p>
                <w:pPr>
                  <w:widowControl w:val="0"/>
                  <w:rPr>
                    <w:b/>
                    <w:szCs w:val="24"/>
                  </w:rPr>
                </w:pPr>
                <w:r>
                  <w:rPr>
                    <w:b/>
                    <w:szCs w:val="24"/>
                  </w:rPr>
                  <w:t>Nėščiosios santykiai su išplėstine šeima:</w:t>
                </w:r>
              </w:p>
              <w:p>
                <w:pPr>
                  <w:widowControl w:val="0"/>
                  <w:ind w:left="720" w:hanging="360"/>
                  <w:rPr>
                    <w:szCs w:val="24"/>
                  </w:rPr>
                </w:pPr>
                <w:r>
                  <w:rPr>
                    <w:rFonts w:ascii="Symbol" w:hAnsi="Symbol"/>
                    <w:szCs w:val="24"/>
                  </w:rPr>
                  <w:t></w:t>
                  <w:tab/>
                </w:r>
                <w:r>
                  <w:rPr>
                    <w:szCs w:val="24"/>
                  </w:rPr>
                  <w:t>Labai geri</w:t>
                </w:r>
              </w:p>
              <w:p>
                <w:pPr>
                  <w:widowControl w:val="0"/>
                  <w:ind w:left="720" w:hanging="360"/>
                  <w:rPr>
                    <w:szCs w:val="24"/>
                  </w:rPr>
                </w:pPr>
                <w:r>
                  <w:rPr>
                    <w:rFonts w:ascii="Symbol" w:hAnsi="Symbol"/>
                    <w:szCs w:val="24"/>
                  </w:rPr>
                  <w:t></w:t>
                  <w:tab/>
                </w:r>
                <w:r>
                  <w:rPr>
                    <w:szCs w:val="24"/>
                  </w:rPr>
                  <w:t>Geri</w:t>
                </w:r>
              </w:p>
              <w:p>
                <w:pPr>
                  <w:widowControl w:val="0"/>
                  <w:ind w:left="720" w:hanging="360"/>
                  <w:rPr>
                    <w:szCs w:val="24"/>
                  </w:rPr>
                </w:pPr>
                <w:r>
                  <w:rPr>
                    <w:rFonts w:ascii="Symbol" w:hAnsi="Symbol"/>
                    <w:szCs w:val="24"/>
                  </w:rPr>
                  <w:t></w:t>
                  <w:tab/>
                </w:r>
                <w:r>
                  <w:rPr>
                    <w:szCs w:val="24"/>
                  </w:rPr>
                  <w:t>Vidutiniški</w:t>
                </w:r>
              </w:p>
              <w:p>
                <w:pPr>
                  <w:widowControl w:val="0"/>
                  <w:ind w:left="720" w:hanging="360"/>
                  <w:rPr>
                    <w:szCs w:val="24"/>
                  </w:rPr>
                </w:pPr>
                <w:r>
                  <w:rPr>
                    <w:rFonts w:ascii="Symbol" w:hAnsi="Symbol"/>
                    <w:szCs w:val="24"/>
                  </w:rPr>
                  <w:t></w:t>
                  <w:tab/>
                </w:r>
                <w:r>
                  <w:rPr>
                    <w:szCs w:val="24"/>
                  </w:rPr>
                  <w:t>Prasti</w:t>
                </w:r>
              </w:p>
              <w:p>
                <w:pPr>
                  <w:widowControl w:val="0"/>
                  <w:ind w:left="720" w:hanging="360"/>
                  <w:rPr>
                    <w:szCs w:val="24"/>
                  </w:rPr>
                </w:pPr>
                <w:r>
                  <w:rPr>
                    <w:rFonts w:ascii="Symbol" w:hAnsi="Symbol"/>
                    <w:szCs w:val="24"/>
                  </w:rPr>
                  <w:t></w:t>
                  <w:tab/>
                </w:r>
                <w:r>
                  <w:rPr>
                    <w:szCs w:val="24"/>
                  </w:rPr>
                  <w:t>Pavojingi nėščiajai ir gimstančiam vaikui</w:t>
                </w:r>
              </w:p>
              <w:p>
                <w:pPr>
                  <w:widowControl w:val="0"/>
                  <w:ind w:left="720" w:hanging="360"/>
                  <w:rPr>
                    <w:szCs w:val="24"/>
                  </w:rPr>
                </w:pPr>
                <w:r>
                  <w:rPr>
                    <w:rFonts w:ascii="Symbol" w:hAnsi="Symbol"/>
                    <w:szCs w:val="24"/>
                  </w:rPr>
                  <w:t></w:t>
                  <w:tab/>
                </w:r>
                <w:r>
                  <w:rPr>
                    <w:szCs w:val="24"/>
                  </w:rPr>
                  <w:t xml:space="preserve">Kita (įrašyti)............................................. </w:t>
                </w:r>
              </w:p>
            </w:tc>
          </w:tr>
        </w:tbl>
        <w:p>
          <w:pPr>
            <w:spacing w:line="276" w:lineRule="auto"/>
            <w:ind w:left="-993"/>
            <w:rPr>
              <w:rFonts w:eastAsia="Calibri"/>
              <w:szCs w:val="24"/>
            </w:rPr>
          </w:pPr>
        </w:p>
        <w:p>
          <w:pPr>
            <w:spacing w:line="276" w:lineRule="auto"/>
            <w:ind w:left="-993"/>
            <w:rPr>
              <w:rFonts w:eastAsia="Calibri"/>
              <w:szCs w:val="24"/>
            </w:rPr>
          </w:pPr>
          <w:r>
            <w:rPr>
              <w:rFonts w:eastAsia="Calibri"/>
              <w:szCs w:val="24"/>
            </w:rPr>
            <w:t>RIZIKOS LYGIAI:</w:t>
          </w:r>
        </w:p>
        <w:tbl>
          <w:tblPr>
            <w:tblW w:w="0" w:type="auto"/>
            <w:tblInd w:w="-1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5"/>
            <w:gridCol w:w="9175"/>
          </w:tblGrid>
          <w:tr>
            <w:tc>
              <w:tcPr>
                <w:tcW w:w="1596" w:type="dxa"/>
                <w:vAlign w:val="center"/>
              </w:tcPr>
              <w:p>
                <w:pPr>
                  <w:jc w:val="center"/>
                  <w:rPr>
                    <w:rFonts w:eastAsia="Calibri"/>
                    <w:sz w:val="36"/>
                    <w:szCs w:val="36"/>
                  </w:rPr>
                </w:pPr>
                <w:r>
                  <w:rPr>
                    <w:rFonts w:eastAsia="Calibri"/>
                    <w:sz w:val="36"/>
                    <w:szCs w:val="36"/>
                  </w:rPr>
                  <w:t>0</w:t>
                </w:r>
              </w:p>
            </w:tc>
            <w:tc>
              <w:tcPr>
                <w:tcW w:w="9654" w:type="dxa"/>
              </w:tcPr>
              <w:p>
                <w:pPr>
                  <w:ind w:left="720" w:hanging="360"/>
                  <w:rPr>
                    <w:rFonts w:eastAsia="CIDFont+F3"/>
                    <w:szCs w:val="24"/>
                  </w:rPr>
                </w:pPr>
                <w:r>
                  <w:rPr>
                    <w:rFonts w:ascii="Symbol" w:eastAsia="CIDFont+F3" w:hAnsi="Symbol"/>
                    <w:szCs w:val="24"/>
                  </w:rPr>
                  <w:t></w:t>
                  <w:tab/>
                </w:r>
                <w:r>
                  <w:rPr>
                    <w:rFonts w:eastAsia="CIDFont+F3"/>
                    <w:szCs w:val="24"/>
                  </w:rPr>
                  <w:t>Šeima funkcionuoja gerai, šeimos nariai neturi reikšmingų problemų.</w:t>
                </w:r>
              </w:p>
              <w:p>
                <w:pPr>
                  <w:ind w:left="720" w:hanging="360"/>
                  <w:rPr>
                    <w:rFonts w:eastAsia="CIDFont+F3"/>
                    <w:szCs w:val="24"/>
                  </w:rPr>
                </w:pPr>
                <w:r>
                  <w:rPr>
                    <w:rFonts w:ascii="Symbol" w:eastAsia="CIDFont+F3" w:hAnsi="Symbol"/>
                    <w:szCs w:val="24"/>
                  </w:rPr>
                  <w:t></w:t>
                  <w:tab/>
                </w:r>
                <w:r>
                  <w:rPr>
                    <w:rFonts w:eastAsia="Calibri"/>
                    <w:szCs w:val="24"/>
                  </w:rPr>
                  <w:t>Šeimos nariai (bent vienas iš šeimos narių) dirba apmokamą darbą / yra neįgalūs, gauna neįgalumo išmokas (yra nedarbingi). Gaunamų pajamų pakanka, nėščioji (jos šeima) išnaudoja galimus pajamų gavimo šaltinius.</w:t>
                </w:r>
              </w:p>
              <w:p>
                <w:pPr>
                  <w:ind w:left="720" w:hanging="360"/>
                  <w:rPr>
                    <w:rFonts w:eastAsia="Calibri"/>
                    <w:szCs w:val="24"/>
                  </w:rPr>
                </w:pPr>
                <w:r>
                  <w:rPr>
                    <w:rFonts w:ascii="Symbol" w:eastAsia="Calibri" w:hAnsi="Symbol"/>
                    <w:szCs w:val="24"/>
                  </w:rPr>
                  <w:t></w:t>
                  <w:tab/>
                </w:r>
                <w:r>
                  <w:rPr>
                    <w:rFonts w:eastAsia="CIDFont+F3"/>
                    <w:szCs w:val="24"/>
                  </w:rPr>
                  <w:t>Palaikomi geri santykiai su išplėstine šeima, turi pagalbos tinklą</w:t>
                </w:r>
              </w:p>
            </w:tc>
          </w:tr>
          <w:tr>
            <w:tc>
              <w:tcPr>
                <w:tcW w:w="1596" w:type="dxa"/>
                <w:vAlign w:val="center"/>
              </w:tcPr>
              <w:p>
                <w:pPr>
                  <w:jc w:val="center"/>
                  <w:rPr>
                    <w:rFonts w:eastAsia="Calibri"/>
                    <w:sz w:val="36"/>
                    <w:szCs w:val="36"/>
                  </w:rPr>
                </w:pPr>
                <w:r>
                  <w:rPr>
                    <w:rFonts w:eastAsia="Calibri"/>
                    <w:sz w:val="36"/>
                    <w:szCs w:val="36"/>
                  </w:rPr>
                  <w:t>1</w:t>
                </w:r>
              </w:p>
            </w:tc>
            <w:tc>
              <w:tcPr>
                <w:tcW w:w="9654" w:type="dxa"/>
              </w:tcPr>
              <w:p>
                <w:pPr>
                  <w:ind w:left="720" w:hanging="360"/>
                  <w:rPr>
                    <w:rFonts w:eastAsia="CIDFont+F3"/>
                    <w:szCs w:val="24"/>
                  </w:rPr>
                </w:pPr>
                <w:r>
                  <w:rPr>
                    <w:rFonts w:ascii="Symbol" w:eastAsia="CIDFont+F3" w:hAnsi="Symbol"/>
                    <w:szCs w:val="24"/>
                  </w:rPr>
                  <w:t></w:t>
                  <w:tab/>
                </w:r>
                <w:r>
                  <w:rPr>
                    <w:rFonts w:eastAsia="CIDFont+F3"/>
                    <w:szCs w:val="24"/>
                  </w:rPr>
                  <w:t>Šeimos nariai patys pastebi situacijas, kuriose jiems reikalinga išorinė pagalba.</w:t>
                </w:r>
              </w:p>
              <w:p>
                <w:pPr>
                  <w:ind w:left="720" w:hanging="360"/>
                  <w:rPr>
                    <w:rFonts w:eastAsia="CIDFont+F3"/>
                    <w:szCs w:val="24"/>
                  </w:rPr>
                </w:pPr>
                <w:r>
                  <w:rPr>
                    <w:rFonts w:ascii="Symbol" w:eastAsia="CIDFont+F3" w:hAnsi="Symbol"/>
                    <w:szCs w:val="24"/>
                  </w:rPr>
                  <w:t></w:t>
                  <w:tab/>
                </w:r>
                <w:r>
                  <w:rPr>
                    <w:rFonts w:eastAsia="Calibri"/>
                    <w:szCs w:val="24"/>
                  </w:rPr>
                  <w:t>Šeimos nariai (bent vienas iš šeimos narių) dirba laikiną darbą (terminuotą, sezoninį ar kt.) / yra neįgalūs ir dirba laikiną darbą. Gaunamos pajamos leidžia patenkinti bazinius poreikius, kitų poreikių patenkinimas nėra pakankamas, tačiau nėščioji (jos šeima) deda pastangas siekiant gauti daugiau pajamų.</w:t>
                </w:r>
              </w:p>
              <w:p>
                <w:pPr>
                  <w:ind w:left="720" w:hanging="360"/>
                  <w:rPr>
                    <w:rFonts w:eastAsia="Calibri"/>
                    <w:szCs w:val="24"/>
                  </w:rPr>
                </w:pPr>
                <w:r>
                  <w:rPr>
                    <w:rFonts w:ascii="Symbol" w:eastAsia="Calibri" w:hAnsi="Symbol"/>
                    <w:szCs w:val="24"/>
                  </w:rPr>
                  <w:t></w:t>
                  <w:tab/>
                </w:r>
                <w:r>
                  <w:rPr>
                    <w:rFonts w:eastAsia="CIDFont+F3"/>
                    <w:szCs w:val="24"/>
                  </w:rPr>
                  <w:t xml:space="preserve">Esant poreikiui, nėščioji turės paramos tinklą, kuris galės suteikti pagalbą, tačiau ryšiai nėra palaikomi nuolat. </w:t>
                </w:r>
                <w:r>
                  <w:rPr>
                    <w:rFonts w:eastAsia="CIDFont+F6"/>
                    <w:szCs w:val="24"/>
                  </w:rPr>
                  <w:t xml:space="preserve"> </w:t>
                </w:r>
                <w:r>
                  <w:rPr>
                    <w:rFonts w:eastAsia="CIDFont+F3"/>
                    <w:szCs w:val="24"/>
                  </w:rPr>
                  <w:t>Santykiai su išplėstine šeima neišplėtoti</w:t>
                </w:r>
              </w:p>
            </w:tc>
          </w:tr>
          <w:tr>
            <w:tc>
              <w:tcPr>
                <w:tcW w:w="1596" w:type="dxa"/>
                <w:vAlign w:val="center"/>
              </w:tcPr>
              <w:p>
                <w:pPr>
                  <w:jc w:val="center"/>
                  <w:rPr>
                    <w:rFonts w:eastAsia="Calibri"/>
                    <w:sz w:val="36"/>
                    <w:szCs w:val="36"/>
                  </w:rPr>
                </w:pPr>
                <w:r>
                  <w:rPr>
                    <w:rFonts w:eastAsia="Calibri"/>
                    <w:sz w:val="36"/>
                    <w:szCs w:val="36"/>
                  </w:rPr>
                  <w:t>2</w:t>
                </w:r>
              </w:p>
            </w:tc>
            <w:tc>
              <w:tcPr>
                <w:tcW w:w="9654" w:type="dxa"/>
              </w:tcPr>
              <w:p>
                <w:pPr>
                  <w:ind w:left="720" w:hanging="360"/>
                  <w:rPr>
                    <w:rFonts w:eastAsia="CIDFont+F3"/>
                    <w:szCs w:val="24"/>
                  </w:rPr>
                </w:pPr>
                <w:r>
                  <w:rPr>
                    <w:rFonts w:ascii="Symbol" w:eastAsia="CIDFont+F3" w:hAnsi="Symbol"/>
                    <w:szCs w:val="24"/>
                  </w:rPr>
                  <w:t></w:t>
                  <w:tab/>
                </w:r>
                <w:r>
                  <w:rPr>
                    <w:rFonts w:eastAsia="CIDFont+F6"/>
                    <w:szCs w:val="24"/>
                  </w:rPr>
                  <w:t>Š</w:t>
                </w:r>
                <w:r>
                  <w:rPr>
                    <w:rFonts w:eastAsia="CIDFont+F3"/>
                    <w:szCs w:val="24"/>
                  </w:rPr>
                  <w:t>eimos nariai turi problemų, yra motyvuoti problemas spręsti.</w:t>
                </w:r>
              </w:p>
              <w:p>
                <w:pPr>
                  <w:ind w:left="720" w:hanging="360"/>
                  <w:rPr>
                    <w:rFonts w:eastAsia="CIDFont+F3"/>
                    <w:szCs w:val="24"/>
                  </w:rPr>
                </w:pPr>
                <w:r>
                  <w:rPr>
                    <w:rFonts w:ascii="Symbol" w:eastAsia="CIDFont+F3" w:hAnsi="Symbol"/>
                    <w:szCs w:val="24"/>
                  </w:rPr>
                  <w:t></w:t>
                  <w:tab/>
                </w:r>
                <w:r>
                  <w:rPr>
                    <w:rFonts w:eastAsia="CIDFont+F3"/>
                    <w:szCs w:val="24"/>
                  </w:rPr>
                  <w:t>Šeimos narių, pačios nėščiosios negalia ar sunki sveikatos būklė.</w:t>
                </w:r>
              </w:p>
              <w:p>
                <w:pPr>
                  <w:ind w:left="720" w:hanging="360"/>
                  <w:rPr>
                    <w:rFonts w:eastAsia="CIDFont+F3"/>
                    <w:szCs w:val="24"/>
                  </w:rPr>
                </w:pPr>
                <w:r>
                  <w:rPr>
                    <w:rFonts w:ascii="Symbol" w:eastAsia="CIDFont+F3" w:hAnsi="Symbol"/>
                    <w:szCs w:val="24"/>
                  </w:rPr>
                  <w:t></w:t>
                  <w:tab/>
                </w:r>
                <w:r>
                  <w:rPr>
                    <w:rFonts w:eastAsia="Calibri"/>
                    <w:szCs w:val="24"/>
                  </w:rPr>
                  <w:t>Šeimos nariai (bent vienas iš šeimos narių) yra bedarbiai, gaunamų pajamų pakanka tik baziniams poreikiams patenkinti, tačiau deda pastangas darbo paieškoms / yra neįgalūs, tačiau deda pastangas darbo paieškoms (kai yra darbingi). Nėščioji (jos šeima) stokoja galimybių ar gebėjimų išnaudojant galimus pajamų gavimo šaltinius, tačiau yra pasirengusi priimti pagalbą sprendžiant susidariusią situaciją.</w:t>
                </w:r>
              </w:p>
              <w:p>
                <w:pPr>
                  <w:ind w:left="720" w:hanging="360"/>
                  <w:rPr>
                    <w:rFonts w:eastAsia="Calibri"/>
                    <w:szCs w:val="24"/>
                  </w:rPr>
                </w:pPr>
                <w:r>
                  <w:rPr>
                    <w:rFonts w:ascii="Symbol" w:eastAsia="Calibri" w:hAnsi="Symbol"/>
                    <w:szCs w:val="24"/>
                  </w:rPr>
                  <w:t></w:t>
                  <w:tab/>
                </w:r>
                <w:r>
                  <w:rPr>
                    <w:rFonts w:eastAsia="CIDFont+F3"/>
                    <w:szCs w:val="24"/>
                  </w:rPr>
                  <w:t>Nėščioji neturi paramos tinklo. Neišplėsti bendravimo ryšiai su išplėstine šeima arba santykiai prasti, tačiau nėščioji yra motyvuota spręsti problemas</w:t>
                </w:r>
              </w:p>
            </w:tc>
          </w:tr>
          <w:tr>
            <w:tc>
              <w:tcPr>
                <w:tcW w:w="1596" w:type="dxa"/>
                <w:vAlign w:val="center"/>
              </w:tcPr>
              <w:p>
                <w:pPr>
                  <w:jc w:val="center"/>
                  <w:rPr>
                    <w:rFonts w:eastAsia="Calibri"/>
                    <w:sz w:val="36"/>
                    <w:szCs w:val="36"/>
                  </w:rPr>
                </w:pPr>
                <w:r>
                  <w:rPr>
                    <w:rFonts w:eastAsia="Calibri"/>
                    <w:sz w:val="36"/>
                    <w:szCs w:val="36"/>
                  </w:rPr>
                  <w:t>3</w:t>
                </w:r>
              </w:p>
            </w:tc>
            <w:tc>
              <w:tcPr>
                <w:tcW w:w="9654" w:type="dxa"/>
              </w:tcPr>
              <w:p>
                <w:pPr>
                  <w:ind w:left="720" w:hanging="360"/>
                  <w:rPr>
                    <w:rFonts w:eastAsia="CIDFont+F3"/>
                    <w:szCs w:val="24"/>
                  </w:rPr>
                </w:pPr>
                <w:r>
                  <w:rPr>
                    <w:rFonts w:ascii="Symbol" w:eastAsia="CIDFont+F3" w:hAnsi="Symbol"/>
                    <w:szCs w:val="24"/>
                  </w:rPr>
                  <w:t></w:t>
                  <w:tab/>
                </w:r>
                <w:r>
                  <w:rPr>
                    <w:rFonts w:eastAsia="CIDFont+F3"/>
                    <w:szCs w:val="24"/>
                  </w:rPr>
                  <w:t>Nuolatinės problemos, kylančios dėl konfliktų, negalios, įgūdžių stokos.</w:t>
                </w:r>
              </w:p>
              <w:p>
                <w:pPr>
                  <w:ind w:left="720" w:hanging="360"/>
                  <w:rPr>
                    <w:rFonts w:eastAsia="CIDFont+F3"/>
                    <w:szCs w:val="24"/>
                  </w:rPr>
                </w:pPr>
                <w:r>
                  <w:rPr>
                    <w:rFonts w:ascii="Symbol" w:eastAsia="CIDFont+F3" w:hAnsi="Symbol"/>
                    <w:szCs w:val="24"/>
                  </w:rPr>
                  <w:t></w:t>
                  <w:tab/>
                </w:r>
                <w:r>
                  <w:rPr>
                    <w:rFonts w:eastAsia="CIDFont+F3"/>
                    <w:szCs w:val="24"/>
                  </w:rPr>
                  <w:t>Smurtas šeimoje.</w:t>
                </w:r>
              </w:p>
              <w:p>
                <w:pPr>
                  <w:ind w:left="720" w:hanging="360"/>
                  <w:rPr>
                    <w:rFonts w:eastAsia="Calibri"/>
                    <w:szCs w:val="24"/>
                  </w:rPr>
                </w:pPr>
                <w:r>
                  <w:rPr>
                    <w:rFonts w:ascii="Symbol" w:eastAsia="Calibri" w:hAnsi="Symbol"/>
                    <w:szCs w:val="24"/>
                  </w:rPr>
                  <w:t></w:t>
                  <w:tab/>
                </w:r>
                <w:r>
                  <w:rPr>
                    <w:rFonts w:eastAsia="Calibri"/>
                    <w:szCs w:val="24"/>
                  </w:rPr>
                  <w:t>Šeimos nariai (bent vienas iš šeimos narių) yra bedarbiai, nededa jokių pastangų darbo paieškoms / yra neįgalūs, tačiau pagal darbingumo lygį galėtų gauti pajamų iš darbinės veiklos, bet yra nemotyvuoti. Nėščioji (jos šeima) yra kritinėje situacijoje, nes negauna jokių pajamų arba gaunamų pajamų nepakanka net baziniams poreikiams patenkinti. Nėščioji (jos šeima) neišnaudoja prieinamų pajamų gavimo šaltinių (pvz., neieško darbo, nesitvarko neįgalumo dokumentų) ir nededa jokių pastangų situacijai keisti.</w:t>
                </w:r>
              </w:p>
              <w:p>
                <w:pPr>
                  <w:ind w:left="720" w:hanging="360"/>
                  <w:rPr>
                    <w:rFonts w:eastAsia="Calibri"/>
                    <w:szCs w:val="24"/>
                  </w:rPr>
                </w:pPr>
                <w:r>
                  <w:rPr>
                    <w:rFonts w:ascii="Symbol" w:eastAsia="Calibri" w:hAnsi="Symbol"/>
                    <w:szCs w:val="24"/>
                  </w:rPr>
                  <w:t></w:t>
                  <w:tab/>
                </w:r>
                <w:r>
                  <w:rPr>
                    <w:rFonts w:eastAsia="CIDFont+F3"/>
                    <w:szCs w:val="24"/>
                  </w:rPr>
                  <w:t>Priklausomybės, priklausymas uždaroms ar pavojingos ideologijos bendruomenėms, užsiėmimas nusikalstama veikla, šeimos nariai problemų nesprendžia, dėl ko kyla grėsmė gimsiančiam vaikui. Santykiai su išplėstinės šeimos nariais taip pat kelia pavojų nėščiajai ir gimsiančiam kūdikiui.</w:t>
                </w:r>
              </w:p>
            </w:tc>
          </w:tr>
        </w:tbl>
        <w:p>
          <w:pPr>
            <w:jc w:val="both"/>
            <w:rPr>
              <w:color w:val="000000"/>
              <w:szCs w:val="24"/>
            </w:rPr>
          </w:pPr>
          <w:r>
            <w:rPr>
              <w:color w:val="000000"/>
              <w:szCs w:val="24"/>
            </w:rPr>
            <w:t>Pastabos: klausimyną pildo šeimų lankymo specialistas.</w:t>
          </w:r>
        </w:p>
        <w:sdt>
          <w:sdtPr>
            <w:alias w:val="pabaiga"/>
            <w:tag w:val="part_aa31331683cb4f69b9173d294f658c7c"/>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IDFont+F3">
    <w:altName w:val="Yu Gothic UI"/>
    <w:panose1 w:val="00000000000000000000"/>
    <w:charset w:val="80"/>
    <w:family w:val="auto"/>
    <w:notTrueType/>
    <w:pitch w:val="default"/>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IDFont+F6">
    <w:altName w:val="Arial Unicode MS"/>
    <w:panose1 w:val="00000000000000000000"/>
    <w:charset w:val="88"/>
    <w:family w:val="auto"/>
    <w:notTrueType/>
    <w:pitch w:val="default"/>
    <w:sig w:usb0="00000001" w:usb1="08080000" w:usb2="00000010" w:usb3="00000000" w:csb0="0010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7" Abbr="7 pr." Title="ŠEIMOS FUNKCIONAVIMAS" DocPartId="d1728591592f462485e15869f4c43600" PartId="6d87532e5cd04c569ca4a6bc9cab3a48">
    <Part Type="pabaiga" DocPartId="0d1a98ea4f8946c09cc8e70f34b28b54" PartId="aa31331683cb4f69b9173d294f658c7c"/>
  </Part>
</Parts>
</file>

<file path=customXml/itemProps1.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2.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3.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F9AC4B4-2B82-43D4-97E2-6A41B3A1EBDE}">
  <ds:schemaRefs>
    <ds:schemaRef ds:uri="http://schemas.openxmlformats.org/officeDocument/2006/bibliography"/>
  </ds:schemaRefs>
</ds:datastoreItem>
</file>

<file path=customXml/itemProps5.xml><?xml version="1.0" encoding="utf-8"?>
<ds:datastoreItem xmlns:ds="http://schemas.openxmlformats.org/officeDocument/2006/customXml" ds:itemID="{35FA74DD-B0B8-43C8-89DE-03DA069CF0E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740</Words>
  <Characters>4954</Characters>
  <Application>Microsoft Office Word</Application>
  <DocSecurity>4</DocSecurity>
  <Lines>176</Lines>
  <Paragraphs>76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5618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