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2 pr."/>
        <w:tag w:val="part_e49f35c83f7b4edf976145644c91b557"/>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e49f35c83f7b4edf976145644c91b557"/>
              <w:lock w:val="sdtLocked"/>
              <w:richText/>
            </w:sdtPr>
            <w:sdtContent>
              <w:r>
                <w:rPr>
                  <w:color w:val="242424"/>
                  <w:szCs w:val="24"/>
                  <w:lang w:eastAsia="lt-LT"/>
                </w:rPr>
                <w:t>32</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e49f35c83f7b4edf976145644c91b557"/>
              <w:lock w:val="sdtLocked"/>
              <w:richText/>
            </w:sdtPr>
            <w:sdtContent>
              <w:r>
                <w:rPr>
                  <w:szCs w:val="24"/>
                  <w:lang w:eastAsia="lt-LT"/>
                </w:rPr>
                <w:t>MOTINOS SAVIVEIKSMINGUMO SKALĖ</w:t>
              </w:r>
            </w:sdtContent>
          </w:sdt>
        </w:p>
        <w:p>
          <w:pPr>
            <w:jc w:val="center"/>
            <w:rPr>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0"/>
            <w:gridCol w:w="3024"/>
          </w:tblGrid>
          <w:tr>
            <w:tc>
              <w:tcPr>
                <w:tcW w:w="7920" w:type="dxa"/>
              </w:tcPr>
              <w:p>
                <w:pPr>
                  <w:rPr>
                    <w:szCs w:val="24"/>
                  </w:rPr>
                </w:pPr>
                <w:r>
                  <w:rPr>
                    <w:szCs w:val="24"/>
                  </w:rPr>
                  <w:t>VIZITO DATA:</w:t>
                </w:r>
              </w:p>
            </w:tc>
            <w:tc>
              <w:tcPr>
                <w:tcW w:w="3024" w:type="dxa"/>
              </w:tcPr>
              <w:p>
                <w:pPr>
                  <w:rPr>
                    <w:szCs w:val="24"/>
                  </w:rPr>
                </w:pPr>
                <w:r>
                  <w:rPr>
                    <w:szCs w:val="24"/>
                  </w:rPr>
                  <w:t>Nustatytas rizikos lygis:</w:t>
                </w:r>
              </w:p>
            </w:tc>
          </w:tr>
          <w:tr>
            <w:tc>
              <w:tcPr>
                <w:tcW w:w="7920" w:type="dxa"/>
              </w:tcPr>
              <w:p>
                <w:pPr>
                  <w:rPr>
                    <w:szCs w:val="24"/>
                  </w:rPr>
                </w:pPr>
                <w:r>
                  <w:rPr>
                    <w:szCs w:val="24"/>
                  </w:rPr>
                  <w:t>VIZITO NR. :</w:t>
                </w:r>
              </w:p>
            </w:tc>
            <w:tc>
              <w:tcPr>
                <w:tcW w:w="3024" w:type="dxa"/>
                <w:vMerge w:val="restart"/>
              </w:tcPr>
              <w:p>
                <w:pPr>
                  <w:rPr>
                    <w:szCs w:val="24"/>
                  </w:rPr>
                </w:pPr>
              </w:p>
            </w:tc>
          </w:tr>
          <w:tr>
            <w:tc>
              <w:tcPr>
                <w:tcW w:w="7920" w:type="dxa"/>
              </w:tcPr>
              <w:p>
                <w:pPr>
                  <w:rPr>
                    <w:szCs w:val="24"/>
                  </w:rPr>
                </w:pPr>
                <w:r>
                  <w:rPr>
                    <w:szCs w:val="24"/>
                  </w:rPr>
                  <w:t>ŠLS VARDAS PAVARDĖ:</w:t>
                </w:r>
              </w:p>
            </w:tc>
            <w:tc>
              <w:tcPr>
                <w:tcW w:w="3024" w:type="dxa"/>
                <w:vMerge/>
              </w:tcPr>
              <w:p>
                <w:pPr>
                  <w:rPr>
                    <w:szCs w:val="24"/>
                  </w:rPr>
                </w:pPr>
              </w:p>
            </w:tc>
          </w:tr>
          <w:tr>
            <w:tc>
              <w:tcPr>
                <w:tcW w:w="7920" w:type="dxa"/>
              </w:tcPr>
              <w:p>
                <w:pPr>
                  <w:rPr>
                    <w:szCs w:val="24"/>
                  </w:rPr>
                </w:pPr>
                <w:r>
                  <w:rPr>
                    <w:szCs w:val="24"/>
                  </w:rPr>
                  <w:t>MAMOS VARDAS PAVARDĖ:</w:t>
                </w:r>
              </w:p>
            </w:tc>
            <w:tc>
              <w:tcPr>
                <w:tcW w:w="3024" w:type="dxa"/>
                <w:vMerge/>
              </w:tcPr>
              <w:p>
                <w:pPr>
                  <w:rPr>
                    <w:szCs w:val="24"/>
                  </w:rPr>
                </w:pPr>
              </w:p>
            </w:tc>
          </w:tr>
          <w:tr>
            <w:tc>
              <w:tcPr>
                <w:tcW w:w="10944" w:type="dxa"/>
                <w:gridSpan w:val="2"/>
              </w:tcPr>
              <w:p>
                <w:pPr>
                  <w:rPr>
                    <w:szCs w:val="24"/>
                  </w:rPr>
                </w:pPr>
                <w:r>
                  <w:rPr>
                    <w:szCs w:val="24"/>
                  </w:rPr>
                  <w:t>Svarbu įvertinti motinos galimybes pasirūpinti savo vaiku, esant poreikiui, suteikti tinkamų žinių bei pamokyti.</w:t>
                </w:r>
              </w:p>
              <w:p>
                <w:pPr>
                  <w:rPr>
                    <w:szCs w:val="24"/>
                  </w:rPr>
                </w:pPr>
                <w:r>
                  <w:rPr>
                    <w:szCs w:val="24"/>
                  </w:rPr>
                  <w:t>Rizikos faktoriai:</w:t>
                </w:r>
              </w:p>
              <w:p>
                <w:pPr>
                  <w:rPr>
                    <w:szCs w:val="24"/>
                  </w:rPr>
                </w:pPr>
                <w:r>
                  <w:rPr>
                    <w:szCs w:val="24"/>
                  </w:rPr>
                  <w:t>1. Gebėjimas suprasti vaiko jausmus ir poreikius.</w:t>
                </w:r>
              </w:p>
              <w:p>
                <w:pPr>
                  <w:rPr>
                    <w:szCs w:val="24"/>
                  </w:rPr>
                </w:pPr>
                <w:r>
                  <w:rPr>
                    <w:szCs w:val="24"/>
                  </w:rPr>
                  <w:t xml:space="preserve">2. Gebėjimas pasirūpinti savo vaiku esant skirtingoms situacijoms namuose ar išvykus iš namų. </w:t>
                </w:r>
              </w:p>
              <w:p>
                <w:pPr>
                  <w:rPr>
                    <w:szCs w:val="24"/>
                  </w:rPr>
                </w:pPr>
                <w:r>
                  <w:rPr>
                    <w:szCs w:val="24"/>
                  </w:rPr>
                  <w:t>Prie kiekvieno teiginio pažymėkite, kaip gerai Jūs tai sugebate.</w:t>
                </w:r>
              </w:p>
              <w:p>
                <w:pPr>
                  <w:rPr>
                    <w:szCs w:val="24"/>
                  </w:rPr>
                </w:pPr>
                <w:r>
                  <w:rPr>
                    <w:szCs w:val="24"/>
                  </w:rPr>
                  <w:t>Dėmesio: " Kartais galiu, kartais ne" yra vertinimų skalės viduryje. Jei teiginys Jums netinka</w:t>
                </w:r>
              </w:p>
              <w:p>
                <w:pPr>
                  <w:rPr>
                    <w:szCs w:val="24"/>
                  </w:rPr>
                </w:pPr>
                <w:r>
                  <w:rPr>
                    <w:szCs w:val="24"/>
                  </w:rPr>
                  <w:t>(pavyzdžiui, Jūsų vaikas per mažas), galite pažymėti vidurinį apskritimą.</w:t>
                </w:r>
              </w:p>
            </w:tc>
          </w:tr>
        </w:tbl>
        <w:p>
          <w:pPr>
            <w:spacing w:line="276" w:lineRule="auto"/>
            <w:rPr>
              <w:rFonts w:eastAsia="Calibri"/>
              <w:szCs w:val="24"/>
            </w:rPr>
          </w:pPr>
        </w:p>
        <w:p>
          <w:pPr>
            <w:rPr>
              <w:sz w:val="18"/>
              <w:szCs w:val="18"/>
            </w:rPr>
          </w:pPr>
        </w:p>
        <w:tbl>
          <w:tblPr>
            <w:tblW w:w="10916"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6816"/>
            <w:gridCol w:w="989"/>
            <w:gridCol w:w="1342"/>
            <w:gridCol w:w="870"/>
          </w:tblGrid>
          <w:tr>
            <w:trPr>
              <w:trHeight w:val="966"/>
            </w:trPr>
            <w:tc>
              <w:tcPr>
                <w:tcW w:w="89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6816" w:type="dxa"/>
                <w:tcBorders>
                  <w:top w:val="single" w:sz="4" w:space="0" w:color="auto"/>
                  <w:left w:val="single" w:sz="4" w:space="0" w:color="auto"/>
                  <w:bottom w:val="single" w:sz="4" w:space="0" w:color="auto"/>
                  <w:right w:val="single" w:sz="4" w:space="0" w:color="auto"/>
                </w:tcBorders>
              </w:tcPr>
              <w:p>
                <w:pPr>
                  <w:rPr>
                    <w:rFonts w:eastAsia="Calibri"/>
                    <w:szCs w:val="24"/>
                  </w:rPr>
                </w:pPr>
              </w:p>
              <w:p>
                <w:pPr>
                  <w:rPr>
                    <w:rFonts w:eastAsia="Calibri"/>
                    <w:szCs w:val="24"/>
                  </w:rPr>
                </w:pPr>
                <w:r>
                  <w:rPr>
                    <w:rFonts w:eastAsia="Calibri"/>
                    <w:szCs w:val="24"/>
                  </w:rPr>
                  <w:t xml:space="preserve">Teiginiai </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p>
                <w:pPr>
                  <w:rPr>
                    <w:rFonts w:eastAsia="Calibri"/>
                    <w:szCs w:val="24"/>
                  </w:rPr>
                </w:pPr>
                <w:r>
                  <w:rPr>
                    <w:rFonts w:eastAsia="Calibri"/>
                    <w:szCs w:val="24"/>
                  </w:rPr>
                  <w:t>Tikrai negaliu</w:t>
                </w:r>
              </w:p>
            </w:tc>
            <w:tc>
              <w:tcPr>
                <w:tcW w:w="1342"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Kartais galiu, kartais ne </w:t>
                </w: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p>
                <w:pPr>
                  <w:rPr>
                    <w:rFonts w:eastAsia="Calibri"/>
                    <w:szCs w:val="24"/>
                  </w:rPr>
                </w:pPr>
                <w:r>
                  <w:rPr>
                    <w:rFonts w:eastAsia="Calibri"/>
                    <w:szCs w:val="24"/>
                  </w:rPr>
                  <w:t>Tikrai galiu</w:t>
                </w: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Kai vaikas prabunda naktį, aš galiu jį/ją nuraminti per 5 minutes.</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2</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Aš galiu suprasti, kaip jaučiasi mano vaikas, kai jis/ji yra patenkintas, net ir tuomet, kai pati blogai jaučiuosi.</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3</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ir tada, kai turiu svečių, galiu suprasti, kad mano vaikas ima blogai elgtis, nes pavargo.</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4</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ir tada, kai turiu daug darbo namuose, galiu pasirūpinti, kad vaikas nenuobodžiautų.</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5</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ir po sunkios dienos galiu su vaiku pasikalbėti apie tai, ką jis/ji nuveikė.</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6</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Galiu suprasti, kaip jaučiasi vaikas, kai jam/jai liūdna, net ir tuomet, kai pykstu.</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7</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Kai esu svečiuose, galiu pasirūpinti, kad mano vaikas žaisdamas</w:t>
                </w:r>
              </w:p>
              <w:p>
                <w:pPr>
                  <w:rPr>
                    <w:rFonts w:eastAsia="Calibri"/>
                    <w:szCs w:val="24"/>
                  </w:rPr>
                </w:pPr>
                <w:r>
                  <w:rPr>
                    <w:rFonts w:eastAsia="Calibri"/>
                    <w:szCs w:val="24"/>
                  </w:rPr>
                  <w:t>nesusipyktų.</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8</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ir būdama labai užsiėmusi, galiu pastebėti, kai mano vaikas gerai</w:t>
                </w:r>
              </w:p>
              <w:p>
                <w:pPr>
                  <w:rPr>
                    <w:rFonts w:eastAsia="Calibri"/>
                    <w:szCs w:val="24"/>
                  </w:rPr>
                </w:pPr>
                <w:r>
                  <w:rPr>
                    <w:rFonts w:eastAsia="Calibri"/>
                    <w:szCs w:val="24"/>
                  </w:rPr>
                  <w:t>elgiasi (nepasiduoda emocijoms).</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9</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Galiu leisti vaikui baigti žaidimą, kai ateina laikas eiti miegoti.</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10</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kai esu prastai nusiteikusi, galiu pasikalbėti su vaiku apie tai, ką jis/ji veikia.</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11</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Suprantu, kaip jaučiasi vaikas, kai jis/ji pyksta, net ir tuomet, kai aš pati pykstu.</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12</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ir tada, kai esu pavargusi, galiu išdykauti su vaiku.</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13</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Suprantu, kada mano vaikas jaučiasi sutrikęs, tada, kai esu užsiėmusi svečiais.</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14</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Galiu nukreipti vaiko dėmesį, kai jis/ji nori kažko, ko negalima, net ir tada, kai turiu nedaug laiko.</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15</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Sugebu prajuokinti savo vaiką.</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16</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ir tada, kai esu užsiėmusi pirkiniais, pastebiu, kad mano vaikas kažkuo nepatenkintas.</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17</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Net ir tada, kai vaikas pats nesako, galiu suprasti, kodėl jis/ji dieną pasišlapino į kelnes.</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18</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Galiu suprasti, kad vaikas kažko nedrįsta daryti, net ir tada, kai tai man labai patinka.</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19</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Galiu suprasti, kaip jaučiasi mano vaikas, kai jam/jai baisu, net ir tada, kai mano puiki nuotaika.</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20</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Nors ir turiu daug darbo, galiu apkabinti savo vaiką.</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21</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Nors mano vaikas yra labai judrus ir nenustygstantis, galiu jam/jai paskaityti pusę valandos be pertraukos.</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22</w:t>
                </w:r>
              </w:p>
            </w:tc>
            <w:tc>
              <w:tcPr>
                <w:tcW w:w="6816"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22. Galiu gerai išauklėti savo vaiką</w:t>
                </w: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1342"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tc>
          </w:tr>
          <w:tr>
            <w:tc>
              <w:tcPr>
                <w:tcW w:w="899"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6816" w:type="dxa"/>
                <w:tcBorders>
                  <w:top w:val="single" w:sz="4" w:space="0" w:color="auto"/>
                  <w:left w:val="single" w:sz="4" w:space="0" w:color="auto"/>
                  <w:bottom w:val="single" w:sz="4" w:space="0" w:color="auto"/>
                  <w:right w:val="single" w:sz="4" w:space="0" w:color="auto"/>
                </w:tcBorders>
              </w:tcPr>
              <w:p>
                <w:pPr>
                  <w:rPr>
                    <w:rFonts w:eastAsia="Calibri"/>
                    <w:szCs w:val="24"/>
                  </w:rPr>
                </w:pPr>
              </w:p>
            </w:tc>
            <w:tc>
              <w:tcPr>
                <w:tcW w:w="989" w:type="dxa"/>
                <w:tcBorders>
                  <w:top w:val="single" w:sz="4" w:space="0" w:color="auto"/>
                  <w:left w:val="single" w:sz="4" w:space="0" w:color="auto"/>
                  <w:bottom w:val="single" w:sz="4" w:space="0" w:color="auto"/>
                  <w:right w:val="single" w:sz="4" w:space="0" w:color="auto"/>
                </w:tcBorders>
              </w:tcPr>
              <w:p>
                <w:pPr>
                  <w:rPr>
                    <w:rFonts w:eastAsia="Calibri"/>
                    <w:szCs w:val="24"/>
                  </w:rPr>
                </w:pPr>
              </w:p>
              <w:p>
                <w:pPr>
                  <w:rPr>
                    <w:rFonts w:eastAsia="Calibri"/>
                    <w:szCs w:val="24"/>
                  </w:rPr>
                </w:pPr>
                <w:r>
                  <w:rPr>
                    <w:rFonts w:eastAsia="Calibri"/>
                    <w:szCs w:val="24"/>
                  </w:rPr>
                  <w:t>Tikrai negaliu</w:t>
                </w:r>
              </w:p>
            </w:tc>
            <w:tc>
              <w:tcPr>
                <w:tcW w:w="1342" w:type="dxa"/>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Kartais galiu, kartais ne </w:t>
                </w:r>
              </w:p>
            </w:tc>
            <w:tc>
              <w:tcPr>
                <w:tcW w:w="870" w:type="dxa"/>
                <w:tcBorders>
                  <w:top w:val="single" w:sz="4" w:space="0" w:color="auto"/>
                  <w:left w:val="single" w:sz="4" w:space="0" w:color="auto"/>
                  <w:bottom w:val="single" w:sz="4" w:space="0" w:color="auto"/>
                  <w:right w:val="single" w:sz="4" w:space="0" w:color="auto"/>
                </w:tcBorders>
              </w:tcPr>
              <w:p>
                <w:pPr>
                  <w:rPr>
                    <w:rFonts w:eastAsia="Calibri"/>
                    <w:szCs w:val="24"/>
                  </w:rPr>
                </w:pPr>
              </w:p>
              <w:p>
                <w:pPr>
                  <w:rPr>
                    <w:rFonts w:eastAsia="Calibri"/>
                    <w:szCs w:val="24"/>
                  </w:rPr>
                </w:pPr>
                <w:r>
                  <w:rPr>
                    <w:rFonts w:eastAsia="Calibri"/>
                    <w:szCs w:val="24"/>
                  </w:rPr>
                  <w:t>Tikrai galiu</w:t>
                </w:r>
              </w:p>
            </w:tc>
          </w:tr>
        </w:tbl>
        <w:p>
          <w:pPr>
            <w:rPr>
              <w:rFonts w:eastAsia="Calibri"/>
              <w:szCs w:val="24"/>
            </w:rPr>
          </w:pPr>
        </w:p>
        <w:p>
          <w:pPr>
            <w:rPr>
              <w:rFonts w:eastAsia="Calibri"/>
              <w:szCs w:val="24"/>
            </w:rPr>
          </w:pPr>
          <w:r>
            <w:rPr>
              <w:rFonts w:eastAsia="Calibri"/>
              <w:szCs w:val="24"/>
            </w:rPr>
            <w:t>Papildomos pastabos, susiję su motinos saviveiksmingumo vertinimu:</w:t>
          </w:r>
        </w:p>
        <w:p>
          <w:pPr>
            <w:rPr>
              <w:rFonts w:eastAsia="Calibri"/>
              <w:szCs w:val="24"/>
            </w:rPr>
          </w:pPr>
          <w:r>
            <w:rPr>
              <w:rFonts w:eastAsia="Calibri"/>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rPr>
              <w:rFonts w:eastAsia="Calibri"/>
              <w:szCs w:val="24"/>
            </w:rPr>
          </w:pPr>
        </w:p>
        <w:p>
          <w:pPr>
            <w:rPr>
              <w:rFonts w:eastAsia="Calibri"/>
              <w:szCs w:val="24"/>
            </w:rPr>
          </w:pPr>
          <w:r>
            <w:rPr>
              <w:rFonts w:eastAsia="Calibri"/>
              <w:szCs w:val="24"/>
            </w:rPr>
            <w:t xml:space="preserve">RIZIKOS LYGIAI: </w:t>
          </w:r>
        </w:p>
        <w:tbl>
          <w:tblPr>
            <w:tblW w:w="1034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9639"/>
          </w:tblGrid>
          <w:tr>
            <w:tc>
              <w:tcPr>
                <w:tcW w:w="709" w:type="dxa"/>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0</w:t>
                </w:r>
              </w:p>
              <w:p>
                <w:pPr>
                  <w:jc w:val="center"/>
                  <w:rPr>
                    <w:rFonts w:eastAsia="Calibri"/>
                    <w:szCs w:val="24"/>
                  </w:rPr>
                </w:pPr>
              </w:p>
            </w:tc>
            <w:tc>
              <w:tcPr>
                <w:tcW w:w="9639" w:type="dxa"/>
                <w:tcBorders>
                  <w:top w:val="single" w:sz="4" w:space="0" w:color="auto"/>
                  <w:left w:val="single" w:sz="4" w:space="0" w:color="auto"/>
                  <w:bottom w:val="single" w:sz="4" w:space="0" w:color="auto"/>
                  <w:right w:val="single" w:sz="4" w:space="0" w:color="auto"/>
                </w:tcBorders>
              </w:tcPr>
              <w:p>
                <w:pPr>
                  <w:tabs>
                    <w:tab w:val="left" w:pos="720"/>
                  </w:tabs>
                  <w:ind w:left="720" w:hanging="720"/>
                  <w:rPr>
                    <w:rFonts w:eastAsia="Calibri"/>
                    <w:szCs w:val="24"/>
                  </w:rPr>
                </w:pPr>
                <w:r>
                  <w:rPr>
                    <w:rFonts w:eastAsia="Calibri"/>
                    <w:szCs w:val="24"/>
                  </w:rPr>
                  <w:t>1.</w:t>
                  <w:tab/>
                  <w:t xml:space="preserve">Mama neturi fizinės, psichinės, proto ar kompleksinės negalios, neturi sveikatos sutrikimų, lėtinių ligų, kurie trukdytų suprasti vaiko jausmus ir poreikius bei pasirūpinti savo vaiku esant skirtingoms situacijoms namuose ar išvykus iš namų. </w:t>
                </w:r>
              </w:p>
              <w:p>
                <w:pPr>
                  <w:tabs>
                    <w:tab w:val="left" w:pos="720"/>
                  </w:tabs>
                  <w:ind w:left="720" w:hanging="720"/>
                  <w:rPr>
                    <w:rFonts w:eastAsia="Calibri"/>
                    <w:szCs w:val="24"/>
                  </w:rPr>
                </w:pPr>
                <w:r>
                  <w:rPr>
                    <w:rFonts w:eastAsia="Calibri"/>
                    <w:szCs w:val="24"/>
                  </w:rPr>
                  <w:t>2.</w:t>
                  <w:tab/>
                  <w:t xml:space="preserve">Vaikas neturi jokių negalių ar sveikatos sutrikimų, kurie keltų papildomų iššūkių motinos saviveiksmingumui.   </w:t>
                </w:r>
              </w:p>
              <w:p>
                <w:pPr>
                  <w:tabs>
                    <w:tab w:val="left" w:pos="720"/>
                  </w:tabs>
                  <w:ind w:left="720" w:hanging="720"/>
                  <w:rPr>
                    <w:rFonts w:eastAsia="Calibri"/>
                    <w:szCs w:val="24"/>
                  </w:rPr>
                </w:pPr>
                <w:r>
                  <w:rPr>
                    <w:rFonts w:eastAsia="Calibri"/>
                    <w:szCs w:val="24"/>
                  </w:rPr>
                  <w:t>3.</w:t>
                  <w:tab/>
                  <w:t xml:space="preserve">Kriterijai, įvertinti abiejose skalėse 5 balais, turėtų būti aptarti ir patikslintas pagalbos poreikis tėvams. </w:t>
                </w:r>
              </w:p>
            </w:tc>
          </w:tr>
          <w:t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w:t>
                </w:r>
              </w:p>
            </w:tc>
            <w:tc>
              <w:tcPr>
                <w:tcW w:w="9639" w:type="dxa"/>
                <w:tcBorders>
                  <w:top w:val="single" w:sz="4" w:space="0" w:color="auto"/>
                  <w:left w:val="single" w:sz="4" w:space="0" w:color="auto"/>
                  <w:bottom w:val="single" w:sz="4" w:space="0" w:color="auto"/>
                  <w:right w:val="single" w:sz="4" w:space="0" w:color="auto"/>
                </w:tcBorders>
              </w:tcPr>
              <w:p>
                <w:pPr>
                  <w:tabs>
                    <w:tab w:val="left" w:pos="720"/>
                  </w:tabs>
                  <w:ind w:left="720" w:hanging="720"/>
                  <w:rPr>
                    <w:rFonts w:eastAsia="Calibri"/>
                    <w:szCs w:val="24"/>
                  </w:rPr>
                </w:pPr>
                <w:r>
                  <w:rPr>
                    <w:rFonts w:eastAsia="Calibri"/>
                    <w:szCs w:val="24"/>
                  </w:rPr>
                  <w:t>1.</w:t>
                  <w:tab/>
                  <w:t>Mama turi lengvą fizinę, psichinę, proto ar kompleksinę negalią, tačiau gauna visą reikalingą pagalbą ir paslaugas, kurios leidžia suprasti vaiko jausmus ir poreikius bei pasirūpinti savo vaiku esant skirtingoms situacijoms namuose ar išvykus iš namų, sėkmingai funkcionuoti gaunant pagalbą.</w:t>
                </w:r>
              </w:p>
              <w:p>
                <w:pPr>
                  <w:tabs>
                    <w:tab w:val="left" w:pos="720"/>
                  </w:tabs>
                  <w:ind w:left="720" w:hanging="720"/>
                  <w:rPr>
                    <w:rFonts w:eastAsia="Calibri"/>
                    <w:szCs w:val="24"/>
                  </w:rPr>
                </w:pPr>
                <w:r>
                  <w:rPr>
                    <w:rFonts w:eastAsia="Calibri"/>
                    <w:szCs w:val="24"/>
                  </w:rPr>
                  <w:t>2.</w:t>
                  <w:tab/>
                  <w:t xml:space="preserve">Vaikas turi lengvą fizinę, proto ar kompleksinę negalią, kuri reikalauja papildomų motinos pastangų juo pasirūpinti. Tačiau atpažįstamos situacijos, kai mamai trūksta informacijos ir gebėjimų spręsti problemas. </w:t>
                </w:r>
              </w:p>
              <w:p>
                <w:pPr>
                  <w:tabs>
                    <w:tab w:val="left" w:pos="720"/>
                  </w:tabs>
                  <w:ind w:left="720" w:hanging="720"/>
                  <w:rPr>
                    <w:rFonts w:eastAsia="Calibri"/>
                    <w:szCs w:val="24"/>
                  </w:rPr>
                </w:pPr>
                <w:r>
                  <w:rPr>
                    <w:rFonts w:eastAsia="Calibri"/>
                    <w:szCs w:val="24"/>
                  </w:rPr>
                  <w:t>3.</w:t>
                  <w:tab/>
                  <w:t xml:space="preserve">Kriterijai, įvertinti abiejose skalėse 5 balais, turėtų būti aptarti ir patikslintas pagalbos poreikis tėvams. </w:t>
                </w:r>
              </w:p>
            </w:tc>
          </w:tr>
          <w:t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2</w:t>
                </w:r>
              </w:p>
            </w:tc>
            <w:tc>
              <w:tcPr>
                <w:tcW w:w="9639" w:type="dxa"/>
                <w:tcBorders>
                  <w:top w:val="single" w:sz="4" w:space="0" w:color="auto"/>
                  <w:left w:val="single" w:sz="4" w:space="0" w:color="auto"/>
                  <w:bottom w:val="single" w:sz="4" w:space="0" w:color="auto"/>
                  <w:right w:val="single" w:sz="4" w:space="0" w:color="auto"/>
                </w:tcBorders>
              </w:tcPr>
              <w:p>
                <w:pPr>
                  <w:tabs>
                    <w:tab w:val="left" w:pos="720"/>
                  </w:tabs>
                  <w:ind w:left="720" w:hanging="720"/>
                  <w:rPr>
                    <w:rFonts w:eastAsia="Calibri"/>
                    <w:szCs w:val="24"/>
                  </w:rPr>
                </w:pPr>
                <w:r>
                  <w:rPr>
                    <w:rFonts w:eastAsia="Calibri"/>
                    <w:szCs w:val="24"/>
                  </w:rPr>
                  <w:t>1.</w:t>
                  <w:tab/>
                  <w:t>Mama turi vidutinę fizinę, psichinę, proto ar kompleksinę negalią. Turi ilgalaikių sveikatos sutrikimų ar lėtinių ligų, galinčių turėti ilgalaikių pasekmių ar sunkumų suprasti vaiko jausmus ir poreikius bei pasirūpinti savo vaiku esant skirtingoms situacijoms namuose ar išvykus iš namų, sėkmingai funkcionuoti gaunant pagalbą.</w:t>
                </w:r>
              </w:p>
              <w:p>
                <w:pPr>
                  <w:tabs>
                    <w:tab w:val="left" w:pos="720"/>
                  </w:tabs>
                  <w:ind w:left="720" w:hanging="720"/>
                  <w:rPr>
                    <w:rFonts w:eastAsia="Calibri"/>
                    <w:szCs w:val="24"/>
                  </w:rPr>
                </w:pPr>
                <w:r>
                  <w:rPr>
                    <w:rFonts w:eastAsia="Calibri"/>
                    <w:szCs w:val="24"/>
                  </w:rPr>
                  <w:t>2.</w:t>
                  <w:tab/>
                  <w:t xml:space="preserve">Vaikas turi vidutinę fizinę, proto ar kompleksinę negalią, kuri reikalauja ypatingai daug papildomų motinos pastangų juo pasirūpinti. </w:t>
                </w:r>
              </w:p>
              <w:p>
                <w:pPr>
                  <w:tabs>
                    <w:tab w:val="left" w:pos="720"/>
                  </w:tabs>
                  <w:ind w:left="720" w:hanging="720"/>
                  <w:rPr>
                    <w:rFonts w:eastAsia="Calibri"/>
                    <w:szCs w:val="24"/>
                  </w:rPr>
                </w:pPr>
                <w:r>
                  <w:rPr>
                    <w:rFonts w:eastAsia="Calibri"/>
                    <w:szCs w:val="24"/>
                  </w:rPr>
                  <w:t>3.</w:t>
                  <w:tab/>
                  <w:t xml:space="preserve">Kriterijai, įvertinti abiejose skalėse 5 balais, turėtų būti aptarti ir patikslintas pagalbos poreikis tėvams. </w:t>
                </w:r>
              </w:p>
            </w:tc>
          </w:tr>
          <w:tr>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3</w:t>
                </w:r>
              </w:p>
            </w:tc>
            <w:tc>
              <w:tcPr>
                <w:tcW w:w="9639" w:type="dxa"/>
                <w:tcBorders>
                  <w:top w:val="single" w:sz="4" w:space="0" w:color="auto"/>
                  <w:left w:val="single" w:sz="4" w:space="0" w:color="auto"/>
                  <w:bottom w:val="single" w:sz="4" w:space="0" w:color="auto"/>
                  <w:right w:val="single" w:sz="4" w:space="0" w:color="auto"/>
                </w:tcBorders>
              </w:tcPr>
              <w:p>
                <w:pPr>
                  <w:tabs>
                    <w:tab w:val="left" w:pos="720"/>
                  </w:tabs>
                  <w:ind w:left="720" w:hanging="720"/>
                  <w:rPr>
                    <w:rFonts w:eastAsia="Calibri"/>
                    <w:szCs w:val="24"/>
                  </w:rPr>
                </w:pPr>
                <w:r>
                  <w:rPr>
                    <w:rFonts w:eastAsia="Calibri"/>
                    <w:szCs w:val="24"/>
                  </w:rPr>
                  <w:t>1.</w:t>
                  <w:tab/>
                  <w:t>Mama turi sunkią fizinę, psichinę, proto ar kompleksinę negalią. Pergyvena stiprius ūmius ar ilgalaikius stresus. Neturi galimybės suprasti vaiko jausmus ir poreikius bei pasirūpinti savo vaiku esant skirtingoms situacijoms namuose ar išvykus iš namų, sėkmingai funkcionuoti gaunant pagalbą.</w:t>
                </w:r>
              </w:p>
              <w:p>
                <w:pPr>
                  <w:tabs>
                    <w:tab w:val="left" w:pos="720"/>
                  </w:tabs>
                  <w:ind w:left="720" w:hanging="720"/>
                  <w:rPr>
                    <w:rFonts w:eastAsia="Calibri"/>
                    <w:szCs w:val="24"/>
                  </w:rPr>
                </w:pPr>
                <w:r>
                  <w:rPr>
                    <w:rFonts w:eastAsia="Calibri"/>
                    <w:szCs w:val="24"/>
                  </w:rPr>
                  <w:t>2.</w:t>
                  <w:tab/>
                  <w:t xml:space="preserve">Vaikas turi sunkią fizinę, proto ar kompleksinę negalią, kuri reikalauja ypatingai daug papildomų motinos pastangų juo pasirūpinti. </w:t>
                </w:r>
              </w:p>
              <w:p>
                <w:pPr>
                  <w:tabs>
                    <w:tab w:val="left" w:pos="720"/>
                  </w:tabs>
                  <w:ind w:left="720" w:hanging="720"/>
                  <w:rPr>
                    <w:rFonts w:eastAsia="Calibri"/>
                    <w:szCs w:val="24"/>
                  </w:rPr>
                </w:pPr>
                <w:r>
                  <w:rPr>
                    <w:rFonts w:eastAsia="Calibri"/>
                    <w:szCs w:val="24"/>
                  </w:rPr>
                  <w:t>3.</w:t>
                  <w:tab/>
                  <w:t xml:space="preserve">Kriterijai, įvertinti abiejose skalėse 5 balais, turėtų būti aptarti ir patikslintas pagalbos poreikis tėvams. </w:t>
                </w:r>
              </w:p>
            </w:tc>
          </w:tr>
        </w:tbl>
        <w:p>
          <w:pPr>
            <w:suppressAutoHyphens/>
            <w:rPr>
              <w:color w:val="000000"/>
              <w:szCs w:val="24"/>
            </w:rPr>
          </w:pPr>
          <w:r>
            <w:rPr>
              <w:color w:val="000000"/>
              <w:szCs w:val="24"/>
            </w:rPr>
            <w:t>Pastabos: klausimyną pildo šeimų lankymo specialistas.</w:t>
          </w:r>
        </w:p>
        <w:sdt>
          <w:sdtPr>
            <w:alias w:val="pabaiga"/>
            <w:tag w:val="part_5eb34123424b4adb9fccc37c6dc4cac4"/>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2" Abbr="32 pr." Title="MOTINOS SAVIVEIKSMINGUMO SKALĖ" DocPartId="bd69bfdfaad84c8986620718650b7024" PartId="e49f35c83f7b4edf976145644c91b557">
    <Part Type="pabaiga" DocPartId="d7f55a84ef78499d863af0e0482ccba9" PartId="5eb34123424b4adb9fccc37c6dc4cac4"/>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E6034E-0D56-4589-9788-B2A907F9856B}">
  <ds:schemaRefs>
    <ds:schemaRef ds:uri="http://schemas.openxmlformats.org/officeDocument/2006/bibliography"/>
  </ds:schemaRefs>
</ds:datastoreItem>
</file>

<file path=customXml/itemProps5.xml><?xml version="1.0" encoding="utf-8"?>
<ds:datastoreItem xmlns:ds="http://schemas.openxmlformats.org/officeDocument/2006/customXml" ds:itemID="{264A5C25-209C-4C7B-B6C9-1D5DE22B98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747</Words>
  <Characters>4989</Characters>
  <Application>Microsoft Office Word</Application>
  <DocSecurity>4</DocSecurity>
  <Lines>237</Lines>
  <Paragraphs>104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5632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