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7 pr."/>
        <w:tag w:val="part_83249324a67740a2a4714978827381ee"/>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83249324a67740a2a4714978827381ee"/>
              <w:lock w:val="sdtLocked"/>
              <w:richText/>
            </w:sdtPr>
            <w:sdtContent>
              <w:r>
                <w:rPr>
                  <w:color w:val="242424"/>
                  <w:szCs w:val="24"/>
                  <w:lang w:eastAsia="lt-LT"/>
                </w:rPr>
                <w:t>27</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83249324a67740a2a4714978827381ee"/>
              <w:lock w:val="sdtLocked"/>
              <w:richText/>
            </w:sdtPr>
            <w:sdtContent>
              <w:r>
                <w:rPr>
                  <w:szCs w:val="24"/>
                  <w:lang w:eastAsia="lt-LT"/>
                </w:rPr>
                <w:t>NAMŲ APLINKOS SAUGUMAS KŪDIKIUI</w:t>
              </w:r>
            </w:sdtContent>
          </w:sdt>
        </w:p>
        <w:p>
          <w:pPr>
            <w:jc w:val="center"/>
            <w:rPr>
              <w:b/>
              <w:bCs/>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51"/>
            <w:gridCol w:w="2693"/>
          </w:tblGrid>
          <w:tr>
            <w:tc>
              <w:tcPr>
                <w:tcW w:w="8251" w:type="dxa"/>
              </w:tcPr>
              <w:p>
                <w:pPr>
                  <w:rPr>
                    <w:szCs w:val="24"/>
                  </w:rPr>
                </w:pPr>
                <w:r>
                  <w:rPr>
                    <w:szCs w:val="24"/>
                  </w:rPr>
                  <w:t>VIZITO DATA:</w:t>
                </w:r>
              </w:p>
            </w:tc>
            <w:tc>
              <w:tcPr>
                <w:tcW w:w="2693" w:type="dxa"/>
              </w:tcPr>
              <w:p>
                <w:pPr>
                  <w:rPr>
                    <w:szCs w:val="24"/>
                  </w:rPr>
                </w:pPr>
                <w:r>
                  <w:rPr>
                    <w:szCs w:val="24"/>
                  </w:rPr>
                  <w:t>Nustatytas rizikos lygis:</w:t>
                </w:r>
              </w:p>
            </w:tc>
          </w:tr>
          <w:tr>
            <w:tc>
              <w:tcPr>
                <w:tcW w:w="8251" w:type="dxa"/>
              </w:tcPr>
              <w:p>
                <w:pPr>
                  <w:rPr>
                    <w:szCs w:val="24"/>
                  </w:rPr>
                </w:pPr>
                <w:r>
                  <w:rPr>
                    <w:szCs w:val="24"/>
                  </w:rPr>
                  <w:t>VIZITO NR. :</w:t>
                </w:r>
              </w:p>
            </w:tc>
            <w:tc>
              <w:tcPr>
                <w:tcW w:w="2693" w:type="dxa"/>
                <w:vMerge w:val="restart"/>
              </w:tcPr>
              <w:p>
                <w:pPr>
                  <w:rPr>
                    <w:szCs w:val="24"/>
                  </w:rPr>
                </w:pPr>
              </w:p>
            </w:tc>
          </w:tr>
          <w:tr>
            <w:tc>
              <w:tcPr>
                <w:tcW w:w="8251" w:type="dxa"/>
              </w:tcPr>
              <w:p>
                <w:pPr>
                  <w:rPr>
                    <w:szCs w:val="24"/>
                  </w:rPr>
                </w:pPr>
                <w:r>
                  <w:rPr>
                    <w:szCs w:val="24"/>
                  </w:rPr>
                  <w:t>ŠLS VARDAS PAVARDĖ:</w:t>
                </w:r>
              </w:p>
            </w:tc>
            <w:tc>
              <w:tcPr>
                <w:tcW w:w="2693" w:type="dxa"/>
                <w:vMerge/>
              </w:tcPr>
              <w:p>
                <w:pPr>
                  <w:rPr>
                    <w:szCs w:val="24"/>
                  </w:rPr>
                </w:pPr>
              </w:p>
            </w:tc>
          </w:tr>
          <w:tr>
            <w:tc>
              <w:tcPr>
                <w:tcW w:w="8251" w:type="dxa"/>
              </w:tcPr>
              <w:p>
                <w:pPr>
                  <w:rPr>
                    <w:szCs w:val="24"/>
                  </w:rPr>
                </w:pPr>
                <w:r>
                  <w:rPr>
                    <w:szCs w:val="24"/>
                  </w:rPr>
                  <w:t>MAMOS VARDAS PAVARDĖ:</w:t>
                </w:r>
              </w:p>
            </w:tc>
            <w:tc>
              <w:tcPr>
                <w:tcW w:w="2693" w:type="dxa"/>
                <w:vMerge/>
              </w:tcPr>
              <w:p>
                <w:pPr>
                  <w:rPr>
                    <w:szCs w:val="24"/>
                  </w:rPr>
                </w:pPr>
              </w:p>
            </w:tc>
          </w:tr>
          <w:tr>
            <w:tc>
              <w:tcPr>
                <w:tcW w:w="10944" w:type="dxa"/>
                <w:gridSpan w:val="2"/>
              </w:tcPr>
              <w:p>
                <w:pPr>
                  <w:rPr>
                    <w:szCs w:val="24"/>
                  </w:rPr>
                </w:pPr>
                <w:r>
                  <w:rPr>
                    <w:szCs w:val="24"/>
                  </w:rPr>
                  <w:t>Svarbu įvertinti namų aplinkos saugumą vaikui, kad būtų išvengta susižeidimų ir traumų bei nelaimingų atsitikimų, esant poreikiu, suteikti tinkamų žinių bei pamokyti.</w:t>
                </w:r>
              </w:p>
              <w:p>
                <w:pPr>
                  <w:rPr>
                    <w:szCs w:val="24"/>
                  </w:rPr>
                </w:pPr>
                <w:r>
                  <w:rPr>
                    <w:szCs w:val="24"/>
                  </w:rPr>
                  <w:t>Vertinant kiekvieną kriterijų pažymima „T – Taip”, “N – Ne” arba “O- Nėra šiuose namuose”.</w:t>
                </w:r>
              </w:p>
              <w:p>
                <w:pPr>
                  <w:rPr>
                    <w:szCs w:val="24"/>
                  </w:rPr>
                </w:pPr>
                <w:r>
                  <w:rPr>
                    <w:szCs w:val="24"/>
                  </w:rPr>
                  <w:t xml:space="preserve">Vienas ir du neigiami atsakymai neturėtų kelti rūpesčių. Visgi jei yra daugiau neigiamų atsakymų išvardintų pasirengimo tėvystei kriterijų sąraše, reiktų su šeima aptarti ir stengtis užtikrinti saugią aplinką vaikui. </w:t>
                </w:r>
              </w:p>
              <w:p>
                <w:pPr>
                  <w:rPr>
                    <w:szCs w:val="24"/>
                  </w:rPr>
                </w:pPr>
                <w:r>
                  <w:rPr>
                    <w:szCs w:val="24"/>
                  </w:rPr>
                  <w:t>Rizikos faktoriai:</w:t>
                </w:r>
              </w:p>
              <w:p>
                <w:pPr>
                  <w:rPr>
                    <w:szCs w:val="24"/>
                  </w:rPr>
                </w:pPr>
                <w:r>
                  <w:rPr>
                    <w:szCs w:val="24"/>
                  </w:rPr>
                  <w:t xml:space="preserve">1. Saugi namų vidaus aplinka. </w:t>
                </w:r>
              </w:p>
              <w:p>
                <w:pPr>
                  <w:rPr>
                    <w:szCs w:val="24"/>
                  </w:rPr>
                </w:pPr>
                <w:r>
                  <w:rPr>
                    <w:szCs w:val="24"/>
                  </w:rPr>
                  <w:t xml:space="preserve">2. Saugus vaiko kambarys, pritaikytas vaiko poreikiams. </w:t>
                </w:r>
              </w:p>
              <w:p>
                <w:pPr>
                  <w:rPr>
                    <w:szCs w:val="24"/>
                  </w:rPr>
                </w:pPr>
                <w:r>
                  <w:rPr>
                    <w:szCs w:val="24"/>
                  </w:rPr>
                  <w:t xml:space="preserve">3. Saugi aplinka kieme. </w:t>
                </w:r>
              </w:p>
            </w:tc>
          </w:tr>
        </w:tbl>
        <w:p>
          <w:pPr>
            <w:spacing w:line="276" w:lineRule="auto"/>
            <w:rPr>
              <w:rFonts w:eastAsia="Calibri"/>
              <w:szCs w:val="24"/>
            </w:rPr>
          </w:pPr>
        </w:p>
        <w:p>
          <w:pPr>
            <w:rPr>
              <w:sz w:val="18"/>
              <w:szCs w:val="18"/>
            </w:rPr>
          </w:pP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483"/>
            <w:gridCol w:w="1647"/>
            <w:gridCol w:w="1779"/>
            <w:gridCol w:w="1810"/>
            <w:gridCol w:w="2917"/>
          </w:tblGrid>
          <w:tr>
            <w:trPr>
              <w:trHeight w:val="986"/>
              <w:jc w:val="center"/>
            </w:trPr>
            <w:tc>
              <w:tcPr>
                <w:tcW w:w="433" w:type="dxa"/>
                <w:vMerge w:val="restart"/>
              </w:tcPr>
              <w:p>
                <w:pPr>
                  <w:jc w:val="center"/>
                  <w:rPr>
                    <w:rFonts w:eastAsia="Calibri"/>
                    <w:b/>
                    <w:bCs/>
                    <w:szCs w:val="24"/>
                  </w:rPr>
                </w:pPr>
              </w:p>
              <w:p>
                <w:pPr>
                  <w:rPr>
                    <w:rFonts w:eastAsia="Calibri"/>
                    <w:b/>
                    <w:bCs/>
                    <w:szCs w:val="24"/>
                  </w:rPr>
                </w:pPr>
              </w:p>
              <w:p>
                <w:pPr>
                  <w:rPr>
                    <w:rFonts w:eastAsia="Calibri"/>
                    <w:b/>
                    <w:bCs/>
                    <w:szCs w:val="24"/>
                  </w:rPr>
                </w:pPr>
                <w:r>
                  <w:rPr>
                    <w:rFonts w:eastAsia="Calibri"/>
                    <w:b/>
                    <w:bCs/>
                    <w:szCs w:val="24"/>
                  </w:rPr>
                  <w:t xml:space="preserve">Eil. Nr. </w:t>
                </w:r>
              </w:p>
            </w:tc>
            <w:tc>
              <w:tcPr>
                <w:tcW w:w="3137" w:type="dxa"/>
                <w:gridSpan w:val="2"/>
              </w:tcPr>
              <w:p>
                <w:pPr>
                  <w:rPr>
                    <w:rFonts w:eastAsia="Calibri"/>
                    <w:b/>
                    <w:bCs/>
                    <w:szCs w:val="24"/>
                  </w:rPr>
                </w:pPr>
              </w:p>
            </w:tc>
            <w:tc>
              <w:tcPr>
                <w:tcW w:w="6636" w:type="dxa"/>
                <w:gridSpan w:val="3"/>
              </w:tcPr>
              <w:p>
                <w:pPr>
                  <w:rPr>
                    <w:rFonts w:eastAsia="Calibri"/>
                    <w:szCs w:val="24"/>
                  </w:rPr>
                </w:pPr>
                <w:r>
                  <w:rPr>
                    <w:rFonts w:eastAsia="Calibri"/>
                    <w:szCs w:val="24"/>
                    <w:lang w:val="en-US"/>
                  </w:rPr>
                  <mc:AlternateContent>
                    <mc:Choice Requires="wps">
                      <w:drawing>
                        <wp:anchor distT="0" distB="0" distL="114300" distR="114300" simplePos="0" relativeHeight="251659264" behindDoc="0" locked="0" layoutInCell="1" allowOverlap="1" wp14:anchorId="72399CDA" wp14:editId="274348DD">
                          <wp:simplePos x="0" y="0"/>
                          <wp:positionH relativeFrom="column">
                            <wp:posOffset>2521199</wp:posOffset>
                          </wp:positionH>
                          <wp:positionV relativeFrom="paragraph">
                            <wp:posOffset>69215</wp:posOffset>
                          </wp:positionV>
                          <wp:extent cx="258445" cy="198407"/>
                          <wp:effectExtent l="0" t="0" r="27305" b="11430"/>
                          <wp:wrapNone/>
                          <wp:docPr id="4" name="Stačiakampis 4"/>
                          <wp:cNvGraphicFramePr/>
                          <a:graphic xmlns:a="http://schemas.openxmlformats.org/drawingml/2006/main">
                            <a:graphicData uri="http://schemas.microsoft.com/office/word/2010/wordprocessingShape">
                              <wps:wsp>
                                <wps:cNvSpPr/>
                                <wps:spPr>
                                  <a:xfrm>
                                    <a:off x="0" y="0"/>
                                    <a:ext cx="258445" cy="198407"/>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2482581" id="Stačiakampis 4" o:spid="_x0000_s1026" style="position:absolute;margin-left:198.5pt;margin-top:5.45pt;width:20.35pt;height:1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EEckYwIAAO4EAAAOAAAAZHJzL2Uyb0RvYy54bWysVEtv2zAMvg/YfxB0X+0E6ZoadYqgRYYB RVugHXpmZSk2IImapMTJfv0o2W3Sx2lYDgopUnx8/OiLy53RbCt96NDWfHJSciatwKaz65r/elx9 m3MWItgGNFpZ870M/HLx9ctF7yo5xRZ1Iz2jIDZUvat5G6OriiKIVhoIJ+ikJaNCbyCS6tdF46Gn 6EYX07L8XvToG+dRyBDo9now8kWOr5QU8U6pICPTNafaYj59Pp/TWSwuoFp7cG0nxjLgH6ow0FlK +hrqGiKwje8+hDKd8BhQxROBpkClOiFzD9TNpHzXzUMLTuZeCJzgXmEK/y+suN0+uHtPMPQuVIHE 1MVOeZP+qT62y2DtX8GSu8gEXU5P57PZKWeCTJPz+aw8S2AWh8fOh/hDomFJqLmnWWSIYHsT4uD6 4pJyBdRds+q0zso+XGnPtkBjo2k32HOmIUS6rPkq/8Zsb55py3qqZnpW0qwFEJ+UhkiicU3Ng11z BnpNRBXR51revA4fkj5Ss0eJy/z7LHFq5BpCO1ScoyY3qEwXid+6MzWfH7/WNlllZugIx2EASXrG Zn/vmceBssGJVUdJbgiEe/DEUeqQ9i7e0aE0Uts4Spy16P98dp/8iTpk5awnzhMkvzfgJbX40xKp ziezWVqSrMxOz6ak+GPL87HFbswV0nwmtOFOZDH5R/0iKo/midZzmbKSCayg3AP4o3IVh12kBRdy ucxutBgO4o19cCIFTzgleB93T+DdSKZIg7nFl/2A6h2nBt/00uJyE1F1mXAHXImoSaGlypQdPwBp a4/17HX4TC3+AgAA//8DAFBLAwQUAAYACAAAACEASsDMid4AAAAJAQAADwAAAGRycy9kb3ducmV2 LnhtbEyPT0vEMBDF74LfIYzgzU12V6ytTRcRBBE8WP+cs83YlG0mpUm7dT+940lv83iPN79X7hbf ixnH2AXSsF4pEEhNsB21Gt7fHq9uQcRkyJo+EGr4xgi76vysNIUNR3rFuU6t4BKKhdHgUhoKKWPj 0Ju4CgMSe19h9CaxHFtpR3Pkct/LjVI30puO+IMzAz44bA715DU8x9M0Nza+LG5xT/nHpzrVdND6 8mK5vwORcEl/YfjFZ3SomGkfJrJR9Bq2ecZbEhsqB8GB622WgdjzsVmDrEr5f0H1AwAA//8DAFBL AQItABQABgAIAAAAIQC2gziS/gAAAOEBAAATAAAAAAAAAAAAAAAAAAAAAABbQ29udGVudF9UeXBl c10ueG1sUEsBAi0AFAAGAAgAAAAhADj9If/WAAAAlAEAAAsAAAAAAAAAAAAAAAAALwEAAF9yZWxz Ly5yZWxzUEsBAi0AFAAGAAgAAAAhAEIQRyRjAgAA7gQAAA4AAAAAAAAAAAAAAAAALgIAAGRycy9l Mm9Eb2MueG1sUEsBAi0AFAAGAAgAAAAhAErAzIneAAAACQEAAA8AAAAAAAAAAAAAAAAAvQQAAGRy cy9kb3ducmV2LnhtbFBLBQYAAAAABAAEAPMAAADIBQAAAAA= " fillcolor="window" strokecolor="windowText" strokeweight="1pt"/>
                      </w:pict>
                    </mc:Fallback>
                  </mc:AlternateContent>
                </w:r>
                <w:r>
                  <w:rPr>
                    <w:rFonts w:eastAsia="Calibri"/>
                    <w:szCs w:val="24"/>
                  </w:rPr>
                  <w:t xml:space="preserve">Šeima gyvena daugiabučio namo bute   </w:t>
                </w:r>
              </w:p>
              <w:p>
                <w:pPr>
                  <w:rPr>
                    <w:rFonts w:eastAsia="Calibri"/>
                    <w:szCs w:val="24"/>
                  </w:rPr>
                </w:pPr>
                <w:r>
                  <w:rPr>
                    <w:rFonts w:eastAsia="Calibri"/>
                    <w:szCs w:val="24"/>
                    <w:lang w:val="en-US"/>
                  </w:rPr>
                  <mc:AlternateContent>
                    <mc:Choice Requires="wps">
                      <w:drawing>
                        <wp:anchor distT="0" distB="0" distL="114300" distR="114300" simplePos="0" relativeHeight="251660288" behindDoc="0" locked="0" layoutInCell="1" allowOverlap="1" wp14:anchorId="5B4F0EE4" wp14:editId="02FB1B0C">
                          <wp:simplePos x="0" y="0"/>
                          <wp:positionH relativeFrom="column">
                            <wp:posOffset>2516809</wp:posOffset>
                          </wp:positionH>
                          <wp:positionV relativeFrom="paragraph">
                            <wp:posOffset>149860</wp:posOffset>
                          </wp:positionV>
                          <wp:extent cx="258793" cy="172528"/>
                          <wp:effectExtent l="0" t="0" r="27305" b="18415"/>
                          <wp:wrapNone/>
                          <wp:docPr id="5" name="Stačiakampis 5"/>
                          <wp:cNvGraphicFramePr/>
                          <a:graphic xmlns:a="http://schemas.openxmlformats.org/drawingml/2006/main">
                            <a:graphicData uri="http://schemas.microsoft.com/office/word/2010/wordprocessingShape">
                              <wps:wsp>
                                <wps:cNvSpPr/>
                                <wps:spPr>
                                  <a:xfrm>
                                    <a:off x="0" y="0"/>
                                    <a:ext cx="258793" cy="172528"/>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40F4319" id="Stačiakampis 5" o:spid="_x0000_s1026" style="position:absolute;margin-left:198.15pt;margin-top:11.8pt;width:20.4pt;height:1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JPlYZAIAAO4EAAAOAAAAZHJzL2Uyb0RvYy54bWysVEtv2zAMvg/YfxB0X5147ZIadYqgRYYB RVegHXpmZTkWIImapMTJfv0o2W3Sx2lYDgopUnx8/OiLy53RbCt9UGhrPj2ZcCatwEbZdc1/Pay+ zDkLEWwDGq2s+V4Gfrn4/Omid5UssUPdSM8oiA1V72rexeiqogiikwbCCTppydiiNxBJ9eui8dBT dKOLcjL5VvToG+dRyBDo9now8kWO37ZSxJ9tG2RkuuZUW8ynz+dTOovFBVRrD65TYiwD/qEKA8pS 0pdQ1xCBbbx6F8oo4TFgG08EmgLbVgmZe6BuppM33dx34GTuhcAJ7gWm8P/CitvtvbvzBEPvQhVI TF3sWm/SP9XHdhms/QtYcheZoMvybD47/8qZINN0Vp6V8wRmcXjsfIjfJRqWhJp7mkWGCLY3IQ6u zy4pV0CtmpXSOiv7cKU92wKNjabdYM+ZhhDpsuar/BuzvXqmLeupmnI2oVkLID61GiKJxjU1D3bN Geg1EVVEn2t59Tq8S/pAzR4lnuTfR4lTI9cQuqHiHDW5QWVUJH5rZWo+P36tbbLKzNARjsMAkvSE zf7OM48DZYMTK0VJbgiEO/DEUeqQ9i7+pKPVSG3jKHHWof/z0X3yJ+qQlbOeOE+Q/N6Al9TiD0uk Op+enqYlycrp2awkxR9bno4tdmOukOYzpQ13IovJP+pnsfVoHmk9lykrmcAKyj2APypXcdhFWnAh l8vsRovhIN7YeydS8IRTgvdh9wjejWSKNJhbfN4PqN5wavBNLy0uNxFblQl3wJWImhRaqkzZ8QOQ tvZYz16Hz9TiLwAAAP//AwBQSwMEFAAGAAgAAAAhAOg4tVjfAAAACQEAAA8AAABkcnMvZG93bnJl di54bWxMj8FOwzAQRO9I/IO1SNyo3QbSNmRTISQkhMSBQDm7sYmjxusodlLTr8ec4Liap5m35S7a ns169J0jhOVCANPUONVRi/Dx/nSzAeaDJCV7RxrhW3vYVZcXpSyUO9GbnuvQslRCvpAIJoSh4Nw3 RlvpF27QlLIvN1oZ0jm2XI3ylMptz1dC5NzKjtKCkYN+NLo51pNFePHnaW6Uf40mmuft/lOcazoi Xl/Fh3tgQcfwB8OvflKHKjkd3ETKsx4h2+ZZQhFWWQ4sAbfZegnsgHAnNsCrkv//oPoBAAD//wMA UEsBAi0AFAAGAAgAAAAhALaDOJL+AAAA4QEAABMAAAAAAAAAAAAAAAAAAAAAAFtDb250ZW50X1R5 cGVzXS54bWxQSwECLQAUAAYACAAAACEAOP0h/9YAAACUAQAACwAAAAAAAAAAAAAAAAAvAQAAX3Jl bHMvLnJlbHNQSwECLQAUAAYACAAAACEAZiT5WGQCAADuBAAADgAAAAAAAAAAAAAAAAAuAgAAZHJz L2Uyb0RvYy54bWxQSwECLQAUAAYACAAAACEA6Di1WN8AAAAJAQAADwAAAAAAAAAAAAAAAAC+BAAA ZHJzL2Rvd25yZXYueG1sUEsFBgAAAAAEAAQA8wAAAMoFAAAAAA== " fillcolor="window" strokecolor="windowText" strokeweight="1pt"/>
                      </w:pict>
                    </mc:Fallback>
                  </mc:AlternateContent>
                </w:r>
              </w:p>
              <w:p>
                <w:pPr>
                  <w:rPr>
                    <w:rFonts w:eastAsia="Calibri"/>
                    <w:b/>
                    <w:bCs/>
                    <w:szCs w:val="24"/>
                  </w:rPr>
                </w:pPr>
                <w:r>
                  <w:rPr>
                    <w:rFonts w:eastAsia="Calibri"/>
                    <w:szCs w:val="24"/>
                  </w:rPr>
                  <w:t xml:space="preserve">Šeima gyvena nuosavame name            </w:t>
                </w:r>
              </w:p>
            </w:tc>
          </w:tr>
          <w:tr>
            <w:trPr>
              <w:trHeight w:val="681"/>
              <w:jc w:val="center"/>
            </w:trPr>
            <w:tc>
              <w:tcPr>
                <w:tcW w:w="433" w:type="dxa"/>
                <w:vMerge/>
              </w:tcPr>
              <w:p>
                <w:pPr>
                  <w:jc w:val="center"/>
                  <w:rPr>
                    <w:rFonts w:eastAsia="Calibri"/>
                    <w:b/>
                    <w:bCs/>
                    <w:szCs w:val="24"/>
                  </w:rPr>
                </w:pPr>
              </w:p>
            </w:tc>
            <w:tc>
              <w:tcPr>
                <w:tcW w:w="4954" w:type="dxa"/>
                <w:gridSpan w:val="3"/>
                <w:vAlign w:val="center"/>
              </w:tcPr>
              <w:p>
                <w:pPr>
                  <w:jc w:val="center"/>
                  <w:rPr>
                    <w:rFonts w:eastAsia="Calibri"/>
                    <w:b/>
                    <w:bCs/>
                    <w:szCs w:val="24"/>
                  </w:rPr>
                </w:pPr>
                <w:r>
                  <w:rPr>
                    <w:rFonts w:eastAsia="Calibri"/>
                    <w:b/>
                    <w:bCs/>
                    <w:szCs w:val="24"/>
                  </w:rPr>
                  <w:t>Vertinimo kriterijai</w:t>
                </w:r>
              </w:p>
            </w:tc>
            <w:tc>
              <w:tcPr>
                <w:tcW w:w="1842" w:type="dxa"/>
                <w:vAlign w:val="center"/>
              </w:tcPr>
              <w:p>
                <w:pPr>
                  <w:rPr>
                    <w:rFonts w:eastAsia="Calibri"/>
                    <w:b/>
                    <w:bCs/>
                    <w:szCs w:val="24"/>
                  </w:rPr>
                </w:pPr>
                <w:r>
                  <w:rPr>
                    <w:rFonts w:eastAsia="Calibri"/>
                    <w:b/>
                    <w:bCs/>
                    <w:szCs w:val="24"/>
                  </w:rPr>
                  <w:t xml:space="preserve">T – </w:t>
                </w:r>
                <w:r>
                  <w:rPr>
                    <w:rFonts w:eastAsia="Calibri"/>
                    <w:bCs/>
                    <w:szCs w:val="24"/>
                  </w:rPr>
                  <w:t>Taip</w:t>
                </w:r>
              </w:p>
              <w:p>
                <w:pPr>
                  <w:rPr>
                    <w:rFonts w:eastAsia="Calibri"/>
                    <w:szCs w:val="24"/>
                  </w:rPr>
                </w:pPr>
                <w:r>
                  <w:rPr>
                    <w:rFonts w:eastAsia="Calibri"/>
                    <w:b/>
                    <w:bCs/>
                    <w:szCs w:val="24"/>
                  </w:rPr>
                  <w:t xml:space="preserve">N – </w:t>
                </w:r>
                <w:r>
                  <w:rPr>
                    <w:rFonts w:eastAsia="Calibri"/>
                    <w:szCs w:val="24"/>
                  </w:rPr>
                  <w:t>Ne</w:t>
                </w:r>
              </w:p>
              <w:p>
                <w:pPr>
                  <w:rPr>
                    <w:rFonts w:eastAsia="Calibri"/>
                    <w:b/>
                    <w:bCs/>
                    <w:szCs w:val="24"/>
                  </w:rPr>
                </w:pPr>
                <w:r>
                  <w:rPr>
                    <w:rFonts w:eastAsia="Calibri"/>
                    <w:b/>
                    <w:szCs w:val="24"/>
                  </w:rPr>
                  <w:t>O</w:t>
                </w:r>
                <w:r>
                  <w:rPr>
                    <w:rFonts w:eastAsia="Calibri"/>
                    <w:szCs w:val="24"/>
                  </w:rPr>
                  <w:t>- Nėra šiuose namuose</w:t>
                </w:r>
              </w:p>
            </w:tc>
            <w:tc>
              <w:tcPr>
                <w:tcW w:w="2977" w:type="dxa"/>
                <w:vAlign w:val="center"/>
              </w:tcPr>
              <w:p>
                <w:pPr>
                  <w:ind w:right="386"/>
                  <w:jc w:val="center"/>
                  <w:rPr>
                    <w:rFonts w:eastAsia="Calibri"/>
                    <w:b/>
                    <w:bCs/>
                    <w:szCs w:val="24"/>
                  </w:rPr>
                </w:pPr>
                <w:r>
                  <w:rPr>
                    <w:rFonts w:eastAsia="Calibri"/>
                    <w:b/>
                    <w:bCs/>
                    <w:szCs w:val="24"/>
                  </w:rPr>
                  <w:t>Pastabos</w:t>
                </w:r>
              </w:p>
            </w:tc>
          </w:tr>
          <w:tr>
            <w:trPr>
              <w:trHeight w:val="332"/>
              <w:jc w:val="center"/>
            </w:trPr>
            <w:tc>
              <w:tcPr>
                <w:tcW w:w="10206" w:type="dxa"/>
                <w:gridSpan w:val="6"/>
              </w:tcPr>
              <w:p>
                <w:pPr>
                  <w:ind w:left="2868"/>
                  <w:rPr>
                    <w:rFonts w:eastAsia="Calibri"/>
                    <w:b/>
                    <w:bCs/>
                    <w:szCs w:val="24"/>
                  </w:rPr>
                </w:pPr>
                <w:r>
                  <w:rPr>
                    <w:rFonts w:eastAsia="Calibri"/>
                    <w:b/>
                    <w:bCs/>
                    <w:szCs w:val="24"/>
                  </w:rPr>
                  <w:t>NAMŲ VIDAUS APLINKA</w:t>
                </w:r>
              </w:p>
            </w:tc>
          </w:tr>
          <w:tr>
            <w:trPr>
              <w:trHeight w:val="332"/>
              <w:jc w:val="center"/>
            </w:trPr>
            <w:tc>
              <w:tcPr>
                <w:tcW w:w="10206" w:type="dxa"/>
                <w:gridSpan w:val="6"/>
              </w:tcPr>
              <w:p>
                <w:pPr>
                  <w:ind w:left="596"/>
                  <w:jc w:val="both"/>
                  <w:rPr>
                    <w:rFonts w:eastAsia="Calibri"/>
                    <w:b/>
                    <w:bCs/>
                    <w:szCs w:val="24"/>
                  </w:rPr>
                </w:pPr>
                <w:r>
                  <w:rPr>
                    <w:rFonts w:eastAsia="Calibri"/>
                    <w:b/>
                    <w:bCs/>
                    <w:szCs w:val="24"/>
                  </w:rPr>
                  <w:t>VIRTUVĖ</w:t>
                </w:r>
              </w:p>
            </w:tc>
          </w:tr>
          <w:tr>
            <w:trPr>
              <w:trHeight w:val="615"/>
              <w:jc w:val="center"/>
            </w:trPr>
            <w:tc>
              <w:tcPr>
                <w:tcW w:w="433" w:type="dxa"/>
                <w:vAlign w:val="center"/>
              </w:tcPr>
              <w:p>
                <w:pPr>
                  <w:jc w:val="center"/>
                  <w:rPr>
                    <w:rFonts w:eastAsia="Calibri"/>
                    <w:b/>
                    <w:bCs/>
                    <w:szCs w:val="24"/>
                  </w:rPr>
                </w:pPr>
                <w:r>
                  <w:rPr>
                    <w:rFonts w:eastAsia="Calibri"/>
                    <w:b/>
                    <w:bCs/>
                    <w:szCs w:val="24"/>
                  </w:rPr>
                  <w:t>1.</w:t>
                </w:r>
              </w:p>
            </w:tc>
            <w:tc>
              <w:tcPr>
                <w:tcW w:w="4954" w:type="dxa"/>
                <w:gridSpan w:val="3"/>
                <w:vAlign w:val="center"/>
              </w:tcPr>
              <w:p>
                <w:pPr>
                  <w:rPr>
                    <w:rFonts w:eastAsia="Calibri"/>
                    <w:szCs w:val="24"/>
                  </w:rPr>
                </w:pPr>
                <w:r>
                  <w:rPr>
                    <w:rFonts w:eastAsia="Calibri"/>
                    <w:szCs w:val="24"/>
                  </w:rPr>
                  <w:t>Smulkūs daiktai yra nepasiekiamoje vietoje</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615"/>
              <w:jc w:val="center"/>
            </w:trPr>
            <w:tc>
              <w:tcPr>
                <w:tcW w:w="433" w:type="dxa"/>
                <w:vAlign w:val="center"/>
              </w:tcPr>
              <w:p>
                <w:pPr>
                  <w:jc w:val="center"/>
                  <w:rPr>
                    <w:rFonts w:eastAsia="Calibri"/>
                    <w:b/>
                    <w:bCs/>
                    <w:szCs w:val="24"/>
                  </w:rPr>
                </w:pPr>
                <w:r>
                  <w:rPr>
                    <w:rFonts w:eastAsia="Calibri"/>
                    <w:b/>
                    <w:bCs/>
                    <w:szCs w:val="24"/>
                  </w:rPr>
                  <w:t>2.</w:t>
                </w:r>
              </w:p>
            </w:tc>
            <w:tc>
              <w:tcPr>
                <w:tcW w:w="4954" w:type="dxa"/>
                <w:gridSpan w:val="3"/>
                <w:vAlign w:val="center"/>
              </w:tcPr>
              <w:p>
                <w:pPr>
                  <w:rPr>
                    <w:rFonts w:eastAsia="Calibri"/>
                    <w:szCs w:val="24"/>
                  </w:rPr>
                </w:pPr>
                <w:r>
                  <w:rPr>
                    <w:rFonts w:eastAsia="Calibri"/>
                    <w:szCs w:val="24"/>
                  </w:rPr>
                  <w:t>Buitinės, cheminės priemonės yra saugiai laikomos vaikui nepasiekiamoje vietoje</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615"/>
              <w:jc w:val="center"/>
            </w:trPr>
            <w:tc>
              <w:tcPr>
                <w:tcW w:w="433" w:type="dxa"/>
                <w:vAlign w:val="center"/>
              </w:tcPr>
              <w:p>
                <w:pPr>
                  <w:jc w:val="center"/>
                  <w:rPr>
                    <w:rFonts w:eastAsia="Calibri"/>
                    <w:b/>
                    <w:bCs/>
                    <w:szCs w:val="24"/>
                  </w:rPr>
                </w:pPr>
                <w:r>
                  <w:rPr>
                    <w:rFonts w:eastAsia="Calibri"/>
                    <w:b/>
                    <w:bCs/>
                    <w:szCs w:val="24"/>
                  </w:rPr>
                  <w:t>3.</w:t>
                </w:r>
              </w:p>
            </w:tc>
            <w:tc>
              <w:tcPr>
                <w:tcW w:w="4954" w:type="dxa"/>
                <w:gridSpan w:val="3"/>
                <w:vAlign w:val="center"/>
              </w:tcPr>
              <w:p>
                <w:pPr>
                  <w:rPr>
                    <w:rFonts w:eastAsia="Calibri"/>
                    <w:szCs w:val="24"/>
                  </w:rPr>
                </w:pPr>
                <w:r>
                  <w:rPr>
                    <w:rFonts w:eastAsia="Calibri"/>
                    <w:szCs w:val="24"/>
                  </w:rPr>
                  <w:t>Nėra lengvai atidaromų spintelių</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615"/>
              <w:jc w:val="center"/>
            </w:trPr>
            <w:tc>
              <w:tcPr>
                <w:tcW w:w="433" w:type="dxa"/>
                <w:vAlign w:val="center"/>
              </w:tcPr>
              <w:p>
                <w:pPr>
                  <w:jc w:val="center"/>
                  <w:rPr>
                    <w:rFonts w:eastAsia="Calibri"/>
                    <w:b/>
                    <w:bCs/>
                    <w:szCs w:val="24"/>
                  </w:rPr>
                </w:pPr>
                <w:r>
                  <w:rPr>
                    <w:rFonts w:eastAsia="Calibri"/>
                    <w:b/>
                    <w:bCs/>
                    <w:szCs w:val="24"/>
                  </w:rPr>
                  <w:t>4.</w:t>
                </w:r>
              </w:p>
            </w:tc>
            <w:tc>
              <w:tcPr>
                <w:tcW w:w="4954" w:type="dxa"/>
                <w:gridSpan w:val="3"/>
                <w:vAlign w:val="center"/>
              </w:tcPr>
              <w:p>
                <w:pPr>
                  <w:rPr>
                    <w:rFonts w:eastAsia="Calibri"/>
                    <w:szCs w:val="24"/>
                  </w:rPr>
                </w:pPr>
                <w:r>
                  <w:rPr>
                    <w:rFonts w:eastAsia="Calibri"/>
                    <w:szCs w:val="24"/>
                  </w:rPr>
                  <w:t>Aštrūs įrankiai saugomi vaikui nepasiekiamoje vietoje</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615"/>
              <w:jc w:val="center"/>
            </w:trPr>
            <w:tc>
              <w:tcPr>
                <w:tcW w:w="433" w:type="dxa"/>
                <w:vAlign w:val="center"/>
              </w:tcPr>
              <w:p>
                <w:pPr>
                  <w:jc w:val="center"/>
                  <w:rPr>
                    <w:rFonts w:eastAsia="Calibri"/>
                    <w:b/>
                    <w:bCs/>
                    <w:szCs w:val="24"/>
                  </w:rPr>
                </w:pPr>
                <w:r>
                  <w:rPr>
                    <w:rFonts w:eastAsia="Calibri"/>
                    <w:b/>
                    <w:bCs/>
                    <w:szCs w:val="24"/>
                  </w:rPr>
                  <w:t>5.</w:t>
                </w:r>
              </w:p>
            </w:tc>
            <w:tc>
              <w:tcPr>
                <w:tcW w:w="4954" w:type="dxa"/>
                <w:gridSpan w:val="3"/>
                <w:vAlign w:val="center"/>
              </w:tcPr>
              <w:p>
                <w:pPr>
                  <w:rPr>
                    <w:rFonts w:eastAsia="Calibri"/>
                    <w:szCs w:val="24"/>
                  </w:rPr>
                </w:pPr>
                <w:r>
                  <w:rPr>
                    <w:rFonts w:eastAsia="Calibri"/>
                    <w:szCs w:val="24"/>
                  </w:rPr>
                  <w:t>Puodų rankenos virtuvėje nusuktos į viryklės vidų</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615"/>
              <w:jc w:val="center"/>
            </w:trPr>
            <w:tc>
              <w:tcPr>
                <w:tcW w:w="433" w:type="dxa"/>
                <w:vAlign w:val="center"/>
              </w:tcPr>
              <w:p>
                <w:pPr>
                  <w:jc w:val="center"/>
                  <w:rPr>
                    <w:rFonts w:eastAsia="Calibri"/>
                    <w:b/>
                    <w:bCs/>
                    <w:szCs w:val="24"/>
                  </w:rPr>
                </w:pPr>
                <w:r>
                  <w:rPr>
                    <w:rFonts w:eastAsia="Calibri"/>
                    <w:b/>
                    <w:bCs/>
                    <w:szCs w:val="24"/>
                  </w:rPr>
                  <w:t>6.</w:t>
                </w:r>
              </w:p>
            </w:tc>
            <w:tc>
              <w:tcPr>
                <w:tcW w:w="4954" w:type="dxa"/>
                <w:gridSpan w:val="3"/>
                <w:vAlign w:val="center"/>
              </w:tcPr>
              <w:p>
                <w:pPr>
                  <w:rPr>
                    <w:rFonts w:eastAsia="Calibri"/>
                    <w:szCs w:val="24"/>
                  </w:rPr>
                </w:pPr>
                <w:r>
                  <w:rPr>
                    <w:rFonts w:eastAsia="Calibri"/>
                    <w:szCs w:val="24"/>
                  </w:rPr>
                  <w:t>Žiebtuvėliai ir degtukai laikomi vaikui nepasiekiamoje vietoje</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615"/>
              <w:jc w:val="center"/>
            </w:trPr>
            <w:tc>
              <w:tcPr>
                <w:tcW w:w="433" w:type="dxa"/>
                <w:vAlign w:val="center"/>
              </w:tcPr>
              <w:p>
                <w:pPr>
                  <w:jc w:val="center"/>
                  <w:rPr>
                    <w:rFonts w:eastAsia="Calibri"/>
                    <w:b/>
                    <w:bCs/>
                    <w:szCs w:val="24"/>
                  </w:rPr>
                </w:pPr>
                <w:r>
                  <w:rPr>
                    <w:rFonts w:eastAsia="Calibri"/>
                    <w:b/>
                    <w:bCs/>
                    <w:szCs w:val="24"/>
                  </w:rPr>
                  <w:t>7.</w:t>
                </w:r>
              </w:p>
            </w:tc>
            <w:tc>
              <w:tcPr>
                <w:tcW w:w="4954" w:type="dxa"/>
                <w:gridSpan w:val="3"/>
                <w:vAlign w:val="center"/>
              </w:tcPr>
              <w:p>
                <w:pPr>
                  <w:rPr>
                    <w:rFonts w:eastAsia="Calibri"/>
                    <w:szCs w:val="24"/>
                  </w:rPr>
                </w:pPr>
                <w:r>
                  <w:rPr>
                    <w:rFonts w:eastAsia="Calibri"/>
                    <w:szCs w:val="24"/>
                  </w:rPr>
                  <w:t>Virdulys laikomas vaikui nepasiekiamoje vietoje</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615"/>
              <w:jc w:val="center"/>
            </w:trPr>
            <w:tc>
              <w:tcPr>
                <w:tcW w:w="433" w:type="dxa"/>
                <w:vAlign w:val="center"/>
              </w:tcPr>
              <w:p>
                <w:pPr>
                  <w:jc w:val="center"/>
                  <w:rPr>
                    <w:rFonts w:eastAsia="Calibri"/>
                    <w:b/>
                    <w:bCs/>
                    <w:szCs w:val="24"/>
                  </w:rPr>
                </w:pPr>
                <w:r>
                  <w:rPr>
                    <w:rFonts w:eastAsia="Calibri"/>
                    <w:b/>
                    <w:bCs/>
                    <w:szCs w:val="24"/>
                  </w:rPr>
                  <w:t>8.</w:t>
                </w:r>
              </w:p>
            </w:tc>
            <w:tc>
              <w:tcPr>
                <w:tcW w:w="4954" w:type="dxa"/>
                <w:gridSpan w:val="3"/>
                <w:vAlign w:val="center"/>
              </w:tcPr>
              <w:p>
                <w:pPr>
                  <w:rPr>
                    <w:rFonts w:eastAsia="Calibri"/>
                    <w:szCs w:val="24"/>
                  </w:rPr>
                </w:pPr>
                <w:r>
                  <w:rPr>
                    <w:rFonts w:eastAsia="Calibri"/>
                    <w:szCs w:val="24"/>
                  </w:rPr>
                  <w:t>Staltiesės vaikui nepasiekiamos, kad nenutrauktų</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295"/>
              <w:jc w:val="center"/>
            </w:trPr>
            <w:tc>
              <w:tcPr>
                <w:tcW w:w="10206" w:type="dxa"/>
                <w:gridSpan w:val="6"/>
                <w:vAlign w:val="center"/>
              </w:tcPr>
              <w:p>
                <w:pPr>
                  <w:ind w:left="2726"/>
                  <w:rPr>
                    <w:rFonts w:eastAsia="Calibri"/>
                    <w:b/>
                    <w:bCs/>
                    <w:szCs w:val="24"/>
                  </w:rPr>
                </w:pPr>
                <w:r>
                  <w:rPr>
                    <w:rFonts w:eastAsia="Calibri"/>
                    <w:b/>
                    <w:bCs/>
                    <w:szCs w:val="24"/>
                  </w:rPr>
                  <w:t>VAIKO KAMBARYS</w:t>
                </w:r>
              </w:p>
            </w:tc>
          </w:tr>
          <w:tr>
            <w:trPr>
              <w:trHeight w:val="404"/>
              <w:jc w:val="center"/>
            </w:trPr>
            <w:tc>
              <w:tcPr>
                <w:tcW w:w="433" w:type="dxa"/>
                <w:vMerge w:val="restart"/>
                <w:vAlign w:val="center"/>
              </w:tcPr>
              <w:p>
                <w:pPr>
                  <w:rPr>
                    <w:rFonts w:eastAsia="Calibri"/>
                    <w:b/>
                    <w:bCs/>
                    <w:szCs w:val="24"/>
                  </w:rPr>
                </w:pPr>
                <w:r>
                  <w:rPr>
                    <w:rFonts w:eastAsia="Calibri"/>
                    <w:b/>
                    <w:bCs/>
                    <w:szCs w:val="24"/>
                  </w:rPr>
                  <w:t>9.</w:t>
                </w:r>
              </w:p>
            </w:tc>
            <w:tc>
              <w:tcPr>
                <w:tcW w:w="1483" w:type="dxa"/>
                <w:vMerge w:val="restart"/>
                <w:vAlign w:val="center"/>
              </w:tcPr>
              <w:p>
                <w:pPr>
                  <w:jc w:val="center"/>
                  <w:rPr>
                    <w:rFonts w:eastAsia="Calibri"/>
                    <w:szCs w:val="24"/>
                  </w:rPr>
                </w:pPr>
                <w:r>
                  <w:rPr>
                    <w:rFonts w:eastAsia="Calibri"/>
                    <w:szCs w:val="24"/>
                  </w:rPr>
                  <w:t>Dviaukštė vaiko lova</w:t>
                </w:r>
              </w:p>
              <w:p>
                <w:pPr>
                  <w:jc w:val="center"/>
                  <w:rPr>
                    <w:rFonts w:eastAsia="Calibri"/>
                    <w:szCs w:val="24"/>
                  </w:rPr>
                </w:pPr>
                <w:r>
                  <w:rPr>
                    <w:rFonts w:eastAsia="Calibri"/>
                    <w:szCs w:val="24"/>
                  </w:rPr>
                  <w:t>(Jeigu yra)</w:t>
                </w:r>
              </w:p>
            </w:tc>
            <w:tc>
              <w:tcPr>
                <w:tcW w:w="3471" w:type="dxa"/>
                <w:gridSpan w:val="2"/>
                <w:vAlign w:val="center"/>
              </w:tcPr>
              <w:p>
                <w:pPr>
                  <w:rPr>
                    <w:rFonts w:eastAsia="Calibri"/>
                    <w:szCs w:val="24"/>
                  </w:rPr>
                </w:pPr>
                <w:r>
                  <w:rPr>
                    <w:rFonts w:eastAsia="Calibri"/>
                    <w:szCs w:val="24"/>
                  </w:rPr>
                  <w:t>Specialios kopėčios</w:t>
                </w:r>
              </w:p>
            </w:tc>
            <w:tc>
              <w:tcPr>
                <w:tcW w:w="1842" w:type="dxa"/>
              </w:tcPr>
              <w:p>
                <w:pPr>
                  <w:rPr>
                    <w:rFonts w:eastAsia="Calibri"/>
                    <w:b/>
                    <w:bCs/>
                    <w:szCs w:val="24"/>
                  </w:rPr>
                </w:pPr>
              </w:p>
            </w:tc>
            <w:tc>
              <w:tcPr>
                <w:tcW w:w="2977" w:type="dxa"/>
                <w:vMerge w:val="restart"/>
              </w:tcPr>
              <w:p>
                <w:pPr>
                  <w:rPr>
                    <w:rFonts w:eastAsia="Calibri"/>
                    <w:b/>
                    <w:bCs/>
                    <w:szCs w:val="24"/>
                  </w:rPr>
                </w:pPr>
              </w:p>
            </w:tc>
          </w:tr>
          <w:tr>
            <w:trPr>
              <w:trHeight w:val="456"/>
              <w:jc w:val="center"/>
            </w:trPr>
            <w:tc>
              <w:tcPr>
                <w:tcW w:w="433" w:type="dxa"/>
                <w:vMerge/>
                <w:vAlign w:val="center"/>
              </w:tcPr>
              <w:p>
                <w:pPr>
                  <w:rPr>
                    <w:rFonts w:eastAsia="Calibri"/>
                    <w:b/>
                    <w:bCs/>
                    <w:szCs w:val="24"/>
                  </w:rPr>
                </w:pPr>
              </w:p>
            </w:tc>
            <w:tc>
              <w:tcPr>
                <w:tcW w:w="1483" w:type="dxa"/>
                <w:vMerge/>
                <w:vAlign w:val="center"/>
              </w:tcPr>
              <w:p>
                <w:pPr>
                  <w:jc w:val="center"/>
                  <w:rPr>
                    <w:rFonts w:eastAsia="Calibri"/>
                    <w:szCs w:val="24"/>
                  </w:rPr>
                </w:pPr>
              </w:p>
            </w:tc>
            <w:tc>
              <w:tcPr>
                <w:tcW w:w="3471" w:type="dxa"/>
                <w:gridSpan w:val="2"/>
                <w:vAlign w:val="center"/>
              </w:tcPr>
              <w:p>
                <w:pPr>
                  <w:rPr>
                    <w:rFonts w:eastAsia="Calibri"/>
                    <w:szCs w:val="24"/>
                  </w:rPr>
                </w:pPr>
                <w:r>
                  <w:rPr>
                    <w:rFonts w:eastAsia="Calibri"/>
                    <w:szCs w:val="24"/>
                  </w:rPr>
                  <w:t>Tvorelė</w:t>
                </w:r>
              </w:p>
            </w:tc>
            <w:tc>
              <w:tcPr>
                <w:tcW w:w="1842" w:type="dxa"/>
              </w:tcPr>
              <w:p>
                <w:pPr>
                  <w:rPr>
                    <w:rFonts w:eastAsia="Calibri"/>
                    <w:b/>
                    <w:bCs/>
                    <w:szCs w:val="24"/>
                  </w:rPr>
                </w:pPr>
              </w:p>
            </w:tc>
            <w:tc>
              <w:tcPr>
                <w:tcW w:w="2977" w:type="dxa"/>
                <w:vMerge/>
              </w:tcPr>
              <w:p>
                <w:pPr>
                  <w:rPr>
                    <w:rFonts w:eastAsia="Calibri"/>
                    <w:b/>
                    <w:bCs/>
                    <w:szCs w:val="24"/>
                  </w:rPr>
                </w:pPr>
              </w:p>
            </w:tc>
          </w:tr>
          <w:tr>
            <w:trPr>
              <w:trHeight w:val="471"/>
              <w:jc w:val="center"/>
            </w:trPr>
            <w:tc>
              <w:tcPr>
                <w:tcW w:w="433" w:type="dxa"/>
                <w:vAlign w:val="center"/>
              </w:tcPr>
              <w:p>
                <w:pPr>
                  <w:rPr>
                    <w:rFonts w:eastAsia="Calibri"/>
                    <w:b/>
                    <w:bCs/>
                    <w:szCs w:val="24"/>
                  </w:rPr>
                </w:pPr>
                <w:r>
                  <w:rPr>
                    <w:rFonts w:eastAsia="Calibri"/>
                    <w:b/>
                    <w:bCs/>
                    <w:szCs w:val="24"/>
                  </w:rPr>
                  <w:t>10.</w:t>
                </w:r>
              </w:p>
            </w:tc>
            <w:tc>
              <w:tcPr>
                <w:tcW w:w="4954" w:type="dxa"/>
                <w:gridSpan w:val="3"/>
                <w:vAlign w:val="center"/>
              </w:tcPr>
              <w:p>
                <w:pPr>
                  <w:rPr>
                    <w:rFonts w:eastAsia="Calibri"/>
                    <w:szCs w:val="24"/>
                  </w:rPr>
                </w:pPr>
                <w:r>
                  <w:rPr>
                    <w:rFonts w:eastAsia="Calibri"/>
                    <w:szCs w:val="24"/>
                  </w:rPr>
                  <w:t>Vaiko lova su tvorele</w:t>
                </w:r>
              </w:p>
            </w:tc>
            <w:tc>
              <w:tcPr>
                <w:tcW w:w="1842" w:type="dxa"/>
              </w:tcPr>
              <w:p>
                <w:pPr>
                  <w:rPr>
                    <w:rFonts w:eastAsia="Calibri"/>
                    <w:b/>
                    <w:bCs/>
                    <w:szCs w:val="24"/>
                  </w:rPr>
                </w:pPr>
              </w:p>
            </w:tc>
            <w:tc>
              <w:tcPr>
                <w:tcW w:w="2977" w:type="dxa"/>
              </w:tcPr>
              <w:p>
                <w:pPr>
                  <w:rPr>
                    <w:rFonts w:eastAsia="Calibri"/>
                    <w:b/>
                    <w:bCs/>
                    <w:szCs w:val="24"/>
                  </w:rPr>
                </w:pPr>
              </w:p>
            </w:tc>
          </w:tr>
          <w:tr>
            <w:trPr>
              <w:trHeight w:val="475"/>
              <w:jc w:val="center"/>
            </w:trPr>
            <w:tc>
              <w:tcPr>
                <w:tcW w:w="433" w:type="dxa"/>
                <w:vAlign w:val="center"/>
              </w:tcPr>
              <w:p>
                <w:pPr>
                  <w:rPr>
                    <w:rFonts w:eastAsia="Calibri"/>
                    <w:b/>
                    <w:bCs/>
                    <w:szCs w:val="24"/>
                  </w:rPr>
                </w:pPr>
                <w:r>
                  <w:rPr>
                    <w:rFonts w:eastAsia="Calibri"/>
                    <w:b/>
                    <w:bCs/>
                    <w:szCs w:val="24"/>
                  </w:rPr>
                  <w:t>11.</w:t>
                </w:r>
              </w:p>
            </w:tc>
            <w:tc>
              <w:tcPr>
                <w:tcW w:w="4954" w:type="dxa"/>
                <w:gridSpan w:val="3"/>
                <w:vAlign w:val="center"/>
              </w:tcPr>
              <w:p>
                <w:pPr>
                  <w:rPr>
                    <w:rFonts w:eastAsia="Calibri"/>
                    <w:szCs w:val="24"/>
                  </w:rPr>
                </w:pPr>
                <w:r>
                  <w:rPr>
                    <w:rFonts w:eastAsia="Calibri"/>
                    <w:szCs w:val="24"/>
                  </w:rPr>
                  <w:t>Vaikas miega su tėvais</w:t>
                </w:r>
              </w:p>
            </w:tc>
            <w:tc>
              <w:tcPr>
                <w:tcW w:w="1842" w:type="dxa"/>
              </w:tcPr>
              <w:p>
                <w:pPr>
                  <w:rPr>
                    <w:rFonts w:eastAsia="Calibri"/>
                    <w:b/>
                    <w:bCs/>
                    <w:szCs w:val="24"/>
                  </w:rPr>
                </w:pPr>
              </w:p>
            </w:tc>
            <w:tc>
              <w:tcPr>
                <w:tcW w:w="2977" w:type="dxa"/>
              </w:tcPr>
              <w:p>
                <w:pPr>
                  <w:rPr>
                    <w:rFonts w:eastAsia="Calibri"/>
                    <w:b/>
                    <w:bCs/>
                    <w:szCs w:val="24"/>
                  </w:rPr>
                </w:pPr>
              </w:p>
            </w:tc>
          </w:tr>
          <w:tr>
            <w:trPr>
              <w:trHeight w:val="386"/>
              <w:jc w:val="center"/>
            </w:trPr>
            <w:tc>
              <w:tcPr>
                <w:tcW w:w="433" w:type="dxa"/>
                <w:vMerge w:val="restart"/>
                <w:vAlign w:val="center"/>
              </w:tcPr>
              <w:p>
                <w:pPr>
                  <w:rPr>
                    <w:rFonts w:eastAsia="Calibri"/>
                    <w:b/>
                    <w:bCs/>
                    <w:szCs w:val="24"/>
                  </w:rPr>
                </w:pPr>
                <w:r>
                  <w:rPr>
                    <w:rFonts w:eastAsia="Calibri"/>
                    <w:b/>
                    <w:bCs/>
                    <w:szCs w:val="24"/>
                  </w:rPr>
                  <w:t>12.</w:t>
                </w:r>
              </w:p>
            </w:tc>
            <w:tc>
              <w:tcPr>
                <w:tcW w:w="1483" w:type="dxa"/>
                <w:vMerge w:val="restart"/>
                <w:vAlign w:val="center"/>
              </w:tcPr>
              <w:p>
                <w:pPr>
                  <w:jc w:val="center"/>
                  <w:rPr>
                    <w:rFonts w:eastAsia="Calibri"/>
                    <w:szCs w:val="24"/>
                  </w:rPr>
                </w:pPr>
                <w:r>
                  <w:rPr>
                    <w:rFonts w:eastAsia="Calibri"/>
                    <w:szCs w:val="24"/>
                  </w:rPr>
                  <w:t>Žaislai</w:t>
                </w:r>
              </w:p>
            </w:tc>
            <w:tc>
              <w:tcPr>
                <w:tcW w:w="3471" w:type="dxa"/>
                <w:gridSpan w:val="2"/>
                <w:vAlign w:val="center"/>
              </w:tcPr>
              <w:p>
                <w:pPr>
                  <w:rPr>
                    <w:rFonts w:eastAsia="Calibri"/>
                    <w:szCs w:val="24"/>
                  </w:rPr>
                </w:pPr>
                <w:r>
                  <w:rPr>
                    <w:rFonts w:eastAsia="Calibri"/>
                    <w:szCs w:val="24"/>
                  </w:rPr>
                  <w:t>Žaislai atitinka vaiko amžiaus rekomendacijas</w:t>
                </w:r>
              </w:p>
            </w:tc>
            <w:tc>
              <w:tcPr>
                <w:tcW w:w="1842" w:type="dxa"/>
              </w:tcPr>
              <w:p>
                <w:pPr>
                  <w:rPr>
                    <w:rFonts w:eastAsia="Calibri"/>
                    <w:b/>
                    <w:bCs/>
                    <w:szCs w:val="24"/>
                  </w:rPr>
                </w:pPr>
              </w:p>
            </w:tc>
            <w:tc>
              <w:tcPr>
                <w:tcW w:w="2977" w:type="dxa"/>
                <w:vMerge w:val="restart"/>
              </w:tcPr>
              <w:p>
                <w:pPr>
                  <w:rPr>
                    <w:rFonts w:eastAsia="Calibri"/>
                    <w:b/>
                    <w:bCs/>
                    <w:szCs w:val="24"/>
                  </w:rPr>
                </w:pPr>
              </w:p>
            </w:tc>
          </w:tr>
          <w:tr>
            <w:trPr>
              <w:trHeight w:val="383"/>
              <w:jc w:val="center"/>
            </w:trPr>
            <w:tc>
              <w:tcPr>
                <w:tcW w:w="433" w:type="dxa"/>
                <w:vMerge/>
                <w:vAlign w:val="center"/>
              </w:tcPr>
              <w:p>
                <w:pPr>
                  <w:rPr>
                    <w:rFonts w:eastAsia="Calibri"/>
                    <w:b/>
                    <w:bCs/>
                    <w:szCs w:val="24"/>
                  </w:rPr>
                </w:pPr>
              </w:p>
            </w:tc>
            <w:tc>
              <w:tcPr>
                <w:tcW w:w="1483" w:type="dxa"/>
                <w:vMerge/>
                <w:vAlign w:val="center"/>
              </w:tcPr>
              <w:p>
                <w:pPr>
                  <w:jc w:val="center"/>
                  <w:rPr>
                    <w:rFonts w:eastAsia="Calibri"/>
                    <w:szCs w:val="24"/>
                  </w:rPr>
                </w:pPr>
              </w:p>
            </w:tc>
            <w:tc>
              <w:tcPr>
                <w:tcW w:w="3471" w:type="dxa"/>
                <w:gridSpan w:val="2"/>
                <w:vAlign w:val="center"/>
              </w:tcPr>
              <w:p>
                <w:pPr>
                  <w:rPr>
                    <w:rFonts w:eastAsia="Calibri"/>
                    <w:szCs w:val="24"/>
                  </w:rPr>
                </w:pPr>
                <w:r>
                  <w:rPr>
                    <w:rFonts w:eastAsia="Calibri"/>
                    <w:szCs w:val="24"/>
                  </w:rPr>
                  <w:t>Nenaudojami sulaužyti žaislai</w:t>
                </w:r>
              </w:p>
            </w:tc>
            <w:tc>
              <w:tcPr>
                <w:tcW w:w="1842" w:type="dxa"/>
              </w:tcPr>
              <w:p>
                <w:pPr>
                  <w:rPr>
                    <w:rFonts w:eastAsia="Calibri"/>
                    <w:b/>
                    <w:bCs/>
                    <w:szCs w:val="24"/>
                  </w:rPr>
                </w:pPr>
              </w:p>
            </w:tc>
            <w:tc>
              <w:tcPr>
                <w:tcW w:w="2977" w:type="dxa"/>
                <w:vMerge/>
              </w:tcPr>
              <w:p>
                <w:pPr>
                  <w:rPr>
                    <w:rFonts w:eastAsia="Calibri"/>
                    <w:b/>
                    <w:bCs/>
                    <w:szCs w:val="24"/>
                  </w:rPr>
                </w:pPr>
              </w:p>
            </w:tc>
          </w:tr>
          <w:tr>
            <w:trPr>
              <w:trHeight w:val="383"/>
              <w:jc w:val="center"/>
            </w:trPr>
            <w:tc>
              <w:tcPr>
                <w:tcW w:w="433" w:type="dxa"/>
                <w:vMerge/>
                <w:vAlign w:val="center"/>
              </w:tcPr>
              <w:p>
                <w:pPr>
                  <w:rPr>
                    <w:rFonts w:eastAsia="Calibri"/>
                    <w:b/>
                    <w:bCs/>
                    <w:szCs w:val="24"/>
                  </w:rPr>
                </w:pPr>
              </w:p>
            </w:tc>
            <w:tc>
              <w:tcPr>
                <w:tcW w:w="1483" w:type="dxa"/>
                <w:vMerge/>
                <w:vAlign w:val="center"/>
              </w:tcPr>
              <w:p>
                <w:pPr>
                  <w:jc w:val="center"/>
                  <w:rPr>
                    <w:rFonts w:eastAsia="Calibri"/>
                    <w:szCs w:val="24"/>
                  </w:rPr>
                </w:pPr>
              </w:p>
            </w:tc>
            <w:tc>
              <w:tcPr>
                <w:tcW w:w="3471" w:type="dxa"/>
                <w:gridSpan w:val="2"/>
                <w:vAlign w:val="center"/>
              </w:tcPr>
              <w:p>
                <w:pPr>
                  <w:rPr>
                    <w:rFonts w:eastAsia="Calibri"/>
                    <w:szCs w:val="24"/>
                  </w:rPr>
                </w:pPr>
                <w:r>
                  <w:rPr>
                    <w:rFonts w:eastAsia="Calibri"/>
                    <w:szCs w:val="24"/>
                  </w:rPr>
                  <w:t>Nežaidžiama su buitiniais įrankiais</w:t>
                </w:r>
              </w:p>
            </w:tc>
            <w:tc>
              <w:tcPr>
                <w:tcW w:w="1842" w:type="dxa"/>
              </w:tcPr>
              <w:p>
                <w:pPr>
                  <w:rPr>
                    <w:rFonts w:eastAsia="Calibri"/>
                    <w:b/>
                    <w:bCs/>
                    <w:szCs w:val="24"/>
                  </w:rPr>
                </w:pPr>
              </w:p>
            </w:tc>
            <w:tc>
              <w:tcPr>
                <w:tcW w:w="2977" w:type="dxa"/>
                <w:vMerge/>
              </w:tcPr>
              <w:p>
                <w:pPr>
                  <w:rPr>
                    <w:rFonts w:eastAsia="Calibri"/>
                    <w:b/>
                    <w:bCs/>
                    <w:szCs w:val="24"/>
                  </w:rPr>
                </w:pPr>
              </w:p>
            </w:tc>
          </w:tr>
          <w:tr>
            <w:trPr>
              <w:trHeight w:val="383"/>
              <w:jc w:val="center"/>
            </w:trPr>
            <w:tc>
              <w:tcPr>
                <w:tcW w:w="433" w:type="dxa"/>
                <w:vMerge/>
                <w:vAlign w:val="center"/>
              </w:tcPr>
              <w:p>
                <w:pPr>
                  <w:rPr>
                    <w:rFonts w:eastAsia="Calibri"/>
                    <w:b/>
                    <w:bCs/>
                    <w:szCs w:val="24"/>
                  </w:rPr>
                </w:pPr>
              </w:p>
            </w:tc>
            <w:tc>
              <w:tcPr>
                <w:tcW w:w="1483" w:type="dxa"/>
                <w:vMerge/>
                <w:vAlign w:val="center"/>
              </w:tcPr>
              <w:p>
                <w:pPr>
                  <w:jc w:val="center"/>
                  <w:rPr>
                    <w:rFonts w:eastAsia="Calibri"/>
                    <w:szCs w:val="24"/>
                  </w:rPr>
                </w:pPr>
              </w:p>
            </w:tc>
            <w:tc>
              <w:tcPr>
                <w:tcW w:w="3471" w:type="dxa"/>
                <w:gridSpan w:val="2"/>
                <w:vAlign w:val="center"/>
              </w:tcPr>
              <w:p>
                <w:pPr>
                  <w:rPr>
                    <w:rFonts w:eastAsia="Calibri"/>
                    <w:szCs w:val="24"/>
                  </w:rPr>
                </w:pPr>
                <w:r>
                  <w:rPr>
                    <w:rFonts w:eastAsia="Calibri"/>
                    <w:szCs w:val="24"/>
                  </w:rPr>
                  <w:t>Skirtingo amžiaus vaikų žaislai yra atskirti (jei yra daugiau vaikų)</w:t>
                </w:r>
              </w:p>
            </w:tc>
            <w:tc>
              <w:tcPr>
                <w:tcW w:w="1842" w:type="dxa"/>
              </w:tcPr>
              <w:p>
                <w:pPr>
                  <w:rPr>
                    <w:rFonts w:eastAsia="Calibri"/>
                    <w:b/>
                    <w:bCs/>
                    <w:szCs w:val="24"/>
                  </w:rPr>
                </w:pPr>
              </w:p>
            </w:tc>
            <w:tc>
              <w:tcPr>
                <w:tcW w:w="2977" w:type="dxa"/>
                <w:vMerge/>
              </w:tcPr>
              <w:p>
                <w:pPr>
                  <w:rPr>
                    <w:rFonts w:eastAsia="Calibri"/>
                    <w:b/>
                    <w:bCs/>
                    <w:szCs w:val="24"/>
                  </w:rPr>
                </w:pPr>
              </w:p>
            </w:tc>
          </w:tr>
          <w:tr>
            <w:trPr>
              <w:trHeight w:val="346"/>
              <w:jc w:val="center"/>
            </w:trPr>
            <w:tc>
              <w:tcPr>
                <w:tcW w:w="10206" w:type="dxa"/>
                <w:gridSpan w:val="6"/>
                <w:vAlign w:val="center"/>
              </w:tcPr>
              <w:p>
                <w:pPr>
                  <w:ind w:left="2868"/>
                  <w:rPr>
                    <w:rFonts w:eastAsia="Calibri"/>
                    <w:b/>
                    <w:bCs/>
                    <w:szCs w:val="24"/>
                  </w:rPr>
                </w:pPr>
                <w:r>
                  <w:rPr>
                    <w:rFonts w:eastAsia="Calibri"/>
                    <w:b/>
                    <w:bCs/>
                    <w:szCs w:val="24"/>
                  </w:rPr>
                  <w:t>KITI KAMBARIAI</w:t>
                </w:r>
              </w:p>
            </w:tc>
          </w:tr>
          <w:tr>
            <w:trPr>
              <w:trHeight w:val="573"/>
              <w:jc w:val="center"/>
            </w:trPr>
            <w:tc>
              <w:tcPr>
                <w:tcW w:w="433" w:type="dxa"/>
                <w:vMerge w:val="restart"/>
                <w:vAlign w:val="center"/>
              </w:tcPr>
              <w:p>
                <w:pPr>
                  <w:jc w:val="center"/>
                  <w:rPr>
                    <w:rFonts w:eastAsia="Calibri"/>
                    <w:b/>
                    <w:bCs/>
                    <w:szCs w:val="24"/>
                  </w:rPr>
                </w:pPr>
                <w:r>
                  <w:rPr>
                    <w:rFonts w:eastAsia="Calibri"/>
                    <w:b/>
                    <w:bCs/>
                    <w:szCs w:val="24"/>
                  </w:rPr>
                  <w:t xml:space="preserve">13. </w:t>
                </w:r>
              </w:p>
            </w:tc>
            <w:tc>
              <w:tcPr>
                <w:tcW w:w="1483" w:type="dxa"/>
                <w:vMerge w:val="restart"/>
                <w:vAlign w:val="center"/>
              </w:tcPr>
              <w:p>
                <w:pPr>
                  <w:jc w:val="center"/>
                  <w:rPr>
                    <w:rFonts w:eastAsia="Calibri"/>
                    <w:szCs w:val="24"/>
                  </w:rPr>
                </w:pPr>
                <w:r>
                  <w:rPr>
                    <w:rFonts w:eastAsia="Calibri"/>
                    <w:szCs w:val="24"/>
                  </w:rPr>
                  <w:t>Langų apsaugos</w:t>
                </w:r>
              </w:p>
              <w:p>
                <w:pPr>
                  <w:jc w:val="center"/>
                  <w:rPr>
                    <w:rFonts w:eastAsia="Calibri"/>
                    <w:szCs w:val="24"/>
                  </w:rPr>
                </w:pPr>
              </w:p>
            </w:tc>
            <w:tc>
              <w:tcPr>
                <w:tcW w:w="3471" w:type="dxa"/>
                <w:gridSpan w:val="2"/>
                <w:vAlign w:val="center"/>
              </w:tcPr>
              <w:p>
                <w:pPr>
                  <w:rPr>
                    <w:rFonts w:eastAsia="Calibri"/>
                    <w:szCs w:val="24"/>
                  </w:rPr>
                </w:pPr>
                <w:r>
                  <w:rPr>
                    <w:rFonts w:eastAsia="Calibri"/>
                    <w:szCs w:val="24"/>
                  </w:rPr>
                  <w:t>Languose įmontuoti atidarymo ribotuvai</w:t>
                </w:r>
              </w:p>
            </w:tc>
            <w:tc>
              <w:tcPr>
                <w:tcW w:w="1842" w:type="dxa"/>
              </w:tcPr>
              <w:p>
                <w:pPr>
                  <w:rPr>
                    <w:rFonts w:eastAsia="Calibri"/>
                    <w:b/>
                    <w:bCs/>
                    <w:szCs w:val="24"/>
                  </w:rPr>
                </w:pPr>
              </w:p>
            </w:tc>
            <w:tc>
              <w:tcPr>
                <w:tcW w:w="2977" w:type="dxa"/>
                <w:vMerge w:val="restart"/>
              </w:tcPr>
              <w:p>
                <w:pPr>
                  <w:jc w:val="center"/>
                  <w:rPr>
                    <w:rFonts w:eastAsia="Calibri"/>
                    <w:b/>
                    <w:bCs/>
                    <w:szCs w:val="24"/>
                  </w:rPr>
                </w:pPr>
              </w:p>
            </w:tc>
          </w:tr>
          <w:tr>
            <w:trPr>
              <w:trHeight w:val="541"/>
              <w:jc w:val="center"/>
            </w:trPr>
            <w:tc>
              <w:tcPr>
                <w:tcW w:w="433" w:type="dxa"/>
                <w:vMerge/>
                <w:vAlign w:val="center"/>
              </w:tcPr>
              <w:p>
                <w:pPr>
                  <w:jc w:val="center"/>
                  <w:rPr>
                    <w:rFonts w:eastAsia="Calibri"/>
                    <w:b/>
                    <w:bCs/>
                    <w:szCs w:val="24"/>
                  </w:rPr>
                </w:pPr>
              </w:p>
            </w:tc>
            <w:tc>
              <w:tcPr>
                <w:tcW w:w="1483" w:type="dxa"/>
                <w:vMerge/>
                <w:vAlign w:val="center"/>
              </w:tcPr>
              <w:p>
                <w:pPr>
                  <w:jc w:val="center"/>
                  <w:rPr>
                    <w:rFonts w:eastAsia="Calibri"/>
                    <w:szCs w:val="24"/>
                  </w:rPr>
                </w:pPr>
              </w:p>
            </w:tc>
            <w:tc>
              <w:tcPr>
                <w:tcW w:w="3471" w:type="dxa"/>
                <w:gridSpan w:val="2"/>
                <w:vAlign w:val="center"/>
              </w:tcPr>
              <w:p>
                <w:pPr>
                  <w:rPr>
                    <w:rFonts w:eastAsia="Calibri"/>
                    <w:szCs w:val="24"/>
                  </w:rPr>
                </w:pPr>
                <w:r>
                  <w:rPr>
                    <w:rFonts w:eastAsia="Calibri"/>
                    <w:szCs w:val="24"/>
                  </w:rPr>
                  <w:t>Nėra lengvai atidaromų langų</w:t>
                </w:r>
              </w:p>
            </w:tc>
            <w:tc>
              <w:tcPr>
                <w:tcW w:w="1842" w:type="dxa"/>
              </w:tcPr>
              <w:p>
                <w:pPr>
                  <w:jc w:val="center"/>
                  <w:rPr>
                    <w:rFonts w:eastAsia="Calibri"/>
                    <w:b/>
                    <w:bCs/>
                    <w:szCs w:val="24"/>
                  </w:rPr>
                </w:pPr>
              </w:p>
            </w:tc>
            <w:tc>
              <w:tcPr>
                <w:tcW w:w="2977" w:type="dxa"/>
                <w:vMerge/>
              </w:tcPr>
              <w:p>
                <w:pPr>
                  <w:jc w:val="center"/>
                  <w:rPr>
                    <w:rFonts w:eastAsia="Calibri"/>
                    <w:b/>
                    <w:bCs/>
                    <w:szCs w:val="24"/>
                  </w:rPr>
                </w:pPr>
              </w:p>
            </w:tc>
          </w:tr>
          <w:tr>
            <w:trPr>
              <w:trHeight w:val="705"/>
              <w:jc w:val="center"/>
            </w:trPr>
            <w:tc>
              <w:tcPr>
                <w:tcW w:w="433" w:type="dxa"/>
                <w:vAlign w:val="center"/>
              </w:tcPr>
              <w:p>
                <w:pPr>
                  <w:jc w:val="center"/>
                  <w:rPr>
                    <w:rFonts w:eastAsia="Calibri"/>
                    <w:b/>
                    <w:bCs/>
                    <w:szCs w:val="24"/>
                  </w:rPr>
                </w:pPr>
                <w:r>
                  <w:rPr>
                    <w:rFonts w:eastAsia="Calibri"/>
                    <w:b/>
                    <w:bCs/>
                    <w:szCs w:val="24"/>
                  </w:rPr>
                  <w:t>14.</w:t>
                </w:r>
              </w:p>
            </w:tc>
            <w:tc>
              <w:tcPr>
                <w:tcW w:w="4954" w:type="dxa"/>
                <w:gridSpan w:val="3"/>
                <w:vAlign w:val="center"/>
              </w:tcPr>
              <w:p>
                <w:pPr>
                  <w:rPr>
                    <w:rFonts w:eastAsia="Calibri"/>
                    <w:szCs w:val="24"/>
                  </w:rPr>
                </w:pPr>
                <w:r>
                  <w:rPr>
                    <w:rFonts w:eastAsia="Calibri"/>
                    <w:szCs w:val="24"/>
                  </w:rPr>
                  <w:t>Dūmų detektorius</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353"/>
              <w:jc w:val="center"/>
            </w:trPr>
            <w:tc>
              <w:tcPr>
                <w:tcW w:w="433" w:type="dxa"/>
                <w:vMerge w:val="restart"/>
                <w:vAlign w:val="center"/>
              </w:tcPr>
              <w:p>
                <w:pPr>
                  <w:jc w:val="center"/>
                  <w:rPr>
                    <w:rFonts w:eastAsia="Calibri"/>
                    <w:b/>
                    <w:bCs/>
                    <w:szCs w:val="24"/>
                  </w:rPr>
                </w:pPr>
                <w:r>
                  <w:rPr>
                    <w:rFonts w:eastAsia="Calibri"/>
                    <w:b/>
                    <w:bCs/>
                    <w:szCs w:val="24"/>
                  </w:rPr>
                  <w:t>15.</w:t>
                </w:r>
              </w:p>
            </w:tc>
            <w:tc>
              <w:tcPr>
                <w:tcW w:w="1483" w:type="dxa"/>
                <w:vMerge w:val="restart"/>
                <w:vAlign w:val="center"/>
              </w:tcPr>
              <w:p>
                <w:pPr>
                  <w:jc w:val="center"/>
                  <w:rPr>
                    <w:rFonts w:eastAsia="Calibri"/>
                    <w:szCs w:val="24"/>
                  </w:rPr>
                </w:pPr>
                <w:r>
                  <w:rPr>
                    <w:rFonts w:eastAsia="Calibri"/>
                    <w:szCs w:val="24"/>
                  </w:rPr>
                  <w:t>Laiptai</w:t>
                </w:r>
              </w:p>
              <w:p>
                <w:pPr>
                  <w:jc w:val="center"/>
                  <w:rPr>
                    <w:rFonts w:eastAsia="Calibri"/>
                    <w:szCs w:val="24"/>
                  </w:rPr>
                </w:pPr>
                <w:r>
                  <w:rPr>
                    <w:rFonts w:eastAsia="Calibri"/>
                    <w:szCs w:val="24"/>
                  </w:rPr>
                  <w:t>(Jeigu yra)</w:t>
                </w:r>
              </w:p>
              <w:p>
                <w:pPr>
                  <w:jc w:val="center"/>
                  <w:rPr>
                    <w:rFonts w:eastAsia="Calibri"/>
                    <w:szCs w:val="24"/>
                  </w:rPr>
                </w:pPr>
              </w:p>
            </w:tc>
            <w:tc>
              <w:tcPr>
                <w:tcW w:w="3471" w:type="dxa"/>
                <w:gridSpan w:val="2"/>
                <w:vAlign w:val="center"/>
              </w:tcPr>
              <w:p>
                <w:pPr>
                  <w:rPr>
                    <w:rFonts w:eastAsia="Calibri"/>
                    <w:szCs w:val="24"/>
                  </w:rPr>
                </w:pPr>
                <w:r>
                  <w:rPr>
                    <w:rFonts w:eastAsia="Calibri"/>
                    <w:szCs w:val="24"/>
                  </w:rPr>
                  <w:t>Apsauginiai turėklai</w:t>
                </w:r>
              </w:p>
            </w:tc>
            <w:tc>
              <w:tcPr>
                <w:tcW w:w="1842" w:type="dxa"/>
              </w:tcPr>
              <w:p>
                <w:pPr>
                  <w:jc w:val="center"/>
                  <w:rPr>
                    <w:rFonts w:eastAsia="Calibri"/>
                    <w:b/>
                    <w:bCs/>
                    <w:szCs w:val="24"/>
                  </w:rPr>
                </w:pPr>
              </w:p>
            </w:tc>
            <w:tc>
              <w:tcPr>
                <w:tcW w:w="2977" w:type="dxa"/>
                <w:vMerge w:val="restart"/>
              </w:tcPr>
              <w:p>
                <w:pPr>
                  <w:jc w:val="center"/>
                  <w:rPr>
                    <w:rFonts w:eastAsia="Calibri"/>
                    <w:b/>
                    <w:bCs/>
                    <w:szCs w:val="24"/>
                  </w:rPr>
                </w:pPr>
              </w:p>
            </w:tc>
          </w:tr>
          <w:tr>
            <w:trPr>
              <w:trHeight w:val="607"/>
              <w:jc w:val="center"/>
            </w:trPr>
            <w:tc>
              <w:tcPr>
                <w:tcW w:w="433" w:type="dxa"/>
                <w:vMerge/>
                <w:vAlign w:val="center"/>
              </w:tcPr>
              <w:p>
                <w:pPr>
                  <w:jc w:val="center"/>
                  <w:rPr>
                    <w:rFonts w:eastAsia="Calibri"/>
                    <w:b/>
                    <w:bCs/>
                    <w:szCs w:val="24"/>
                  </w:rPr>
                </w:pPr>
              </w:p>
            </w:tc>
            <w:tc>
              <w:tcPr>
                <w:tcW w:w="1483" w:type="dxa"/>
                <w:vMerge/>
                <w:vAlign w:val="center"/>
              </w:tcPr>
              <w:p>
                <w:pPr>
                  <w:jc w:val="center"/>
                  <w:rPr>
                    <w:rFonts w:eastAsia="Calibri"/>
                    <w:szCs w:val="24"/>
                  </w:rPr>
                </w:pPr>
              </w:p>
            </w:tc>
            <w:tc>
              <w:tcPr>
                <w:tcW w:w="3471" w:type="dxa"/>
                <w:gridSpan w:val="2"/>
                <w:vAlign w:val="center"/>
              </w:tcPr>
              <w:p>
                <w:pPr>
                  <w:rPr>
                    <w:rFonts w:eastAsia="Calibri"/>
                    <w:szCs w:val="24"/>
                  </w:rPr>
                </w:pPr>
                <w:r>
                  <w:rPr>
                    <w:rFonts w:eastAsia="Calibri"/>
                    <w:szCs w:val="24"/>
                  </w:rPr>
                  <w:t>Varteliai laiptų viršuje ir apačioje</w:t>
                </w:r>
              </w:p>
            </w:tc>
            <w:tc>
              <w:tcPr>
                <w:tcW w:w="1842" w:type="dxa"/>
              </w:tcPr>
              <w:p>
                <w:pPr>
                  <w:jc w:val="center"/>
                  <w:rPr>
                    <w:rFonts w:eastAsia="Calibri"/>
                    <w:b/>
                    <w:bCs/>
                    <w:szCs w:val="24"/>
                  </w:rPr>
                </w:pPr>
              </w:p>
            </w:tc>
            <w:tc>
              <w:tcPr>
                <w:tcW w:w="2977" w:type="dxa"/>
                <w:vMerge/>
              </w:tcPr>
              <w:p>
                <w:pPr>
                  <w:jc w:val="center"/>
                  <w:rPr>
                    <w:rFonts w:eastAsia="Calibri"/>
                    <w:b/>
                    <w:bCs/>
                    <w:szCs w:val="24"/>
                  </w:rPr>
                </w:pPr>
              </w:p>
            </w:tc>
          </w:tr>
          <w:tr>
            <w:trPr>
              <w:trHeight w:val="645"/>
              <w:jc w:val="center"/>
            </w:trPr>
            <w:tc>
              <w:tcPr>
                <w:tcW w:w="433" w:type="dxa"/>
                <w:vAlign w:val="center"/>
              </w:tcPr>
              <w:p>
                <w:pPr>
                  <w:jc w:val="center"/>
                  <w:rPr>
                    <w:rFonts w:eastAsia="Calibri"/>
                    <w:b/>
                    <w:bCs/>
                    <w:szCs w:val="24"/>
                  </w:rPr>
                </w:pPr>
                <w:r>
                  <w:rPr>
                    <w:rFonts w:eastAsia="Calibri"/>
                    <w:b/>
                    <w:bCs/>
                    <w:szCs w:val="24"/>
                  </w:rPr>
                  <w:t>16.</w:t>
                </w:r>
              </w:p>
            </w:tc>
            <w:tc>
              <w:tcPr>
                <w:tcW w:w="4954" w:type="dxa"/>
                <w:gridSpan w:val="3"/>
                <w:vAlign w:val="center"/>
              </w:tcPr>
              <w:p>
                <w:pPr>
                  <w:rPr>
                    <w:rFonts w:eastAsia="Calibri"/>
                    <w:szCs w:val="24"/>
                  </w:rPr>
                </w:pPr>
                <w:r>
                  <w:rPr>
                    <w:rFonts w:eastAsia="Calibri"/>
                    <w:szCs w:val="24"/>
                  </w:rPr>
                  <w:t>Baldai yra atitraukti toliau nuo langų, kad vaikas negalėtų lengvai užlipti ant palangės</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683"/>
              <w:jc w:val="center"/>
            </w:trPr>
            <w:tc>
              <w:tcPr>
                <w:tcW w:w="433" w:type="dxa"/>
                <w:vAlign w:val="center"/>
              </w:tcPr>
              <w:p>
                <w:pPr>
                  <w:jc w:val="center"/>
                  <w:rPr>
                    <w:rFonts w:eastAsia="Calibri"/>
                    <w:b/>
                    <w:bCs/>
                    <w:szCs w:val="24"/>
                  </w:rPr>
                </w:pPr>
                <w:r>
                  <w:rPr>
                    <w:rFonts w:eastAsia="Calibri"/>
                    <w:b/>
                    <w:bCs/>
                    <w:szCs w:val="24"/>
                  </w:rPr>
                  <w:t>17.</w:t>
                </w:r>
              </w:p>
            </w:tc>
            <w:tc>
              <w:tcPr>
                <w:tcW w:w="4954" w:type="dxa"/>
                <w:gridSpan w:val="3"/>
                <w:vAlign w:val="center"/>
              </w:tcPr>
              <w:p>
                <w:pPr>
                  <w:rPr>
                    <w:rFonts w:eastAsia="Calibri"/>
                    <w:szCs w:val="24"/>
                  </w:rPr>
                </w:pPr>
                <w:r>
                  <w:rPr>
                    <w:rFonts w:eastAsia="Calibri"/>
                    <w:szCs w:val="24"/>
                  </w:rPr>
                  <w:t>Vaistai laikomi vaikui nepasiekiamoje vietoje</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428"/>
              <w:jc w:val="center"/>
            </w:trPr>
            <w:tc>
              <w:tcPr>
                <w:tcW w:w="433" w:type="dxa"/>
                <w:vMerge w:val="restart"/>
                <w:vAlign w:val="center"/>
              </w:tcPr>
              <w:p>
                <w:pPr>
                  <w:jc w:val="center"/>
                  <w:rPr>
                    <w:rFonts w:eastAsia="Calibri"/>
                    <w:b/>
                    <w:bCs/>
                    <w:szCs w:val="24"/>
                  </w:rPr>
                </w:pPr>
                <w:r>
                  <w:rPr>
                    <w:rFonts w:eastAsia="Calibri"/>
                    <w:b/>
                    <w:bCs/>
                    <w:szCs w:val="24"/>
                  </w:rPr>
                  <w:t>18.</w:t>
                </w:r>
              </w:p>
            </w:tc>
            <w:tc>
              <w:tcPr>
                <w:tcW w:w="1483" w:type="dxa"/>
                <w:vMerge w:val="restart"/>
                <w:vAlign w:val="center"/>
              </w:tcPr>
              <w:p>
                <w:pPr>
                  <w:rPr>
                    <w:rFonts w:eastAsia="Calibri"/>
                    <w:szCs w:val="24"/>
                  </w:rPr>
                </w:pPr>
              </w:p>
              <w:p>
                <w:pPr>
                  <w:rPr>
                    <w:rFonts w:eastAsia="Calibri"/>
                    <w:szCs w:val="24"/>
                  </w:rPr>
                </w:pPr>
                <w:r>
                  <w:rPr>
                    <w:rFonts w:eastAsia="Calibri"/>
                    <w:szCs w:val="24"/>
                  </w:rPr>
                  <w:t>Vaikiškos aukštos kėdutės</w:t>
                </w:r>
              </w:p>
              <w:p>
                <w:pPr>
                  <w:rPr>
                    <w:rFonts w:eastAsia="Calibri"/>
                    <w:szCs w:val="24"/>
                  </w:rPr>
                </w:pPr>
              </w:p>
            </w:tc>
            <w:tc>
              <w:tcPr>
                <w:tcW w:w="3471" w:type="dxa"/>
                <w:gridSpan w:val="2"/>
                <w:vAlign w:val="center"/>
              </w:tcPr>
              <w:p>
                <w:pPr>
                  <w:rPr>
                    <w:rFonts w:eastAsia="Calibri"/>
                    <w:szCs w:val="24"/>
                  </w:rPr>
                </w:pPr>
                <w:r>
                  <w:rPr>
                    <w:rFonts w:eastAsia="Calibri"/>
                    <w:szCs w:val="24"/>
                  </w:rPr>
                  <w:t>Apsauginiai diržai</w:t>
                </w:r>
              </w:p>
            </w:tc>
            <w:tc>
              <w:tcPr>
                <w:tcW w:w="1842" w:type="dxa"/>
                <w:vMerge w:val="restart"/>
              </w:tcPr>
              <w:p>
                <w:pPr>
                  <w:jc w:val="center"/>
                  <w:rPr>
                    <w:rFonts w:eastAsia="Calibri"/>
                    <w:b/>
                    <w:bCs/>
                    <w:szCs w:val="24"/>
                  </w:rPr>
                </w:pPr>
              </w:p>
            </w:tc>
            <w:tc>
              <w:tcPr>
                <w:tcW w:w="2977" w:type="dxa"/>
                <w:vMerge w:val="restart"/>
              </w:tcPr>
              <w:p>
                <w:pPr>
                  <w:jc w:val="center"/>
                  <w:rPr>
                    <w:rFonts w:eastAsia="Calibri"/>
                    <w:b/>
                    <w:bCs/>
                    <w:szCs w:val="24"/>
                  </w:rPr>
                </w:pPr>
              </w:p>
            </w:tc>
          </w:tr>
          <w:tr>
            <w:trPr>
              <w:trHeight w:val="428"/>
              <w:jc w:val="center"/>
            </w:trPr>
            <w:tc>
              <w:tcPr>
                <w:tcW w:w="433" w:type="dxa"/>
                <w:vMerge/>
                <w:vAlign w:val="center"/>
              </w:tcPr>
              <w:p>
                <w:pPr>
                  <w:jc w:val="center"/>
                  <w:rPr>
                    <w:rFonts w:eastAsia="Calibri"/>
                    <w:b/>
                    <w:bCs/>
                    <w:szCs w:val="24"/>
                  </w:rPr>
                </w:pPr>
              </w:p>
            </w:tc>
            <w:tc>
              <w:tcPr>
                <w:tcW w:w="1483" w:type="dxa"/>
                <w:vMerge/>
                <w:vAlign w:val="center"/>
              </w:tcPr>
              <w:p>
                <w:pPr>
                  <w:rPr>
                    <w:rFonts w:eastAsia="Calibri"/>
                    <w:szCs w:val="24"/>
                  </w:rPr>
                </w:pPr>
              </w:p>
            </w:tc>
            <w:tc>
              <w:tcPr>
                <w:tcW w:w="3471" w:type="dxa"/>
                <w:gridSpan w:val="2"/>
                <w:vAlign w:val="center"/>
              </w:tcPr>
              <w:p>
                <w:pPr>
                  <w:rPr>
                    <w:rFonts w:eastAsia="Calibri"/>
                    <w:szCs w:val="24"/>
                  </w:rPr>
                </w:pPr>
                <w:r>
                  <w:rPr>
                    <w:rFonts w:eastAsia="Calibri"/>
                    <w:szCs w:val="24"/>
                  </w:rPr>
                  <w:t>Kėdutė pritaikyta pagal vaiko ūgį</w:t>
                </w:r>
              </w:p>
            </w:tc>
            <w:tc>
              <w:tcPr>
                <w:tcW w:w="1842" w:type="dxa"/>
                <w:vMerge/>
              </w:tcPr>
              <w:p>
                <w:pPr>
                  <w:jc w:val="center"/>
                  <w:rPr>
                    <w:rFonts w:eastAsia="Calibri"/>
                    <w:b/>
                    <w:bCs/>
                    <w:szCs w:val="24"/>
                  </w:rPr>
                </w:pPr>
              </w:p>
            </w:tc>
            <w:tc>
              <w:tcPr>
                <w:tcW w:w="2977" w:type="dxa"/>
                <w:vMerge/>
              </w:tcPr>
              <w:p>
                <w:pPr>
                  <w:jc w:val="center"/>
                  <w:rPr>
                    <w:rFonts w:eastAsia="Calibri"/>
                    <w:b/>
                    <w:bCs/>
                    <w:szCs w:val="24"/>
                  </w:rPr>
                </w:pPr>
              </w:p>
            </w:tc>
          </w:tr>
          <w:tr>
            <w:trPr>
              <w:trHeight w:val="699"/>
              <w:jc w:val="center"/>
            </w:trPr>
            <w:tc>
              <w:tcPr>
                <w:tcW w:w="433" w:type="dxa"/>
                <w:vAlign w:val="center"/>
              </w:tcPr>
              <w:p>
                <w:pPr>
                  <w:jc w:val="center"/>
                  <w:rPr>
                    <w:rFonts w:eastAsia="Calibri"/>
                    <w:b/>
                    <w:bCs/>
                    <w:szCs w:val="24"/>
                  </w:rPr>
                </w:pPr>
                <w:r>
                  <w:rPr>
                    <w:rFonts w:eastAsia="Calibri"/>
                    <w:b/>
                    <w:bCs/>
                    <w:szCs w:val="24"/>
                  </w:rPr>
                  <w:t>19.</w:t>
                </w:r>
              </w:p>
            </w:tc>
            <w:tc>
              <w:tcPr>
                <w:tcW w:w="4954" w:type="dxa"/>
                <w:gridSpan w:val="3"/>
                <w:vAlign w:val="center"/>
              </w:tcPr>
              <w:p>
                <w:pPr>
                  <w:rPr>
                    <w:rFonts w:eastAsia="Calibri"/>
                    <w:szCs w:val="24"/>
                  </w:rPr>
                </w:pPr>
                <w:r>
                  <w:rPr>
                    <w:rFonts w:eastAsia="Calibri"/>
                    <w:szCs w:val="24"/>
                  </w:rPr>
                  <w:t>Pirmosios pagalbos rinkinys yra namuose</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428"/>
              <w:jc w:val="center"/>
            </w:trPr>
            <w:tc>
              <w:tcPr>
                <w:tcW w:w="433" w:type="dxa"/>
                <w:vMerge w:val="restart"/>
                <w:vAlign w:val="center"/>
              </w:tcPr>
              <w:p>
                <w:pPr>
                  <w:jc w:val="center"/>
                  <w:rPr>
                    <w:rFonts w:eastAsia="Calibri"/>
                    <w:b/>
                    <w:bCs/>
                    <w:szCs w:val="24"/>
                  </w:rPr>
                </w:pPr>
                <w:r>
                  <w:rPr>
                    <w:rFonts w:eastAsia="Calibri"/>
                    <w:b/>
                    <w:bCs/>
                    <w:szCs w:val="24"/>
                  </w:rPr>
                  <w:t>20.</w:t>
                </w:r>
              </w:p>
            </w:tc>
            <w:tc>
              <w:tcPr>
                <w:tcW w:w="1483" w:type="dxa"/>
                <w:vMerge w:val="restart"/>
                <w:vAlign w:val="center"/>
              </w:tcPr>
              <w:p>
                <w:pPr>
                  <w:rPr>
                    <w:rFonts w:eastAsia="Calibri"/>
                    <w:szCs w:val="24"/>
                  </w:rPr>
                </w:pPr>
                <w:r>
                  <w:rPr>
                    <w:rFonts w:eastAsia="Calibri"/>
                    <w:szCs w:val="24"/>
                  </w:rPr>
                  <w:t>Židinys</w:t>
                </w:r>
              </w:p>
              <w:p>
                <w:pPr>
                  <w:rPr>
                    <w:rFonts w:eastAsia="Calibri"/>
                    <w:szCs w:val="24"/>
                  </w:rPr>
                </w:pPr>
                <w:r>
                  <w:rPr>
                    <w:rFonts w:eastAsia="Calibri"/>
                    <w:szCs w:val="24"/>
                  </w:rPr>
                  <w:t>(Jeigu yra)</w:t>
                </w:r>
              </w:p>
            </w:tc>
            <w:tc>
              <w:tcPr>
                <w:tcW w:w="3471" w:type="dxa"/>
                <w:gridSpan w:val="2"/>
                <w:vAlign w:val="center"/>
              </w:tcPr>
              <w:p>
                <w:pPr>
                  <w:rPr>
                    <w:rFonts w:eastAsia="Calibri"/>
                    <w:szCs w:val="24"/>
                  </w:rPr>
                </w:pPr>
                <w:r>
                  <w:rPr>
                    <w:rFonts w:eastAsia="Calibri"/>
                    <w:szCs w:val="24"/>
                  </w:rPr>
                  <w:t>Atitverta tvorele</w:t>
                </w:r>
              </w:p>
            </w:tc>
            <w:tc>
              <w:tcPr>
                <w:tcW w:w="1842" w:type="dxa"/>
              </w:tcPr>
              <w:p>
                <w:pPr>
                  <w:jc w:val="center"/>
                  <w:rPr>
                    <w:rFonts w:eastAsia="Calibri"/>
                    <w:b/>
                    <w:bCs/>
                    <w:szCs w:val="24"/>
                  </w:rPr>
                </w:pPr>
              </w:p>
            </w:tc>
            <w:tc>
              <w:tcPr>
                <w:tcW w:w="2977" w:type="dxa"/>
                <w:vMerge w:val="restart"/>
              </w:tcPr>
              <w:p>
                <w:pPr>
                  <w:jc w:val="center"/>
                  <w:rPr>
                    <w:rFonts w:eastAsia="Calibri"/>
                    <w:b/>
                    <w:bCs/>
                    <w:szCs w:val="24"/>
                  </w:rPr>
                </w:pPr>
              </w:p>
            </w:tc>
          </w:tr>
          <w:tr>
            <w:trPr>
              <w:trHeight w:val="428"/>
              <w:jc w:val="center"/>
            </w:trPr>
            <w:tc>
              <w:tcPr>
                <w:tcW w:w="433" w:type="dxa"/>
                <w:vMerge/>
                <w:vAlign w:val="center"/>
              </w:tcPr>
              <w:p>
                <w:pPr>
                  <w:jc w:val="center"/>
                  <w:rPr>
                    <w:rFonts w:eastAsia="Calibri"/>
                    <w:b/>
                    <w:bCs/>
                    <w:szCs w:val="24"/>
                  </w:rPr>
                </w:pPr>
              </w:p>
            </w:tc>
            <w:tc>
              <w:tcPr>
                <w:tcW w:w="1483" w:type="dxa"/>
                <w:vMerge/>
                <w:vAlign w:val="center"/>
              </w:tcPr>
              <w:p>
                <w:pPr>
                  <w:rPr>
                    <w:rFonts w:eastAsia="Calibri"/>
                    <w:szCs w:val="24"/>
                  </w:rPr>
                </w:pPr>
              </w:p>
            </w:tc>
            <w:tc>
              <w:tcPr>
                <w:tcW w:w="3471" w:type="dxa"/>
                <w:gridSpan w:val="2"/>
                <w:vAlign w:val="center"/>
              </w:tcPr>
              <w:p>
                <w:pPr>
                  <w:rPr>
                    <w:rFonts w:eastAsia="Calibri"/>
                    <w:szCs w:val="24"/>
                  </w:rPr>
                </w:pPr>
                <w:r>
                  <w:rPr>
                    <w:rFonts w:eastAsia="Calibri"/>
                    <w:szCs w:val="24"/>
                  </w:rPr>
                  <w:t>Turi termoizoliaciją</w:t>
                </w:r>
              </w:p>
            </w:tc>
            <w:tc>
              <w:tcPr>
                <w:tcW w:w="1842" w:type="dxa"/>
              </w:tcPr>
              <w:p>
                <w:pPr>
                  <w:jc w:val="center"/>
                  <w:rPr>
                    <w:rFonts w:eastAsia="Calibri"/>
                    <w:b/>
                    <w:bCs/>
                    <w:szCs w:val="24"/>
                  </w:rPr>
                </w:pPr>
              </w:p>
            </w:tc>
            <w:tc>
              <w:tcPr>
                <w:tcW w:w="2977" w:type="dxa"/>
                <w:vMerge/>
              </w:tcPr>
              <w:p>
                <w:pPr>
                  <w:jc w:val="center"/>
                  <w:rPr>
                    <w:rFonts w:eastAsia="Calibri"/>
                    <w:b/>
                    <w:bCs/>
                    <w:szCs w:val="24"/>
                  </w:rPr>
                </w:pPr>
              </w:p>
            </w:tc>
          </w:tr>
          <w:tr>
            <w:trPr>
              <w:trHeight w:val="669"/>
              <w:jc w:val="center"/>
            </w:trPr>
            <w:tc>
              <w:tcPr>
                <w:tcW w:w="433" w:type="dxa"/>
                <w:vAlign w:val="center"/>
              </w:tcPr>
              <w:p>
                <w:pPr>
                  <w:jc w:val="center"/>
                  <w:rPr>
                    <w:rFonts w:eastAsia="Calibri"/>
                    <w:b/>
                    <w:bCs/>
                    <w:szCs w:val="24"/>
                  </w:rPr>
                </w:pPr>
                <w:r>
                  <w:rPr>
                    <w:rFonts w:eastAsia="Calibri"/>
                    <w:b/>
                    <w:bCs/>
                    <w:szCs w:val="24"/>
                  </w:rPr>
                  <w:t>21.</w:t>
                </w:r>
              </w:p>
            </w:tc>
            <w:tc>
              <w:tcPr>
                <w:tcW w:w="4954" w:type="dxa"/>
                <w:gridSpan w:val="3"/>
                <w:vAlign w:val="center"/>
              </w:tcPr>
              <w:p>
                <w:pPr>
                  <w:rPr>
                    <w:rFonts w:eastAsia="Calibri"/>
                    <w:szCs w:val="24"/>
                  </w:rPr>
                </w:pPr>
                <w:r>
                  <w:rPr>
                    <w:rFonts w:eastAsia="Calibri"/>
                    <w:szCs w:val="24"/>
                  </w:rPr>
                  <w:t>Nėra aukštų slenksčių namuose</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703"/>
              <w:jc w:val="center"/>
            </w:trPr>
            <w:tc>
              <w:tcPr>
                <w:tcW w:w="433" w:type="dxa"/>
                <w:vAlign w:val="center"/>
              </w:tcPr>
              <w:p>
                <w:pPr>
                  <w:jc w:val="center"/>
                  <w:rPr>
                    <w:rFonts w:eastAsia="Calibri"/>
                    <w:b/>
                    <w:bCs/>
                    <w:szCs w:val="24"/>
                  </w:rPr>
                </w:pPr>
                <w:r>
                  <w:rPr>
                    <w:rFonts w:eastAsia="Calibri"/>
                    <w:b/>
                    <w:bCs/>
                    <w:szCs w:val="24"/>
                  </w:rPr>
                  <w:t>22.</w:t>
                </w:r>
              </w:p>
            </w:tc>
            <w:tc>
              <w:tcPr>
                <w:tcW w:w="4954" w:type="dxa"/>
                <w:gridSpan w:val="3"/>
                <w:vAlign w:val="center"/>
              </w:tcPr>
              <w:p>
                <w:pPr>
                  <w:rPr>
                    <w:rFonts w:eastAsia="Calibri"/>
                    <w:szCs w:val="24"/>
                  </w:rPr>
                </w:pPr>
                <w:r>
                  <w:rPr>
                    <w:rFonts w:eastAsia="Calibri"/>
                    <w:szCs w:val="24"/>
                  </w:rPr>
                  <w:t>Aštriems kampams uždengti naudojamos apsauginės priemonės</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428"/>
              <w:jc w:val="center"/>
            </w:trPr>
            <w:tc>
              <w:tcPr>
                <w:tcW w:w="433" w:type="dxa"/>
                <w:vMerge w:val="restart"/>
                <w:vAlign w:val="center"/>
              </w:tcPr>
              <w:p>
                <w:pPr>
                  <w:jc w:val="center"/>
                  <w:rPr>
                    <w:rFonts w:eastAsia="Calibri"/>
                    <w:b/>
                    <w:bCs/>
                    <w:szCs w:val="24"/>
                  </w:rPr>
                </w:pPr>
                <w:r>
                  <w:rPr>
                    <w:rFonts w:eastAsia="Calibri"/>
                    <w:b/>
                    <w:bCs/>
                    <w:szCs w:val="24"/>
                  </w:rPr>
                  <w:t>23.</w:t>
                </w:r>
              </w:p>
            </w:tc>
            <w:tc>
              <w:tcPr>
                <w:tcW w:w="1483" w:type="dxa"/>
                <w:vMerge w:val="restart"/>
                <w:vAlign w:val="center"/>
              </w:tcPr>
              <w:p>
                <w:pPr>
                  <w:jc w:val="center"/>
                  <w:rPr>
                    <w:rFonts w:eastAsia="Calibri"/>
                    <w:szCs w:val="24"/>
                  </w:rPr>
                </w:pPr>
                <w:r>
                  <w:rPr>
                    <w:rFonts w:eastAsia="Calibri"/>
                    <w:szCs w:val="24"/>
                  </w:rPr>
                  <w:t>Gyvūnai</w:t>
                </w:r>
              </w:p>
              <w:p>
                <w:pPr>
                  <w:jc w:val="center"/>
                  <w:rPr>
                    <w:rFonts w:eastAsia="Calibri"/>
                    <w:szCs w:val="24"/>
                  </w:rPr>
                </w:pPr>
              </w:p>
            </w:tc>
            <w:tc>
              <w:tcPr>
                <w:tcW w:w="3471" w:type="dxa"/>
                <w:gridSpan w:val="2"/>
                <w:vAlign w:val="center"/>
              </w:tcPr>
              <w:p>
                <w:pPr>
                  <w:rPr>
                    <w:rFonts w:eastAsia="Calibri"/>
                    <w:szCs w:val="24"/>
                  </w:rPr>
                </w:pPr>
                <w:r>
                  <w:rPr>
                    <w:rFonts w:eastAsia="Calibri"/>
                    <w:szCs w:val="24"/>
                  </w:rPr>
                  <w:t>Koks gyvūnas? __________________</w:t>
                </w:r>
              </w:p>
            </w:tc>
            <w:tc>
              <w:tcPr>
                <w:tcW w:w="1842" w:type="dxa"/>
              </w:tcPr>
              <w:p>
                <w:pPr>
                  <w:jc w:val="center"/>
                  <w:rPr>
                    <w:rFonts w:eastAsia="Calibri"/>
                    <w:b/>
                    <w:bCs/>
                    <w:szCs w:val="24"/>
                  </w:rPr>
                </w:pPr>
              </w:p>
            </w:tc>
            <w:tc>
              <w:tcPr>
                <w:tcW w:w="2977" w:type="dxa"/>
                <w:vMerge w:val="restart"/>
              </w:tcPr>
              <w:p>
                <w:pPr>
                  <w:jc w:val="center"/>
                  <w:rPr>
                    <w:rFonts w:eastAsia="Calibri"/>
                    <w:b/>
                    <w:bCs/>
                    <w:szCs w:val="24"/>
                  </w:rPr>
                </w:pPr>
              </w:p>
            </w:tc>
          </w:tr>
          <w:tr>
            <w:trPr>
              <w:trHeight w:val="428"/>
              <w:jc w:val="center"/>
            </w:trPr>
            <w:tc>
              <w:tcPr>
                <w:tcW w:w="433" w:type="dxa"/>
                <w:vMerge/>
                <w:vAlign w:val="center"/>
              </w:tcPr>
              <w:p>
                <w:pPr>
                  <w:jc w:val="center"/>
                  <w:rPr>
                    <w:rFonts w:eastAsia="Calibri"/>
                    <w:b/>
                    <w:bCs/>
                    <w:szCs w:val="24"/>
                  </w:rPr>
                </w:pPr>
              </w:p>
            </w:tc>
            <w:tc>
              <w:tcPr>
                <w:tcW w:w="1483" w:type="dxa"/>
                <w:vMerge/>
                <w:vAlign w:val="center"/>
              </w:tcPr>
              <w:p>
                <w:pPr>
                  <w:jc w:val="center"/>
                  <w:rPr>
                    <w:rFonts w:eastAsia="Calibri"/>
                    <w:szCs w:val="24"/>
                  </w:rPr>
                </w:pPr>
              </w:p>
            </w:tc>
            <w:tc>
              <w:tcPr>
                <w:tcW w:w="3471" w:type="dxa"/>
                <w:gridSpan w:val="2"/>
                <w:vAlign w:val="center"/>
              </w:tcPr>
              <w:p>
                <w:pPr>
                  <w:rPr>
                    <w:rFonts w:eastAsia="Calibri"/>
                    <w:szCs w:val="24"/>
                  </w:rPr>
                </w:pPr>
                <w:r>
                  <w:rPr>
                    <w:rFonts w:eastAsia="Calibri"/>
                    <w:szCs w:val="24"/>
                  </w:rPr>
                  <w:t>Vaikas nežaidžia su gyvūnu be suaugusiųjų priežiūros</w:t>
                </w:r>
              </w:p>
            </w:tc>
            <w:tc>
              <w:tcPr>
                <w:tcW w:w="1842" w:type="dxa"/>
              </w:tcPr>
              <w:p>
                <w:pPr>
                  <w:jc w:val="center"/>
                  <w:rPr>
                    <w:rFonts w:eastAsia="Calibri"/>
                    <w:b/>
                    <w:bCs/>
                    <w:szCs w:val="24"/>
                  </w:rPr>
                </w:pPr>
              </w:p>
            </w:tc>
            <w:tc>
              <w:tcPr>
                <w:tcW w:w="2977" w:type="dxa"/>
                <w:vMerge/>
              </w:tcPr>
              <w:p>
                <w:pPr>
                  <w:jc w:val="center"/>
                  <w:rPr>
                    <w:rFonts w:eastAsia="Calibri"/>
                    <w:b/>
                    <w:bCs/>
                    <w:szCs w:val="24"/>
                  </w:rPr>
                </w:pPr>
              </w:p>
            </w:tc>
          </w:tr>
          <w:tr>
            <w:trPr>
              <w:trHeight w:val="419"/>
              <w:jc w:val="center"/>
            </w:trPr>
            <w:tc>
              <w:tcPr>
                <w:tcW w:w="433" w:type="dxa"/>
                <w:vAlign w:val="center"/>
              </w:tcPr>
              <w:p>
                <w:pPr>
                  <w:jc w:val="center"/>
                  <w:rPr>
                    <w:rFonts w:eastAsia="Calibri"/>
                    <w:b/>
                    <w:bCs/>
                    <w:szCs w:val="24"/>
                  </w:rPr>
                </w:pPr>
                <w:r>
                  <w:rPr>
                    <w:rFonts w:eastAsia="Calibri"/>
                    <w:b/>
                    <w:bCs/>
                    <w:szCs w:val="24"/>
                  </w:rPr>
                  <w:t>24.</w:t>
                </w:r>
              </w:p>
            </w:tc>
            <w:tc>
              <w:tcPr>
                <w:tcW w:w="4954" w:type="dxa"/>
                <w:gridSpan w:val="3"/>
                <w:vAlign w:val="center"/>
              </w:tcPr>
              <w:p>
                <w:pPr>
                  <w:rPr>
                    <w:rFonts w:eastAsia="Calibri"/>
                    <w:szCs w:val="24"/>
                  </w:rPr>
                </w:pPr>
                <w:r>
                  <w:rPr>
                    <w:rFonts w:eastAsia="Calibri"/>
                    <w:szCs w:val="24"/>
                  </w:rPr>
                  <w:t>Yra elektros lizdų apsaugos</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445"/>
              <w:jc w:val="center"/>
            </w:trPr>
            <w:tc>
              <w:tcPr>
                <w:tcW w:w="433" w:type="dxa"/>
                <w:vAlign w:val="center"/>
              </w:tcPr>
              <w:p>
                <w:pPr>
                  <w:jc w:val="center"/>
                  <w:rPr>
                    <w:rFonts w:eastAsia="Calibri"/>
                    <w:b/>
                    <w:bCs/>
                    <w:szCs w:val="24"/>
                  </w:rPr>
                </w:pPr>
                <w:r>
                  <w:rPr>
                    <w:rFonts w:eastAsia="Calibri"/>
                    <w:b/>
                    <w:bCs/>
                    <w:szCs w:val="24"/>
                  </w:rPr>
                  <w:t>25.</w:t>
                </w:r>
              </w:p>
            </w:tc>
            <w:tc>
              <w:tcPr>
                <w:tcW w:w="4954" w:type="dxa"/>
                <w:gridSpan w:val="3"/>
                <w:vAlign w:val="center"/>
              </w:tcPr>
              <w:p>
                <w:pPr>
                  <w:rPr>
                    <w:rFonts w:eastAsia="Calibri"/>
                    <w:szCs w:val="24"/>
                  </w:rPr>
                </w:pPr>
                <w:r>
                  <w:rPr>
                    <w:rFonts w:eastAsia="Calibri"/>
                    <w:szCs w:val="24"/>
                  </w:rPr>
                  <w:t>Nėra laidų matomose vietose, kad vaikas galėtų pasiekti</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445"/>
              <w:jc w:val="center"/>
            </w:trPr>
            <w:tc>
              <w:tcPr>
                <w:tcW w:w="433" w:type="dxa"/>
                <w:vAlign w:val="center"/>
              </w:tcPr>
              <w:p>
                <w:pPr>
                  <w:jc w:val="center"/>
                  <w:rPr>
                    <w:rFonts w:eastAsia="Calibri"/>
                    <w:b/>
                    <w:bCs/>
                    <w:szCs w:val="24"/>
                  </w:rPr>
                </w:pPr>
                <w:r>
                  <w:rPr>
                    <w:rFonts w:eastAsia="Calibri"/>
                    <w:b/>
                    <w:bCs/>
                    <w:szCs w:val="24"/>
                  </w:rPr>
                  <w:t>26.</w:t>
                </w:r>
              </w:p>
            </w:tc>
            <w:tc>
              <w:tcPr>
                <w:tcW w:w="4954" w:type="dxa"/>
                <w:gridSpan w:val="3"/>
                <w:vAlign w:val="center"/>
              </w:tcPr>
              <w:p>
                <w:pPr>
                  <w:rPr>
                    <w:rFonts w:eastAsia="Calibri"/>
                    <w:szCs w:val="24"/>
                  </w:rPr>
                </w:pPr>
                <w:r>
                  <w:rPr>
                    <w:rFonts w:eastAsia="Calibri"/>
                    <w:szCs w:val="24"/>
                  </w:rPr>
                  <w:t>Neslidi grindų danga</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382"/>
              <w:jc w:val="center"/>
            </w:trPr>
            <w:tc>
              <w:tcPr>
                <w:tcW w:w="10206" w:type="dxa"/>
                <w:gridSpan w:val="6"/>
                <w:vAlign w:val="center"/>
              </w:tcPr>
              <w:p>
                <w:pPr>
                  <w:jc w:val="center"/>
                  <w:rPr>
                    <w:rFonts w:eastAsia="Calibri"/>
                    <w:b/>
                    <w:bCs/>
                    <w:szCs w:val="24"/>
                  </w:rPr>
                </w:pPr>
                <w:r>
                  <w:rPr>
                    <w:rFonts w:eastAsia="Calibri"/>
                    <w:b/>
                    <w:bCs/>
                    <w:szCs w:val="24"/>
                  </w:rPr>
                  <w:t>APLINKA KIEME</w:t>
                </w:r>
              </w:p>
            </w:tc>
          </w:tr>
          <w:tr>
            <w:trPr>
              <w:trHeight w:val="503"/>
              <w:jc w:val="center"/>
            </w:trPr>
            <w:tc>
              <w:tcPr>
                <w:tcW w:w="433" w:type="dxa"/>
                <w:vMerge w:val="restart"/>
                <w:vAlign w:val="center"/>
              </w:tcPr>
              <w:p>
                <w:pPr>
                  <w:jc w:val="center"/>
                  <w:rPr>
                    <w:rFonts w:eastAsia="Calibri"/>
                    <w:b/>
                    <w:bCs/>
                    <w:szCs w:val="24"/>
                  </w:rPr>
                </w:pPr>
                <w:r>
                  <w:rPr>
                    <w:rFonts w:eastAsia="Calibri"/>
                    <w:b/>
                    <w:bCs/>
                    <w:szCs w:val="24"/>
                  </w:rPr>
                  <w:t>27.</w:t>
                </w:r>
              </w:p>
            </w:tc>
            <w:tc>
              <w:tcPr>
                <w:tcW w:w="1483" w:type="dxa"/>
                <w:vMerge w:val="restart"/>
                <w:vAlign w:val="center"/>
              </w:tcPr>
              <w:p>
                <w:pPr>
                  <w:rPr>
                    <w:rFonts w:eastAsia="Calibri"/>
                    <w:szCs w:val="24"/>
                  </w:rPr>
                </w:pPr>
                <w:r>
                  <w:rPr>
                    <w:rFonts w:eastAsia="Calibri"/>
                    <w:szCs w:val="24"/>
                  </w:rPr>
                  <w:t>Batutas</w:t>
                </w:r>
              </w:p>
              <w:p>
                <w:pPr>
                  <w:rPr>
                    <w:rFonts w:eastAsia="Calibri"/>
                    <w:szCs w:val="24"/>
                  </w:rPr>
                </w:pPr>
                <w:r>
                  <w:rPr>
                    <w:rFonts w:eastAsia="Calibri"/>
                    <w:szCs w:val="24"/>
                  </w:rPr>
                  <w:t>(Jeigu yra)</w:t>
                </w:r>
              </w:p>
            </w:tc>
            <w:tc>
              <w:tcPr>
                <w:tcW w:w="3471" w:type="dxa"/>
                <w:gridSpan w:val="2"/>
                <w:vAlign w:val="center"/>
              </w:tcPr>
              <w:p>
                <w:pPr>
                  <w:rPr>
                    <w:rFonts w:eastAsia="Calibri"/>
                    <w:szCs w:val="24"/>
                  </w:rPr>
                </w:pPr>
                <w:r>
                  <w:rPr>
                    <w:rFonts w:eastAsia="Calibri"/>
                    <w:szCs w:val="24"/>
                  </w:rPr>
                  <w:t>Apsauginės tvorelės</w:t>
                </w:r>
              </w:p>
            </w:tc>
            <w:tc>
              <w:tcPr>
                <w:tcW w:w="1842" w:type="dxa"/>
              </w:tcPr>
              <w:p>
                <w:pPr>
                  <w:jc w:val="center"/>
                  <w:rPr>
                    <w:rFonts w:eastAsia="Calibri"/>
                    <w:b/>
                    <w:bCs/>
                    <w:szCs w:val="24"/>
                  </w:rPr>
                </w:pPr>
              </w:p>
            </w:tc>
            <w:tc>
              <w:tcPr>
                <w:tcW w:w="2977" w:type="dxa"/>
                <w:vMerge w:val="restart"/>
              </w:tcPr>
              <w:p>
                <w:pPr>
                  <w:jc w:val="center"/>
                  <w:rPr>
                    <w:rFonts w:eastAsia="Calibri"/>
                    <w:b/>
                    <w:bCs/>
                    <w:szCs w:val="24"/>
                  </w:rPr>
                </w:pPr>
              </w:p>
            </w:tc>
          </w:tr>
          <w:tr>
            <w:trPr>
              <w:trHeight w:val="502"/>
              <w:jc w:val="center"/>
            </w:trPr>
            <w:tc>
              <w:tcPr>
                <w:tcW w:w="433" w:type="dxa"/>
                <w:vMerge/>
                <w:vAlign w:val="center"/>
              </w:tcPr>
              <w:p>
                <w:pPr>
                  <w:jc w:val="center"/>
                  <w:rPr>
                    <w:rFonts w:eastAsia="Calibri"/>
                    <w:b/>
                    <w:bCs/>
                    <w:szCs w:val="24"/>
                  </w:rPr>
                </w:pPr>
              </w:p>
            </w:tc>
            <w:tc>
              <w:tcPr>
                <w:tcW w:w="1483" w:type="dxa"/>
                <w:vMerge/>
                <w:vAlign w:val="center"/>
              </w:tcPr>
              <w:p>
                <w:pPr>
                  <w:rPr>
                    <w:rFonts w:eastAsia="Calibri"/>
                    <w:szCs w:val="24"/>
                  </w:rPr>
                </w:pPr>
              </w:p>
            </w:tc>
            <w:tc>
              <w:tcPr>
                <w:tcW w:w="3471" w:type="dxa"/>
                <w:gridSpan w:val="2"/>
                <w:vAlign w:val="center"/>
              </w:tcPr>
              <w:p>
                <w:pPr>
                  <w:rPr>
                    <w:rFonts w:eastAsia="Calibri"/>
                    <w:szCs w:val="24"/>
                  </w:rPr>
                </w:pPr>
                <w:r>
                  <w:rPr>
                    <w:rFonts w:eastAsia="Calibri"/>
                    <w:szCs w:val="24"/>
                  </w:rPr>
                  <w:t>Uždengtos metalinės konstrukcinės dalys (spyruoklės, kabliai)</w:t>
                </w:r>
              </w:p>
            </w:tc>
            <w:tc>
              <w:tcPr>
                <w:tcW w:w="1842" w:type="dxa"/>
              </w:tcPr>
              <w:p>
                <w:pPr>
                  <w:jc w:val="center"/>
                  <w:rPr>
                    <w:rFonts w:eastAsia="Calibri"/>
                    <w:b/>
                    <w:bCs/>
                    <w:szCs w:val="24"/>
                  </w:rPr>
                </w:pPr>
              </w:p>
            </w:tc>
            <w:tc>
              <w:tcPr>
                <w:tcW w:w="2977" w:type="dxa"/>
                <w:vMerge/>
              </w:tcPr>
              <w:p>
                <w:pPr>
                  <w:jc w:val="center"/>
                  <w:rPr>
                    <w:rFonts w:eastAsia="Calibri"/>
                    <w:b/>
                    <w:bCs/>
                    <w:szCs w:val="24"/>
                  </w:rPr>
                </w:pPr>
              </w:p>
            </w:tc>
          </w:tr>
          <w:tr>
            <w:trPr>
              <w:trHeight w:val="428"/>
              <w:jc w:val="center"/>
            </w:trPr>
            <w:tc>
              <w:tcPr>
                <w:tcW w:w="433" w:type="dxa"/>
                <w:vMerge w:val="restart"/>
                <w:vAlign w:val="center"/>
              </w:tcPr>
              <w:p>
                <w:pPr>
                  <w:jc w:val="center"/>
                  <w:rPr>
                    <w:rFonts w:eastAsia="Calibri"/>
                    <w:b/>
                    <w:bCs/>
                    <w:szCs w:val="24"/>
                  </w:rPr>
                </w:pPr>
                <w:r>
                  <w:rPr>
                    <w:rFonts w:eastAsia="Calibri"/>
                    <w:b/>
                    <w:bCs/>
                    <w:szCs w:val="24"/>
                  </w:rPr>
                  <w:t>28.</w:t>
                </w:r>
              </w:p>
            </w:tc>
            <w:tc>
              <w:tcPr>
                <w:tcW w:w="1483" w:type="dxa"/>
                <w:vMerge w:val="restart"/>
                <w:vAlign w:val="center"/>
              </w:tcPr>
              <w:p>
                <w:pPr>
                  <w:rPr>
                    <w:rFonts w:eastAsia="Calibri"/>
                    <w:szCs w:val="24"/>
                  </w:rPr>
                </w:pPr>
                <w:r>
                  <w:rPr>
                    <w:rFonts w:eastAsia="Calibri"/>
                    <w:szCs w:val="24"/>
                  </w:rPr>
                  <w:t>Vaikiška kėdutė automobilyje</w:t>
                </w:r>
              </w:p>
            </w:tc>
            <w:tc>
              <w:tcPr>
                <w:tcW w:w="3471" w:type="dxa"/>
                <w:gridSpan w:val="2"/>
                <w:vAlign w:val="center"/>
              </w:tcPr>
              <w:p>
                <w:pPr>
                  <w:rPr>
                    <w:rFonts w:eastAsia="Calibri"/>
                    <w:szCs w:val="24"/>
                  </w:rPr>
                </w:pPr>
                <w:r>
                  <w:rPr>
                    <w:rFonts w:eastAsia="Calibri"/>
                    <w:szCs w:val="24"/>
                  </w:rPr>
                  <w:t>Naudojama kiekvienos kelionės metu</w:t>
                </w:r>
              </w:p>
            </w:tc>
            <w:tc>
              <w:tcPr>
                <w:tcW w:w="1842" w:type="dxa"/>
                <w:vMerge w:val="restart"/>
              </w:tcPr>
              <w:p>
                <w:pPr>
                  <w:jc w:val="center"/>
                  <w:rPr>
                    <w:rFonts w:eastAsia="Calibri"/>
                    <w:b/>
                    <w:bCs/>
                    <w:szCs w:val="24"/>
                  </w:rPr>
                </w:pPr>
              </w:p>
            </w:tc>
            <w:tc>
              <w:tcPr>
                <w:tcW w:w="2977" w:type="dxa"/>
                <w:vMerge w:val="restart"/>
              </w:tcPr>
              <w:p>
                <w:pPr>
                  <w:jc w:val="center"/>
                  <w:rPr>
                    <w:rFonts w:eastAsia="Calibri"/>
                    <w:b/>
                    <w:bCs/>
                    <w:szCs w:val="24"/>
                  </w:rPr>
                </w:pPr>
              </w:p>
            </w:tc>
          </w:tr>
          <w:tr>
            <w:trPr>
              <w:trHeight w:val="428"/>
              <w:jc w:val="center"/>
            </w:trPr>
            <w:tc>
              <w:tcPr>
                <w:tcW w:w="433" w:type="dxa"/>
                <w:vMerge/>
                <w:vAlign w:val="center"/>
              </w:tcPr>
              <w:p>
                <w:pPr>
                  <w:jc w:val="center"/>
                  <w:rPr>
                    <w:rFonts w:eastAsia="Calibri"/>
                    <w:b/>
                    <w:bCs/>
                    <w:szCs w:val="24"/>
                  </w:rPr>
                </w:pPr>
              </w:p>
            </w:tc>
            <w:tc>
              <w:tcPr>
                <w:tcW w:w="1483" w:type="dxa"/>
                <w:vMerge/>
                <w:vAlign w:val="center"/>
              </w:tcPr>
              <w:p>
                <w:pPr>
                  <w:rPr>
                    <w:rFonts w:eastAsia="Calibri"/>
                    <w:szCs w:val="24"/>
                  </w:rPr>
                </w:pPr>
              </w:p>
            </w:tc>
            <w:tc>
              <w:tcPr>
                <w:tcW w:w="3471" w:type="dxa"/>
                <w:gridSpan w:val="2"/>
                <w:vAlign w:val="center"/>
              </w:tcPr>
              <w:p>
                <w:pPr>
                  <w:rPr>
                    <w:rFonts w:eastAsia="Calibri"/>
                    <w:szCs w:val="24"/>
                  </w:rPr>
                </w:pPr>
                <w:r>
                  <w:rPr>
                    <w:rFonts w:eastAsia="Calibri"/>
                    <w:szCs w:val="24"/>
                  </w:rPr>
                  <w:t>Pritaikoma pagal vaiko ūgį ir amžių</w:t>
                </w:r>
              </w:p>
            </w:tc>
            <w:tc>
              <w:tcPr>
                <w:tcW w:w="1842" w:type="dxa"/>
                <w:vMerge/>
              </w:tcPr>
              <w:p>
                <w:pPr>
                  <w:jc w:val="center"/>
                  <w:rPr>
                    <w:rFonts w:eastAsia="Calibri"/>
                    <w:b/>
                    <w:bCs/>
                    <w:szCs w:val="24"/>
                  </w:rPr>
                </w:pPr>
              </w:p>
            </w:tc>
            <w:tc>
              <w:tcPr>
                <w:tcW w:w="2977" w:type="dxa"/>
                <w:vMerge/>
              </w:tcPr>
              <w:p>
                <w:pPr>
                  <w:jc w:val="center"/>
                  <w:rPr>
                    <w:rFonts w:eastAsia="Calibri"/>
                    <w:b/>
                    <w:bCs/>
                    <w:szCs w:val="24"/>
                  </w:rPr>
                </w:pPr>
              </w:p>
            </w:tc>
          </w:tr>
          <w:tr>
            <w:trPr>
              <w:trHeight w:val="428"/>
              <w:jc w:val="center"/>
            </w:trPr>
            <w:tc>
              <w:tcPr>
                <w:tcW w:w="433" w:type="dxa"/>
                <w:vAlign w:val="center"/>
              </w:tcPr>
              <w:p>
                <w:pPr>
                  <w:jc w:val="center"/>
                  <w:rPr>
                    <w:rFonts w:eastAsia="Calibri"/>
                    <w:b/>
                    <w:bCs/>
                    <w:szCs w:val="24"/>
                  </w:rPr>
                </w:pPr>
                <w:r>
                  <w:rPr>
                    <w:rFonts w:eastAsia="Calibri"/>
                    <w:b/>
                    <w:bCs/>
                    <w:szCs w:val="24"/>
                  </w:rPr>
                  <w:t>29.</w:t>
                </w:r>
              </w:p>
            </w:tc>
            <w:tc>
              <w:tcPr>
                <w:tcW w:w="4954" w:type="dxa"/>
                <w:gridSpan w:val="3"/>
                <w:vAlign w:val="center"/>
              </w:tcPr>
              <w:p>
                <w:pPr>
                  <w:rPr>
                    <w:rFonts w:eastAsia="Calibri"/>
                    <w:szCs w:val="24"/>
                  </w:rPr>
                </w:pPr>
                <w:r>
                  <w:rPr>
                    <w:rFonts w:eastAsia="Calibri"/>
                    <w:szCs w:val="24"/>
                  </w:rPr>
                  <w:t>Vandens telkinys aptvertas tvora</w:t>
                </w:r>
              </w:p>
              <w:p>
                <w:pPr>
                  <w:rPr>
                    <w:rFonts w:eastAsia="Calibri"/>
                    <w:szCs w:val="24"/>
                  </w:rPr>
                </w:pPr>
                <w:r>
                  <w:rPr>
                    <w:rFonts w:eastAsia="Calibri"/>
                    <w:szCs w:val="24"/>
                  </w:rPr>
                  <w:t>(Jeigu yra)</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679"/>
              <w:jc w:val="center"/>
            </w:trPr>
            <w:tc>
              <w:tcPr>
                <w:tcW w:w="433" w:type="dxa"/>
                <w:vAlign w:val="center"/>
              </w:tcPr>
              <w:p>
                <w:pPr>
                  <w:jc w:val="center"/>
                  <w:rPr>
                    <w:rFonts w:eastAsia="Calibri"/>
                    <w:b/>
                    <w:bCs/>
                    <w:szCs w:val="24"/>
                  </w:rPr>
                </w:pPr>
                <w:r>
                  <w:rPr>
                    <w:rFonts w:eastAsia="Calibri"/>
                    <w:b/>
                    <w:bCs/>
                    <w:szCs w:val="24"/>
                  </w:rPr>
                  <w:t>30.</w:t>
                </w:r>
              </w:p>
            </w:tc>
            <w:tc>
              <w:tcPr>
                <w:tcW w:w="4954" w:type="dxa"/>
                <w:gridSpan w:val="3"/>
                <w:vAlign w:val="center"/>
              </w:tcPr>
              <w:p>
                <w:pPr>
                  <w:rPr>
                    <w:rFonts w:eastAsia="Calibri"/>
                    <w:szCs w:val="24"/>
                  </w:rPr>
                </w:pPr>
                <w:r>
                  <w:rPr>
                    <w:rFonts w:eastAsia="Calibri"/>
                    <w:szCs w:val="24"/>
                  </w:rPr>
                  <w:t>Kelias, esantis šalia namo yra atitvertas tvora</w:t>
                </w:r>
              </w:p>
              <w:p>
                <w:pPr>
                  <w:rPr>
                    <w:rFonts w:eastAsia="Calibri"/>
                    <w:szCs w:val="24"/>
                  </w:rPr>
                </w:pPr>
                <w:r>
                  <w:rPr>
                    <w:rFonts w:eastAsia="Calibri"/>
                    <w:szCs w:val="24"/>
                  </w:rPr>
                  <w:t>(Jeigu yra)</w:t>
                </w:r>
              </w:p>
            </w:tc>
            <w:tc>
              <w:tcPr>
                <w:tcW w:w="1842" w:type="dxa"/>
              </w:tcPr>
              <w:p>
                <w:pPr>
                  <w:jc w:val="center"/>
                  <w:rPr>
                    <w:rFonts w:eastAsia="Calibri"/>
                    <w:b/>
                    <w:bCs/>
                    <w:szCs w:val="24"/>
                  </w:rPr>
                </w:pPr>
              </w:p>
            </w:tc>
            <w:tc>
              <w:tcPr>
                <w:tcW w:w="2977" w:type="dxa"/>
              </w:tcPr>
              <w:p>
                <w:pPr>
                  <w:jc w:val="center"/>
                  <w:rPr>
                    <w:rFonts w:eastAsia="Calibri"/>
                    <w:b/>
                    <w:bCs/>
                    <w:szCs w:val="24"/>
                  </w:rPr>
                </w:pPr>
              </w:p>
            </w:tc>
          </w:tr>
          <w:tr>
            <w:trPr>
              <w:trHeight w:val="572"/>
              <w:jc w:val="center"/>
            </w:trPr>
            <w:tc>
              <w:tcPr>
                <w:tcW w:w="433" w:type="dxa"/>
                <w:vMerge w:val="restart"/>
                <w:vAlign w:val="center"/>
              </w:tcPr>
              <w:p>
                <w:pPr>
                  <w:jc w:val="center"/>
                  <w:rPr>
                    <w:rFonts w:eastAsia="Calibri"/>
                    <w:b/>
                    <w:bCs/>
                    <w:szCs w:val="24"/>
                  </w:rPr>
                </w:pPr>
                <w:r>
                  <w:rPr>
                    <w:rFonts w:eastAsia="Calibri"/>
                    <w:b/>
                    <w:bCs/>
                    <w:szCs w:val="24"/>
                  </w:rPr>
                  <w:t>31.</w:t>
                </w:r>
              </w:p>
            </w:tc>
            <w:tc>
              <w:tcPr>
                <w:tcW w:w="1483" w:type="dxa"/>
                <w:vMerge w:val="restart"/>
                <w:vAlign w:val="center"/>
              </w:tcPr>
              <w:p>
                <w:pPr>
                  <w:rPr>
                    <w:rFonts w:eastAsia="Calibri"/>
                    <w:szCs w:val="24"/>
                  </w:rPr>
                </w:pPr>
                <w:r>
                  <w:rPr>
                    <w:rFonts w:eastAsia="Calibri"/>
                    <w:szCs w:val="24"/>
                  </w:rPr>
                  <w:t>Žaidimų aikštelės</w:t>
                </w:r>
              </w:p>
              <w:p>
                <w:pPr>
                  <w:rPr>
                    <w:rFonts w:eastAsia="Calibri"/>
                    <w:szCs w:val="24"/>
                  </w:rPr>
                </w:pPr>
              </w:p>
            </w:tc>
            <w:tc>
              <w:tcPr>
                <w:tcW w:w="3471" w:type="dxa"/>
                <w:gridSpan w:val="2"/>
                <w:vAlign w:val="center"/>
              </w:tcPr>
              <w:p>
                <w:pPr>
                  <w:rPr>
                    <w:rFonts w:eastAsia="Calibri"/>
                    <w:szCs w:val="24"/>
                  </w:rPr>
                </w:pPr>
                <w:r>
                  <w:rPr>
                    <w:rFonts w:eastAsia="Calibri"/>
                    <w:szCs w:val="24"/>
                  </w:rPr>
                  <w:t>Žaidimų aikštelių įranga tvarkinga, nesulūžusi</w:t>
                </w:r>
              </w:p>
            </w:tc>
            <w:tc>
              <w:tcPr>
                <w:tcW w:w="1842" w:type="dxa"/>
              </w:tcPr>
              <w:p>
                <w:pPr>
                  <w:jc w:val="center"/>
                  <w:rPr>
                    <w:rFonts w:eastAsia="Calibri"/>
                    <w:b/>
                    <w:bCs/>
                    <w:szCs w:val="24"/>
                  </w:rPr>
                </w:pPr>
              </w:p>
            </w:tc>
            <w:tc>
              <w:tcPr>
                <w:tcW w:w="2977" w:type="dxa"/>
                <w:vMerge w:val="restart"/>
              </w:tcPr>
              <w:p>
                <w:pPr>
                  <w:jc w:val="center"/>
                  <w:rPr>
                    <w:rFonts w:eastAsia="Calibri"/>
                    <w:b/>
                    <w:bCs/>
                    <w:szCs w:val="24"/>
                  </w:rPr>
                </w:pPr>
              </w:p>
            </w:tc>
          </w:tr>
          <w:tr>
            <w:trPr>
              <w:trHeight w:val="570"/>
              <w:jc w:val="center"/>
            </w:trPr>
            <w:tc>
              <w:tcPr>
                <w:tcW w:w="433" w:type="dxa"/>
                <w:vMerge/>
                <w:vAlign w:val="center"/>
              </w:tcPr>
              <w:p>
                <w:pPr>
                  <w:jc w:val="center"/>
                  <w:rPr>
                    <w:rFonts w:eastAsia="Calibri"/>
                    <w:b/>
                    <w:bCs/>
                    <w:szCs w:val="24"/>
                  </w:rPr>
                </w:pPr>
              </w:p>
            </w:tc>
            <w:tc>
              <w:tcPr>
                <w:tcW w:w="1483" w:type="dxa"/>
                <w:vMerge/>
                <w:vAlign w:val="center"/>
              </w:tcPr>
              <w:p>
                <w:pPr>
                  <w:rPr>
                    <w:rFonts w:eastAsia="Calibri"/>
                    <w:szCs w:val="24"/>
                  </w:rPr>
                </w:pPr>
              </w:p>
            </w:tc>
            <w:tc>
              <w:tcPr>
                <w:tcW w:w="3471" w:type="dxa"/>
                <w:gridSpan w:val="2"/>
                <w:vAlign w:val="center"/>
              </w:tcPr>
              <w:p>
                <w:pPr>
                  <w:rPr>
                    <w:rFonts w:eastAsia="Calibri"/>
                    <w:szCs w:val="24"/>
                  </w:rPr>
                </w:pPr>
                <w:r>
                  <w:rPr>
                    <w:rFonts w:eastAsia="Calibri"/>
                    <w:szCs w:val="24"/>
                  </w:rPr>
                  <w:t>Žaidimų aikštelėje yra speciali danga</w:t>
                </w:r>
              </w:p>
              <w:p>
                <w:pPr>
                  <w:rPr>
                    <w:rFonts w:eastAsia="Calibri"/>
                    <w:szCs w:val="24"/>
                  </w:rPr>
                </w:pPr>
                <w:r>
                  <w:rPr>
                    <w:rFonts w:eastAsia="Calibri"/>
                    <w:szCs w:val="24"/>
                  </w:rPr>
                  <w:t>Kokia? _________________</w:t>
                </w:r>
              </w:p>
            </w:tc>
            <w:tc>
              <w:tcPr>
                <w:tcW w:w="1842" w:type="dxa"/>
              </w:tcPr>
              <w:p>
                <w:pPr>
                  <w:jc w:val="center"/>
                  <w:rPr>
                    <w:rFonts w:eastAsia="Calibri"/>
                    <w:b/>
                    <w:bCs/>
                    <w:szCs w:val="24"/>
                  </w:rPr>
                </w:pPr>
              </w:p>
            </w:tc>
            <w:tc>
              <w:tcPr>
                <w:tcW w:w="2977" w:type="dxa"/>
                <w:vMerge/>
              </w:tcPr>
              <w:p>
                <w:pPr>
                  <w:jc w:val="center"/>
                  <w:rPr>
                    <w:rFonts w:eastAsia="Calibri"/>
                    <w:b/>
                    <w:bCs/>
                    <w:szCs w:val="24"/>
                  </w:rPr>
                </w:pPr>
              </w:p>
            </w:tc>
          </w:tr>
          <w:tr>
            <w:trPr>
              <w:trHeight w:val="570"/>
              <w:jc w:val="center"/>
            </w:trPr>
            <w:tc>
              <w:tcPr>
                <w:tcW w:w="433" w:type="dxa"/>
                <w:vMerge/>
                <w:vAlign w:val="center"/>
              </w:tcPr>
              <w:p>
                <w:pPr>
                  <w:jc w:val="center"/>
                  <w:rPr>
                    <w:rFonts w:eastAsia="Calibri"/>
                    <w:b/>
                    <w:bCs/>
                    <w:szCs w:val="24"/>
                  </w:rPr>
                </w:pPr>
              </w:p>
            </w:tc>
            <w:tc>
              <w:tcPr>
                <w:tcW w:w="1483" w:type="dxa"/>
                <w:vMerge/>
                <w:vAlign w:val="center"/>
              </w:tcPr>
              <w:p>
                <w:pPr>
                  <w:rPr>
                    <w:rFonts w:eastAsia="Calibri"/>
                    <w:szCs w:val="24"/>
                  </w:rPr>
                </w:pPr>
              </w:p>
            </w:tc>
            <w:tc>
              <w:tcPr>
                <w:tcW w:w="3471" w:type="dxa"/>
                <w:gridSpan w:val="2"/>
                <w:vAlign w:val="center"/>
              </w:tcPr>
              <w:p>
                <w:pPr>
                  <w:rPr>
                    <w:rFonts w:eastAsia="Calibri"/>
                    <w:szCs w:val="24"/>
                  </w:rPr>
                </w:pPr>
                <w:r>
                  <w:rPr>
                    <w:rFonts w:eastAsia="Calibri"/>
                    <w:szCs w:val="24"/>
                  </w:rPr>
                  <w:t>Žaidimų aikštelėje visų užsiėmimų metu vaikas prižiūrimas suaugusiųjų</w:t>
                </w:r>
              </w:p>
            </w:tc>
            <w:tc>
              <w:tcPr>
                <w:tcW w:w="1842" w:type="dxa"/>
              </w:tcPr>
              <w:p>
                <w:pPr>
                  <w:jc w:val="center"/>
                  <w:rPr>
                    <w:rFonts w:eastAsia="Calibri"/>
                    <w:b/>
                    <w:bCs/>
                    <w:szCs w:val="24"/>
                  </w:rPr>
                </w:pPr>
              </w:p>
            </w:tc>
            <w:tc>
              <w:tcPr>
                <w:tcW w:w="2977" w:type="dxa"/>
                <w:vMerge/>
              </w:tcPr>
              <w:p>
                <w:pPr>
                  <w:jc w:val="center"/>
                  <w:rPr>
                    <w:rFonts w:eastAsia="Calibri"/>
                    <w:b/>
                    <w:bCs/>
                    <w:szCs w:val="24"/>
                  </w:rPr>
                </w:pPr>
              </w:p>
            </w:tc>
          </w:tr>
          <w:tr>
            <w:trPr>
              <w:trHeight w:val="570"/>
              <w:jc w:val="center"/>
            </w:trPr>
            <w:tc>
              <w:tcPr>
                <w:tcW w:w="433" w:type="dxa"/>
                <w:vAlign w:val="center"/>
              </w:tcPr>
              <w:p>
                <w:pPr>
                  <w:jc w:val="center"/>
                  <w:rPr>
                    <w:rFonts w:eastAsia="Calibri"/>
                    <w:b/>
                    <w:bCs/>
                    <w:szCs w:val="24"/>
                  </w:rPr>
                </w:pPr>
                <w:r>
                  <w:rPr>
                    <w:rFonts w:eastAsia="Calibri"/>
                    <w:b/>
                    <w:bCs/>
                    <w:szCs w:val="24"/>
                  </w:rPr>
                  <w:t>32.</w:t>
                </w:r>
              </w:p>
            </w:tc>
            <w:tc>
              <w:tcPr>
                <w:tcW w:w="4954" w:type="dxa"/>
                <w:gridSpan w:val="3"/>
                <w:vAlign w:val="center"/>
              </w:tcPr>
              <w:p>
                <w:pPr>
                  <w:rPr>
                    <w:rFonts w:eastAsia="Calibri"/>
                    <w:szCs w:val="24"/>
                  </w:rPr>
                </w:pPr>
                <w:r>
                  <w:rPr>
                    <w:rFonts w:eastAsia="Calibri"/>
                    <w:szCs w:val="24"/>
                  </w:rPr>
                  <w:t>Vaikas savarankiškai neišeina į lauką</w:t>
                </w:r>
              </w:p>
            </w:tc>
            <w:tc>
              <w:tcPr>
                <w:tcW w:w="1842" w:type="dxa"/>
              </w:tcPr>
              <w:p>
                <w:pPr>
                  <w:jc w:val="center"/>
                  <w:rPr>
                    <w:rFonts w:eastAsia="Calibri"/>
                    <w:b/>
                    <w:bCs/>
                    <w:szCs w:val="24"/>
                  </w:rPr>
                </w:pPr>
              </w:p>
            </w:tc>
            <w:tc>
              <w:tcPr>
                <w:tcW w:w="2977" w:type="dxa"/>
              </w:tcPr>
              <w:p>
                <w:pPr>
                  <w:jc w:val="center"/>
                  <w:rPr>
                    <w:rFonts w:eastAsia="Calibri"/>
                    <w:b/>
                    <w:bCs/>
                    <w:szCs w:val="24"/>
                  </w:rPr>
                </w:pPr>
              </w:p>
            </w:tc>
          </w:tr>
        </w:tbl>
        <w:p>
          <w:pPr>
            <w:jc w:val="center"/>
            <w:rPr>
              <w:rFonts w:eastAsia="Calibri"/>
              <w:b/>
              <w:bCs/>
              <w:szCs w:val="24"/>
            </w:rPr>
          </w:pPr>
        </w:p>
        <w:sdt>
          <w:sdtPr>
            <w:alias w:val="skirsnis"/>
            <w:tag w:val="part_b3731a19b5bf4a0cb0caab5c12970c10"/>
            <w:lock w:val="sdtLocked"/>
            <w:richText/>
          </w:sdtPr>
          <w:sdtContent>
            <w:p>
              <w:pPr>
                <w:ind w:left="-709" w:right="-705"/>
                <w:rPr>
                  <w:rFonts w:eastAsia="Calibri"/>
                  <w:b/>
                  <w:bCs/>
                  <w:szCs w:val="24"/>
                </w:rPr>
              </w:pPr>
              <w:sdt>
                <w:sdtPr>
                  <w:alias w:val="Pavadinimas"/>
                  <w:tag w:val="title_b3731a19b5bf4a0cb0caab5c12970c10"/>
                  <w:lock w:val="sdtLocked"/>
                  <w:richText/>
                </w:sdtPr>
                <w:sdtContent>
                  <w:r>
                    <w:rPr>
                      <w:rFonts w:eastAsia="Calibri"/>
                      <w:b/>
                      <w:bCs/>
                      <w:szCs w:val="24"/>
                    </w:rPr>
                    <w:t>Tėvų ir vaiko santykis stebėjimo metu :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sdtContent>
              </w:sdt>
            </w:p>
            <w:p>
              <w:pPr>
                <w:ind w:right="-1"/>
                <w:rPr>
                  <w:rFonts w:eastAsia="Calibri"/>
                  <w:b/>
                  <w:bCs/>
                  <w:szCs w:val="24"/>
                </w:rPr>
              </w:pPr>
            </w:p>
            <w:p>
              <w:pPr>
                <w:spacing w:line="259" w:lineRule="auto"/>
                <w:ind w:left="-709" w:right="-1"/>
                <w:rPr>
                  <w:rFonts w:eastAsia="Calibri"/>
                  <w:bCs/>
                  <w:szCs w:val="24"/>
                </w:rPr>
              </w:pPr>
              <w:r>
                <w:rPr>
                  <w:rFonts w:eastAsia="Calibri"/>
                  <w:bCs/>
                  <w:szCs w:val="24"/>
                </w:rPr>
                <w:t xml:space="preserve">RIZIKOS LYGIAI: </w:t>
              </w:r>
            </w:p>
            <w:tbl>
              <w:tblPr>
                <w:tblW w:w="10774"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9"/>
                <w:gridCol w:w="9525"/>
              </w:tblGrid>
              <w:tr>
                <w:tc>
                  <w:tcPr>
                    <w:tcW w:w="1249" w:type="dxa"/>
                    <w:vAlign w:val="center"/>
                  </w:tcPr>
                  <w:p>
                    <w:pPr>
                      <w:ind w:left="29" w:right="-705"/>
                      <w:jc w:val="center"/>
                      <w:rPr>
                        <w:rFonts w:eastAsia="Calibri"/>
                        <w:bCs/>
                        <w:sz w:val="28"/>
                        <w:szCs w:val="28"/>
                      </w:rPr>
                    </w:pPr>
                    <w:r>
                      <w:rPr>
                        <w:rFonts w:eastAsia="Calibri"/>
                        <w:bCs/>
                        <w:sz w:val="28"/>
                        <w:szCs w:val="28"/>
                      </w:rPr>
                      <w:t>0</w:t>
                    </w:r>
                  </w:p>
                  <w:p>
                    <w:pPr>
                      <w:ind w:left="29" w:right="-705"/>
                      <w:jc w:val="center"/>
                      <w:rPr>
                        <w:rFonts w:eastAsia="Calibri"/>
                        <w:bCs/>
                        <w:sz w:val="28"/>
                        <w:szCs w:val="28"/>
                      </w:rPr>
                    </w:pPr>
                  </w:p>
                </w:tc>
                <w:tc>
                  <w:tcPr>
                    <w:tcW w:w="9525" w:type="dxa"/>
                  </w:tcPr>
                  <w:p>
                    <w:pPr>
                      <w:tabs>
                        <w:tab w:val="left" w:pos="720"/>
                      </w:tabs>
                      <w:ind w:left="720" w:right="28" w:hanging="720"/>
                      <w:jc w:val="both"/>
                      <w:rPr>
                        <w:rFonts w:eastAsia="Calibri"/>
                        <w:szCs w:val="24"/>
                      </w:rPr>
                    </w:pPr>
                    <w:r>
                      <w:rPr>
                        <w:rFonts w:eastAsia="Calibri"/>
                        <w:szCs w:val="24"/>
                      </w:rPr>
                      <w:t>1.</w:t>
                      <w:tab/>
                      <w:t>Mama/tėvai neturi fizinės, psichinės, proto ar kompleksinės negalios, neturi sveikatos sutrikimų, lėtinių ligų, kurios trukdytų užtikrinti vaiko saugumą namuose.</w:t>
                    </w:r>
                  </w:p>
                  <w:p>
                    <w:pPr>
                      <w:tabs>
                        <w:tab w:val="left" w:pos="720"/>
                      </w:tabs>
                      <w:ind w:left="720" w:right="28" w:hanging="720"/>
                      <w:jc w:val="both"/>
                      <w:rPr>
                        <w:rFonts w:eastAsia="Calibri"/>
                        <w:szCs w:val="24"/>
                      </w:rPr>
                    </w:pPr>
                    <w:r>
                      <w:rPr>
                        <w:rFonts w:eastAsia="Calibri"/>
                        <w:szCs w:val="24"/>
                      </w:rPr>
                      <w:t>2.</w:t>
                      <w:tab/>
                      <w:t xml:space="preserve">Vaikas neturi jokių negalių ar sveikatos sutrikimų, kurie reikalautų papildomo aplinkos saugumo sukūrimo. </w:t>
                    </w:r>
                  </w:p>
                  <w:p>
                    <w:pPr>
                      <w:tabs>
                        <w:tab w:val="left" w:pos="720"/>
                      </w:tabs>
                      <w:ind w:left="720" w:right="28" w:hanging="720"/>
                      <w:jc w:val="both"/>
                      <w:rPr>
                        <w:rFonts w:eastAsia="Calibri"/>
                        <w:szCs w:val="24"/>
                      </w:rPr>
                    </w:pPr>
                    <w:r>
                      <w:rPr>
                        <w:rFonts w:eastAsia="Calibri"/>
                        <w:szCs w:val="24"/>
                      </w:rPr>
                      <w:t>3.</w:t>
                      <w:tab/>
                      <w:t xml:space="preserve">Šeima turi galimybes užtikrinti saugią namų aplinką vaikui, supranta aplinkos grėsmes vaiko sveikatai ir gyvybei. </w:t>
                    </w:r>
                  </w:p>
                  <w:p>
                    <w:pPr>
                      <w:tabs>
                        <w:tab w:val="left" w:pos="720"/>
                      </w:tabs>
                      <w:ind w:left="720" w:right="28" w:hanging="720"/>
                      <w:jc w:val="both"/>
                      <w:rPr>
                        <w:rFonts w:eastAsia="Calibri"/>
                        <w:b/>
                        <w:szCs w:val="24"/>
                      </w:rPr>
                    </w:pPr>
                    <w:r>
                      <w:rPr>
                        <w:rFonts w:eastAsia="Calibri"/>
                        <w:b/>
                        <w:szCs w:val="24"/>
                      </w:rPr>
                      <w:t>4.</w:t>
                      <w:tab/>
                      <w:t>Namų aplinka vaikui yra saugi (Atsakymų „NE“ surinko 0-3).</w:t>
                    </w:r>
                  </w:p>
                </w:tc>
              </w:tr>
              <w:tr>
                <w:tc>
                  <w:tcPr>
                    <w:tcW w:w="1249" w:type="dxa"/>
                    <w:vAlign w:val="center"/>
                  </w:tcPr>
                  <w:p>
                    <w:pPr>
                      <w:ind w:left="29" w:right="-705"/>
                      <w:jc w:val="center"/>
                      <w:rPr>
                        <w:rFonts w:eastAsia="Calibri"/>
                        <w:bCs/>
                        <w:sz w:val="28"/>
                        <w:szCs w:val="28"/>
                      </w:rPr>
                    </w:pPr>
                    <w:r>
                      <w:rPr>
                        <w:rFonts w:eastAsia="Calibri"/>
                        <w:bCs/>
                        <w:sz w:val="28"/>
                        <w:szCs w:val="28"/>
                      </w:rPr>
                      <w:t>1</w:t>
                    </w:r>
                  </w:p>
                </w:tc>
                <w:tc>
                  <w:tcPr>
                    <w:tcW w:w="9525" w:type="dxa"/>
                  </w:tcPr>
                  <w:p>
                    <w:pPr>
                      <w:tabs>
                        <w:tab w:val="left" w:pos="720"/>
                      </w:tabs>
                      <w:ind w:left="720" w:right="28" w:hanging="720"/>
                      <w:jc w:val="both"/>
                      <w:rPr>
                        <w:rFonts w:eastAsia="Calibri"/>
                        <w:szCs w:val="24"/>
                      </w:rPr>
                    </w:pPr>
                    <w:r>
                      <w:rPr>
                        <w:rFonts w:eastAsia="Calibri"/>
                        <w:szCs w:val="24"/>
                      </w:rPr>
                      <w:t>1.</w:t>
                      <w:tab/>
                      <w:t>Mama/tėvai turi lengvą fizinę, psichinę, proto ar kompleksinę negalią, tačiau gauna visą reikalingą pagalbą ir paslaugas, kurios leidžia rūpinti vaiko saugumu, sėkmingai funkcionuoti gaunant pagalbą.</w:t>
                    </w:r>
                  </w:p>
                  <w:p>
                    <w:pPr>
                      <w:tabs>
                        <w:tab w:val="left" w:pos="720"/>
                      </w:tabs>
                      <w:ind w:left="720" w:right="28" w:hanging="720"/>
                      <w:jc w:val="both"/>
                      <w:rPr>
                        <w:rFonts w:eastAsia="Calibri"/>
                        <w:szCs w:val="24"/>
                      </w:rPr>
                    </w:pPr>
                    <w:r>
                      <w:rPr>
                        <w:rFonts w:eastAsia="Calibri"/>
                        <w:szCs w:val="24"/>
                      </w:rPr>
                      <w:t>2.</w:t>
                      <w:tab/>
                      <w:t xml:space="preserve">Vaikas turi lengvą fizinę, proto ar kompleksinę negalią, kuri reikalauja papildomo aplinkos saugumo sukūrimo. Tačiau atpažįstamos situacijos, kai tėvams trūksta informacijos ir gebėjimų užtikrinti saugią aplinką vaikui. </w:t>
                    </w:r>
                  </w:p>
                  <w:p>
                    <w:pPr>
                      <w:tabs>
                        <w:tab w:val="left" w:pos="720"/>
                      </w:tabs>
                      <w:ind w:left="720" w:right="28" w:hanging="720"/>
                      <w:jc w:val="both"/>
                      <w:rPr>
                        <w:rFonts w:eastAsia="Calibri"/>
                        <w:szCs w:val="24"/>
                      </w:rPr>
                    </w:pPr>
                    <w:r>
                      <w:rPr>
                        <w:rFonts w:eastAsia="Calibri"/>
                        <w:szCs w:val="24"/>
                      </w:rPr>
                      <w:t>3.</w:t>
                      <w:tab/>
                      <w:t>Šeima turi menkas galimybes užtikrinti saugią namų aplinką vaikui, nevisiškai supranta arba ignoruoja nesaugios aplinkos grėsmes vaiko sveikatai ir gyvybei, nepilnai suvokia tokio elgesio riziką.</w:t>
                    </w:r>
                  </w:p>
                  <w:p>
                    <w:pPr>
                      <w:tabs>
                        <w:tab w:val="left" w:pos="720"/>
                      </w:tabs>
                      <w:ind w:left="720" w:right="28" w:hanging="720"/>
                      <w:jc w:val="both"/>
                      <w:rPr>
                        <w:rFonts w:eastAsia="Calibri"/>
                        <w:b/>
                        <w:szCs w:val="24"/>
                      </w:rPr>
                    </w:pPr>
                    <w:r>
                      <w:rPr>
                        <w:rFonts w:eastAsia="Calibri"/>
                        <w:b/>
                        <w:szCs w:val="24"/>
                      </w:rPr>
                      <w:t>4.</w:t>
                      <w:tab/>
                      <w:t>Namų aplinka vaikui iš dalies saugi (Atsakymų „NE“ surinko 4-8).</w:t>
                    </w:r>
                  </w:p>
                </w:tc>
              </w:tr>
              <w:tr>
                <w:tc>
                  <w:tcPr>
                    <w:tcW w:w="1249" w:type="dxa"/>
                    <w:vAlign w:val="center"/>
                  </w:tcPr>
                  <w:p>
                    <w:pPr>
                      <w:ind w:left="29" w:right="-705"/>
                      <w:jc w:val="center"/>
                      <w:rPr>
                        <w:rFonts w:eastAsia="Calibri"/>
                        <w:bCs/>
                        <w:sz w:val="28"/>
                        <w:szCs w:val="28"/>
                      </w:rPr>
                    </w:pPr>
                    <w:r>
                      <w:rPr>
                        <w:rFonts w:eastAsia="Calibri"/>
                        <w:bCs/>
                        <w:sz w:val="28"/>
                        <w:szCs w:val="28"/>
                      </w:rPr>
                      <w:t>2</w:t>
                    </w:r>
                  </w:p>
                </w:tc>
                <w:tc>
                  <w:tcPr>
                    <w:tcW w:w="9525" w:type="dxa"/>
                  </w:tcPr>
                  <w:p>
                    <w:pPr>
                      <w:tabs>
                        <w:tab w:val="left" w:pos="720"/>
                      </w:tabs>
                      <w:ind w:left="720" w:right="28" w:hanging="720"/>
                      <w:jc w:val="both"/>
                      <w:rPr>
                        <w:rFonts w:eastAsia="Calibri"/>
                        <w:szCs w:val="24"/>
                      </w:rPr>
                    </w:pPr>
                    <w:r>
                      <w:rPr>
                        <w:rFonts w:eastAsia="Calibri"/>
                        <w:szCs w:val="24"/>
                      </w:rPr>
                      <w:t>1.</w:t>
                      <w:tab/>
                      <w:t>Mama/tėvai turi vidutinę fizinę, psichinę, proto ar kompleksinę negalią. Turi ilgalaikių sveikatos sutrikimų ar lėtinių ligų, galinčių turėti ilgalaikių pasekmių užtikrinant vaiko saugumą. Periodiškai pasitaiko, kad mama nesikreipia reikalingos pagalbos, slepia savo būklę, bijodama netekti vaiko ar galimybės juo rūpintis. Net jei specialistai aplankomi, jie nuolat keičiami dėl subjektyvių priežasčių (pvz.: konfliktinių santykių su specialistais, siekio nuslėpti šeimos ir (ar) vaiko gyvenimo situaciją, kt.).</w:t>
                    </w:r>
                  </w:p>
                  <w:p>
                    <w:pPr>
                      <w:tabs>
                        <w:tab w:val="left" w:pos="720"/>
                      </w:tabs>
                      <w:ind w:left="720" w:right="28" w:hanging="720"/>
                      <w:jc w:val="both"/>
                      <w:rPr>
                        <w:rFonts w:eastAsia="Calibri"/>
                        <w:szCs w:val="24"/>
                      </w:rPr>
                    </w:pPr>
                    <w:r>
                      <w:rPr>
                        <w:rFonts w:eastAsia="Calibri"/>
                        <w:szCs w:val="24"/>
                      </w:rPr>
                      <w:t>2.</w:t>
                      <w:tab/>
                      <w:t>Vaikas turi vidutinę fizinę, proto ar kompleksinę negalią, kuri reikalauja ypatingo aplinkos saugumo sukūrimo. Vaikas tik periodiškai turi galimybę gauti būtiną medicininę ir sveikatos priežiūros pagalbą, tėvai vengia kreiptis į specialistus, slepia vaiko būklę, bijodami netekti vaiko. Net jei specialistai epizodiškai aplankomi, jie nuolat keičiami dėl subjektyvių priežasčių.</w:t>
                    </w:r>
                  </w:p>
                  <w:p>
                    <w:pPr>
                      <w:tabs>
                        <w:tab w:val="left" w:pos="720"/>
                      </w:tabs>
                      <w:ind w:left="720" w:right="28" w:hanging="720"/>
                      <w:jc w:val="both"/>
                      <w:rPr>
                        <w:rFonts w:eastAsia="Calibri"/>
                        <w:szCs w:val="24"/>
                      </w:rPr>
                    </w:pPr>
                    <w:r>
                      <w:rPr>
                        <w:rFonts w:eastAsia="Calibri"/>
                        <w:szCs w:val="24"/>
                      </w:rPr>
                      <w:t>3.</w:t>
                      <w:tab/>
                      <w:t>Šeima turi menkas galimybes užtikrinti saugią namų aplinką vaikui, nevisiškai supranta arba ignoruoja nesaugios aplinkos grėsmes vaiko sveikatai ir gyvybei, nepilnai suvokia tokio elgesio riziką.</w:t>
                    </w:r>
                  </w:p>
                  <w:p>
                    <w:pPr>
                      <w:tabs>
                        <w:tab w:val="left" w:pos="720"/>
                      </w:tabs>
                      <w:ind w:left="720" w:right="28" w:hanging="720"/>
                      <w:jc w:val="both"/>
                      <w:rPr>
                        <w:rFonts w:eastAsia="Calibri"/>
                        <w:b/>
                        <w:szCs w:val="24"/>
                      </w:rPr>
                    </w:pPr>
                    <w:r>
                      <w:rPr>
                        <w:rFonts w:eastAsia="Calibri"/>
                        <w:b/>
                        <w:szCs w:val="24"/>
                      </w:rPr>
                      <w:t>4.</w:t>
                      <w:tab/>
                      <w:t>Namų aplinka vaikui iš dalies nesaugi (Atsakymų „NE“ surinko 9-12).</w:t>
                    </w:r>
                  </w:p>
                </w:tc>
              </w:tr>
              <w:tr>
                <w:tc>
                  <w:tcPr>
                    <w:tcW w:w="1249" w:type="dxa"/>
                    <w:vAlign w:val="center"/>
                  </w:tcPr>
                  <w:p>
                    <w:pPr>
                      <w:ind w:left="29" w:right="-705"/>
                      <w:jc w:val="center"/>
                      <w:rPr>
                        <w:rFonts w:eastAsia="Calibri"/>
                        <w:bCs/>
                        <w:sz w:val="28"/>
                        <w:szCs w:val="28"/>
                      </w:rPr>
                    </w:pPr>
                    <w:r>
                      <w:rPr>
                        <w:rFonts w:eastAsia="Calibri"/>
                        <w:bCs/>
                        <w:sz w:val="28"/>
                        <w:szCs w:val="28"/>
                      </w:rPr>
                      <w:t>3</w:t>
                    </w:r>
                  </w:p>
                </w:tc>
                <w:tc>
                  <w:tcPr>
                    <w:tcW w:w="9525" w:type="dxa"/>
                  </w:tcPr>
                  <w:p>
                    <w:pPr>
                      <w:tabs>
                        <w:tab w:val="left" w:pos="720"/>
                      </w:tabs>
                      <w:ind w:left="720" w:right="28" w:hanging="720"/>
                      <w:jc w:val="both"/>
                      <w:rPr>
                        <w:rFonts w:eastAsia="Calibri"/>
                        <w:szCs w:val="24"/>
                      </w:rPr>
                    </w:pPr>
                    <w:r>
                      <w:rPr>
                        <w:rFonts w:eastAsia="Calibri"/>
                        <w:szCs w:val="24"/>
                      </w:rPr>
                      <w:t>1.</w:t>
                      <w:tab/>
                      <w:t xml:space="preserve">Mama/tėvai turi sunkią fizinę, psichinę, proto ar kompleksinę negalią. Pergyvena stiprius ūmius ar ilgalaikius stresus. Neturi galimybės laiku gauti būtiną medicininę ir sveikatos priežiūros pagalbą, vengia kreiptis į specialistus, slepia savo būklę, bijodama netekti vaiko ar galimybės juo rūpintis. Net jei specialistai epizodiškai aplankomi, jie nuolat keičiami be aiškių priežasčių. </w:t>
                    </w:r>
                  </w:p>
                  <w:p>
                    <w:pPr>
                      <w:tabs>
                        <w:tab w:val="left" w:pos="720"/>
                      </w:tabs>
                      <w:ind w:left="720" w:right="28" w:hanging="720"/>
                      <w:jc w:val="both"/>
                      <w:rPr>
                        <w:rFonts w:eastAsia="Calibri"/>
                        <w:szCs w:val="24"/>
                      </w:rPr>
                    </w:pPr>
                    <w:r>
                      <w:rPr>
                        <w:rFonts w:eastAsia="Calibri"/>
                        <w:szCs w:val="24"/>
                      </w:rPr>
                      <w:t>2.</w:t>
                      <w:tab/>
                      <w:t xml:space="preserve">Vaikas turi sunkią fizinę, proto ar kompleksinę negalią, kuri reikalauja ypatingo aplinkos saugumo sukūrimo. Vaikas neturi galimybės laiku gauti būtiną medicininę ir sveikatos priežiūros pagalbą, tėvai vengia kreiptis į specialistus, slepia vaiko būklę, bijodami netekti vaiko. Net jei specialistai epizodiškai aplankomi, jie nuolat keičiami be aiškių priežasčių. </w:t>
                    </w:r>
                  </w:p>
                  <w:p>
                    <w:pPr>
                      <w:tabs>
                        <w:tab w:val="left" w:pos="720"/>
                      </w:tabs>
                      <w:ind w:left="720" w:right="28" w:hanging="720"/>
                      <w:jc w:val="both"/>
                      <w:rPr>
                        <w:rFonts w:eastAsia="Calibri"/>
                        <w:szCs w:val="24"/>
                      </w:rPr>
                    </w:pPr>
                    <w:r>
                      <w:rPr>
                        <w:rFonts w:eastAsia="Calibri"/>
                        <w:szCs w:val="24"/>
                      </w:rPr>
                      <w:t>3.</w:t>
                      <w:tab/>
                      <w:t>Šeima neturi jokios galimybės užtikrinti saugią namų aplinką vaikui arba visiškai ignoruoja nesaugios aplinkos grėsmes vaiko sveikatai ir gyvybei, nesuvokia tokio elgesio rizikos.</w:t>
                    </w:r>
                  </w:p>
                  <w:p>
                    <w:pPr>
                      <w:tabs>
                        <w:tab w:val="left" w:pos="720"/>
                      </w:tabs>
                      <w:ind w:left="720" w:right="28" w:hanging="720"/>
                      <w:jc w:val="both"/>
                      <w:rPr>
                        <w:rFonts w:eastAsia="Calibri"/>
                        <w:b/>
                        <w:szCs w:val="24"/>
                      </w:rPr>
                    </w:pPr>
                    <w:r>
                      <w:rPr>
                        <w:rFonts w:eastAsia="Calibri"/>
                        <w:b/>
                        <w:szCs w:val="24"/>
                      </w:rPr>
                      <w:t>4.</w:t>
                      <w:tab/>
                      <w:t>Namų aplinka vaikui nesaugi (Atsakymų „NE“ surinko 13 ir daugiau).</w:t>
                    </w:r>
                  </w:p>
                </w:tc>
              </w:tr>
            </w:tbl>
            <w:p>
              <w:pPr>
                <w:suppressAutoHyphens/>
                <w:rPr>
                  <w:color w:val="000000"/>
                  <w:szCs w:val="24"/>
                </w:rPr>
              </w:pPr>
              <w:r>
                <w:rPr>
                  <w:color w:val="000000"/>
                  <w:szCs w:val="24"/>
                </w:rPr>
                <w:t>Pastabos: klausimyną pildo šeimų lankymo specialistas.</w:t>
              </w:r>
            </w:p>
          </w:sdtContent>
        </w:sdt>
        <w:sdt>
          <w:sdtPr>
            <w:alias w:val="pabaiga"/>
            <w:tag w:val="part_881311e7eb3741aeaec220de0247c5ab"/>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7" Abbr="27 pr." Title="NAMŲ APLINKOS SAUGUMAS KŪDIKIUI" DocPartId="9104c63b69f444e2b52008909baf4ef3" PartId="83249324a67740a2a4714978827381ee">
    <Part Type="skirsnis" Title="Tėvų ir vaiko santykis stebėjimo metu :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DocPartId="f13a8345bcb34d1ab582bc021f430c3c" PartId="b3731a19b5bf4a0cb0caab5c12970c10"/>
    <Part Type="pabaiga" DocPartId="fab4bd7906754ad490c04ae913445724" PartId="881311e7eb3741aeaec220de0247c5ab"/>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A3C599D-3032-4F24-AF88-4766C0D98A75}">
  <ds:schemaRefs>
    <ds:schemaRef ds:uri="http://schemas.openxmlformats.org/officeDocument/2006/bibliography"/>
  </ds:schemaRefs>
</ds:datastoreItem>
</file>

<file path=customXml/itemProps5.xml><?xml version="1.0" encoding="utf-8"?>
<ds:datastoreItem xmlns:ds="http://schemas.openxmlformats.org/officeDocument/2006/customXml" ds:itemID="{826B465A-C11C-4AB3-B65B-6CE8FB657E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915</Words>
  <Characters>6458</Characters>
  <Application>Microsoft Office Word</Application>
  <DocSecurity>4</DocSecurity>
  <Lines>379</Lines>
  <Paragraphs>171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7202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