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7 pr."/>
        <w:tag w:val="part_4f8f0c8a49874df29c7bca63cfccd5f4"/>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4f8f0c8a49874df29c7bca63cfccd5f4"/>
              <w:lock w:val="sdtLocked"/>
              <w:richText/>
            </w:sdtPr>
            <w:sdtContent>
              <w:r>
                <w:rPr>
                  <w:color w:val="242424"/>
                  <w:szCs w:val="24"/>
                  <w:lang w:eastAsia="lt-LT"/>
                </w:rPr>
                <w:t>17</w:t>
              </w:r>
            </w:sdtContent>
          </w:sdt>
          <w:r>
            <w:rPr>
              <w:color w:val="242424"/>
              <w:szCs w:val="24"/>
              <w:lang w:eastAsia="lt-LT"/>
            </w:rPr>
            <w:t xml:space="preserve"> priedas </w:t>
          </w:r>
        </w:p>
        <w:p>
          <w:pPr>
            <w:rPr>
              <w:szCs w:val="24"/>
            </w:rPr>
          </w:pPr>
        </w:p>
        <w:p>
          <w:pPr>
            <w:jc w:val="center"/>
            <w:rPr>
              <w:rFonts w:eastAsia="Calibri"/>
              <w:szCs w:val="24"/>
            </w:rPr>
          </w:pPr>
          <w:sdt>
            <w:sdtPr>
              <w:alias w:val="Pavadinimas"/>
              <w:tag w:val="title_4f8f0c8a49874df29c7bca63cfccd5f4"/>
              <w:lock w:val="sdtLocked"/>
              <w:richText/>
            </w:sdtPr>
            <w:sdtContent>
              <w:r>
                <w:rPr>
                  <w:rFonts w:eastAsia="Calibri"/>
                  <w:szCs w:val="24"/>
                </w:rPr>
                <w:t>SAVIVERTĖS KLAUSIMYNAS</w:t>
              </w:r>
            </w:sdtContent>
          </w:sdt>
        </w:p>
        <w:p>
          <w:pPr>
            <w:jc w:val="center"/>
            <w:rPr>
              <w:color w:val="000000"/>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5"/>
            <w:gridCol w:w="2889"/>
          </w:tblGrid>
          <w:tr>
            <w:tc>
              <w:tcPr>
                <w:tcW w:w="8055" w:type="dxa"/>
              </w:tcPr>
              <w:p>
                <w:pPr>
                  <w:rPr>
                    <w:szCs w:val="24"/>
                  </w:rPr>
                </w:pPr>
                <w:r>
                  <w:rPr>
                    <w:szCs w:val="24"/>
                  </w:rPr>
                  <w:t>VIZITO DATA:</w:t>
                </w:r>
              </w:p>
            </w:tc>
            <w:tc>
              <w:tcPr>
                <w:tcW w:w="2889" w:type="dxa"/>
              </w:tcPr>
              <w:p>
                <w:pPr>
                  <w:rPr>
                    <w:szCs w:val="24"/>
                  </w:rPr>
                </w:pPr>
                <w:r>
                  <w:rPr>
                    <w:szCs w:val="24"/>
                  </w:rPr>
                  <w:t>Nustatytas rizikos lygis:</w:t>
                </w:r>
              </w:p>
            </w:tc>
          </w:tr>
          <w:tr>
            <w:tc>
              <w:tcPr>
                <w:tcW w:w="8055" w:type="dxa"/>
              </w:tcPr>
              <w:p>
                <w:pPr>
                  <w:rPr>
                    <w:szCs w:val="24"/>
                  </w:rPr>
                </w:pPr>
                <w:r>
                  <w:rPr>
                    <w:szCs w:val="24"/>
                  </w:rPr>
                  <w:t>VIZITO NR. :</w:t>
                </w:r>
              </w:p>
            </w:tc>
            <w:tc>
              <w:tcPr>
                <w:tcW w:w="2889" w:type="dxa"/>
                <w:vMerge w:val="restart"/>
              </w:tcPr>
              <w:p>
                <w:pPr>
                  <w:rPr>
                    <w:szCs w:val="24"/>
                  </w:rPr>
                </w:pPr>
              </w:p>
            </w:tc>
          </w:tr>
          <w:tr>
            <w:tc>
              <w:tcPr>
                <w:tcW w:w="8055" w:type="dxa"/>
              </w:tcPr>
              <w:p>
                <w:pPr>
                  <w:rPr>
                    <w:szCs w:val="24"/>
                  </w:rPr>
                </w:pPr>
                <w:r>
                  <w:rPr>
                    <w:szCs w:val="24"/>
                  </w:rPr>
                  <w:t>ŠLS VARDAS PAVARDĖ:</w:t>
                </w:r>
              </w:p>
            </w:tc>
            <w:tc>
              <w:tcPr>
                <w:tcW w:w="2889" w:type="dxa"/>
                <w:vMerge/>
              </w:tcPr>
              <w:p>
                <w:pPr>
                  <w:rPr>
                    <w:szCs w:val="24"/>
                  </w:rPr>
                </w:pPr>
              </w:p>
            </w:tc>
          </w:tr>
          <w:tr>
            <w:tc>
              <w:tcPr>
                <w:tcW w:w="8055" w:type="dxa"/>
              </w:tcPr>
              <w:p>
                <w:pPr>
                  <w:rPr>
                    <w:szCs w:val="24"/>
                  </w:rPr>
                </w:pPr>
                <w:r>
                  <w:rPr>
                    <w:szCs w:val="24"/>
                  </w:rPr>
                  <w:t>MAMOS VARDAS PAVARDĖ:</w:t>
                </w:r>
              </w:p>
            </w:tc>
            <w:tc>
              <w:tcPr>
                <w:tcW w:w="2889" w:type="dxa"/>
                <w:vMerge/>
              </w:tcPr>
              <w:p>
                <w:pPr>
                  <w:rPr>
                    <w:szCs w:val="24"/>
                  </w:rPr>
                </w:pPr>
              </w:p>
            </w:tc>
          </w:tr>
          <w:tr>
            <w:tc>
              <w:tcPr>
                <w:tcW w:w="10944" w:type="dxa"/>
                <w:gridSpan w:val="2"/>
              </w:tcPr>
              <w:p>
                <w:pPr>
                  <w:rPr>
                    <w:rFonts w:eastAsia="Calibri"/>
                    <w:bCs/>
                    <w:szCs w:val="24"/>
                  </w:rPr>
                </w:pPr>
                <w:r>
                  <w:rPr>
                    <w:rFonts w:eastAsia="Calibri"/>
                    <w:bCs/>
                    <w:szCs w:val="24"/>
                  </w:rPr>
                  <w:t>Svarbu įvertinti, kaip mama vertina save, kaip jaučiasi prasidėjus naujam gyvenimo etapui. Atlikus savivertės įvertinimą, galima matyti ar mamai reikalinga neatidėliotina pagalba, ar užtenka pokalbio su šeimų lankymo specialistu, kad rasti sprendimą ir paskatinti mamą labiau save mylėti.</w:t>
                </w:r>
              </w:p>
              <w:p>
                <w:pPr>
                  <w:rPr>
                    <w:rFonts w:eastAsia="Calibri"/>
                    <w:bCs/>
                    <w:szCs w:val="24"/>
                  </w:rPr>
                </w:pPr>
                <w:r>
                  <w:rPr>
                    <w:rFonts w:eastAsia="Calibri"/>
                    <w:bCs/>
                    <w:szCs w:val="24"/>
                  </w:rPr>
                  <w:t>Klausimynas atliekamas remiantis Rosenbergo savigarbos skale.</w:t>
                </w:r>
              </w:p>
              <w:p>
                <w:pPr>
                  <w:rPr>
                    <w:rFonts w:eastAsia="Calibri"/>
                    <w:szCs w:val="24"/>
                  </w:rPr>
                </w:pPr>
                <w:r>
                  <w:rPr>
                    <w:rFonts w:eastAsia="Calibri"/>
                    <w:szCs w:val="24"/>
                  </w:rPr>
                  <w:t xml:space="preserve">Rizikos faktoriai: </w:t>
                </w:r>
              </w:p>
              <w:p>
                <w:pPr>
                  <w:tabs>
                    <w:tab w:val="left" w:pos="720"/>
                  </w:tabs>
                  <w:ind w:left="720" w:hanging="720"/>
                  <w:rPr>
                    <w:rFonts w:eastAsia="Calibri"/>
                    <w:bCs/>
                    <w:szCs w:val="24"/>
                  </w:rPr>
                </w:pPr>
                <w:r>
                  <w:rPr>
                    <w:rFonts w:eastAsia="Calibri"/>
                    <w:bCs/>
                    <w:szCs w:val="24"/>
                  </w:rPr>
                  <w:t>1.</w:t>
                  <w:tab/>
                  <w:t>Savivertės (pasitikėjimo savimi) trūkumas</w:t>
                </w:r>
              </w:p>
              <w:p>
                <w:pPr>
                  <w:tabs>
                    <w:tab w:val="left" w:pos="720"/>
                  </w:tabs>
                  <w:ind w:left="720" w:hanging="720"/>
                  <w:rPr>
                    <w:rFonts w:eastAsia="Calibri"/>
                    <w:bCs/>
                    <w:szCs w:val="24"/>
                  </w:rPr>
                </w:pPr>
                <w:r>
                  <w:rPr>
                    <w:rFonts w:eastAsia="Calibri"/>
                    <w:bCs/>
                    <w:szCs w:val="24"/>
                  </w:rPr>
                  <w:t>2.</w:t>
                  <w:tab/>
                  <w:t xml:space="preserve">Elgesio ir emocijų sutrikimai </w:t>
                </w:r>
              </w:p>
              <w:p>
                <w:pPr>
                  <w:tabs>
                    <w:tab w:val="left" w:pos="720"/>
                  </w:tabs>
                  <w:ind w:left="720" w:hanging="720"/>
                  <w:rPr>
                    <w:rFonts w:eastAsia="Calibri"/>
                    <w:bCs/>
                    <w:szCs w:val="24"/>
                  </w:rPr>
                </w:pPr>
                <w:r>
                  <w:rPr>
                    <w:rFonts w:eastAsia="Calibri"/>
                    <w:bCs/>
                    <w:szCs w:val="24"/>
                  </w:rPr>
                  <w:t>3.</w:t>
                  <w:tab/>
                  <w:t>Sveikatos apsaugos specialistų prieinamumas, ieškant pagalbos.</w:t>
                </w:r>
              </w:p>
            </w:tc>
          </w:tr>
        </w:tbl>
        <w:p>
          <w:pPr>
            <w:spacing w:line="276" w:lineRule="auto"/>
            <w:rPr>
              <w:rFonts w:eastAsia="Calibri"/>
              <w:szCs w:val="24"/>
            </w:rPr>
          </w:pPr>
          <w:r>
            <w:rPr>
              <w:rFonts w:eastAsia="Calibri"/>
              <w:szCs w:val="24"/>
            </w:rPr>
            <w:t>Tinkamus atsakymus pažymėti (</w:t>
          </w:r>
          <w:r>
            <w:rPr>
              <w:rFonts w:ascii="Segoe UI Emoji" w:eastAsia="Calibri" w:hAnsi="Segoe UI Emoji" w:cs="Segoe UI Emoji"/>
              <w:color w:val="231F20"/>
              <w:szCs w:val="24"/>
            </w:rPr>
            <w:t>☑</w:t>
          </w:r>
          <w:r>
            <w:rPr>
              <w:rFonts w:eastAsia="Calibri"/>
              <w:szCs w:val="24"/>
            </w:rPr>
            <w:t xml:space="preserve">), vėliau suskaičiuoti. </w:t>
          </w:r>
        </w:p>
        <w:p>
          <w:pPr>
            <w:rPr>
              <w:sz w:val="18"/>
              <w:szCs w:val="18"/>
            </w:rPr>
          </w:pPr>
        </w:p>
        <w:tbl>
          <w:tblPr>
            <w:tblW w:w="0" w:type="auto"/>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567"/>
            <w:gridCol w:w="1462"/>
            <w:gridCol w:w="1646"/>
            <w:gridCol w:w="1575"/>
            <w:gridCol w:w="1884"/>
          </w:tblGrid>
          <w:tr>
            <w:tc>
              <w:tcPr>
                <w:tcW w:w="492" w:type="dxa"/>
                <w:shd w:val="clear" w:color="auto" w:fill="auto"/>
              </w:tcPr>
              <w:p>
                <w:pPr>
                  <w:jc w:val="center"/>
                  <w:rPr>
                    <w:rFonts w:eastAsia="Calibri"/>
                    <w:b/>
                    <w:bCs/>
                    <w:szCs w:val="24"/>
                  </w:rPr>
                </w:pPr>
                <w:r>
                  <w:rPr>
                    <w:rFonts w:eastAsia="Calibri"/>
                    <w:b/>
                    <w:bCs/>
                    <w:szCs w:val="24"/>
                  </w:rPr>
                  <w:t>Nr.</w:t>
                </w:r>
              </w:p>
            </w:tc>
            <w:tc>
              <w:tcPr>
                <w:tcW w:w="3897" w:type="dxa"/>
                <w:shd w:val="clear" w:color="auto" w:fill="auto"/>
              </w:tcPr>
              <w:p>
                <w:pPr>
                  <w:jc w:val="center"/>
                  <w:rPr>
                    <w:rFonts w:eastAsia="Calibri"/>
                    <w:b/>
                    <w:bCs/>
                    <w:szCs w:val="24"/>
                  </w:rPr>
                </w:pPr>
                <w:r>
                  <w:rPr>
                    <w:rFonts w:eastAsia="Calibri"/>
                    <w:b/>
                    <w:bCs/>
                    <w:szCs w:val="24"/>
                  </w:rPr>
                  <w:t>Teiginys</w:t>
                </w:r>
              </w:p>
            </w:tc>
            <w:tc>
              <w:tcPr>
                <w:tcW w:w="1525" w:type="dxa"/>
                <w:shd w:val="clear" w:color="auto" w:fill="auto"/>
              </w:tcPr>
              <w:p>
                <w:pPr>
                  <w:jc w:val="center"/>
                  <w:rPr>
                    <w:rFonts w:eastAsia="Calibri"/>
                    <w:b/>
                    <w:bCs/>
                    <w:szCs w:val="24"/>
                  </w:rPr>
                </w:pPr>
                <w:r>
                  <w:rPr>
                    <w:rFonts w:eastAsia="Calibri"/>
                    <w:b/>
                    <w:bCs/>
                    <w:szCs w:val="24"/>
                  </w:rPr>
                  <w:t>Visiškai sutinku</w:t>
                </w:r>
              </w:p>
            </w:tc>
            <w:tc>
              <w:tcPr>
                <w:tcW w:w="1736" w:type="dxa"/>
                <w:shd w:val="clear" w:color="auto" w:fill="auto"/>
              </w:tcPr>
              <w:p>
                <w:pPr>
                  <w:jc w:val="center"/>
                  <w:rPr>
                    <w:rFonts w:eastAsia="Calibri"/>
                    <w:b/>
                    <w:bCs/>
                    <w:szCs w:val="24"/>
                  </w:rPr>
                </w:pPr>
                <w:r>
                  <w:rPr>
                    <w:rFonts w:eastAsia="Calibri"/>
                    <w:b/>
                    <w:bCs/>
                    <w:szCs w:val="24"/>
                  </w:rPr>
                  <w:t>Sutinku</w:t>
                </w:r>
              </w:p>
            </w:tc>
            <w:tc>
              <w:tcPr>
                <w:tcW w:w="1620" w:type="dxa"/>
                <w:shd w:val="clear" w:color="auto" w:fill="auto"/>
              </w:tcPr>
              <w:p>
                <w:pPr>
                  <w:jc w:val="center"/>
                  <w:rPr>
                    <w:rFonts w:eastAsia="Calibri"/>
                    <w:b/>
                    <w:bCs/>
                    <w:szCs w:val="24"/>
                  </w:rPr>
                </w:pPr>
                <w:r>
                  <w:rPr>
                    <w:rFonts w:eastAsia="Calibri"/>
                    <w:b/>
                    <w:bCs/>
                    <w:szCs w:val="24"/>
                  </w:rPr>
                  <w:t>Nesutinku</w:t>
                </w:r>
              </w:p>
            </w:tc>
            <w:tc>
              <w:tcPr>
                <w:tcW w:w="1980" w:type="dxa"/>
                <w:shd w:val="clear" w:color="auto" w:fill="auto"/>
              </w:tcPr>
              <w:p>
                <w:pPr>
                  <w:jc w:val="center"/>
                  <w:rPr>
                    <w:rFonts w:eastAsia="Calibri"/>
                    <w:b/>
                    <w:bCs/>
                    <w:szCs w:val="24"/>
                  </w:rPr>
                </w:pPr>
                <w:r>
                  <w:rPr>
                    <w:rFonts w:eastAsia="Calibri"/>
                    <w:b/>
                    <w:bCs/>
                    <w:szCs w:val="24"/>
                  </w:rPr>
                  <w:t>Visiškai nesutinku</w:t>
                </w:r>
              </w:p>
            </w:tc>
          </w:tr>
          <w:tr>
            <w:tc>
              <w:tcPr>
                <w:tcW w:w="492" w:type="dxa"/>
                <w:shd w:val="clear" w:color="auto" w:fill="auto"/>
              </w:tcPr>
              <w:p>
                <w:pPr>
                  <w:spacing w:line="360" w:lineRule="auto"/>
                  <w:rPr>
                    <w:rFonts w:eastAsia="Calibri"/>
                    <w:szCs w:val="24"/>
                  </w:rPr>
                </w:pPr>
                <w:r>
                  <w:rPr>
                    <w:rFonts w:eastAsia="Calibri"/>
                    <w:szCs w:val="24"/>
                  </w:rPr>
                  <w:t>1</w:t>
                </w:r>
              </w:p>
            </w:tc>
            <w:tc>
              <w:tcPr>
                <w:tcW w:w="3897" w:type="dxa"/>
                <w:shd w:val="clear" w:color="auto" w:fill="auto"/>
              </w:tcPr>
              <w:p>
                <w:pPr>
                  <w:spacing w:line="360" w:lineRule="auto"/>
                  <w:rPr>
                    <w:rFonts w:eastAsia="Calibri"/>
                    <w:szCs w:val="24"/>
                  </w:rPr>
                </w:pPr>
                <w:r>
                  <w:rPr>
                    <w:rFonts w:eastAsia="Calibri"/>
                    <w:szCs w:val="24"/>
                  </w:rPr>
                  <w:t>Manau, kad esu nemažiau vertingas žmogus nei kiti</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2</w:t>
                </w:r>
              </w:p>
            </w:tc>
            <w:tc>
              <w:tcPr>
                <w:tcW w:w="3897" w:type="dxa"/>
                <w:shd w:val="clear" w:color="auto" w:fill="auto"/>
              </w:tcPr>
              <w:p>
                <w:pPr>
                  <w:spacing w:line="360" w:lineRule="auto"/>
                  <w:rPr>
                    <w:rFonts w:eastAsia="Calibri"/>
                    <w:szCs w:val="24"/>
                  </w:rPr>
                </w:pPr>
                <w:r>
                  <w:rPr>
                    <w:rFonts w:eastAsia="Calibri"/>
                    <w:szCs w:val="24"/>
                  </w:rPr>
                  <w:t>Man atrodo, kad turiu daug gerų savybių</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3</w:t>
                </w:r>
              </w:p>
            </w:tc>
            <w:tc>
              <w:tcPr>
                <w:tcW w:w="3897" w:type="dxa"/>
                <w:shd w:val="clear" w:color="auto" w:fill="auto"/>
              </w:tcPr>
              <w:p>
                <w:pPr>
                  <w:spacing w:line="360" w:lineRule="auto"/>
                  <w:rPr>
                    <w:rFonts w:eastAsia="Calibri"/>
                    <w:szCs w:val="24"/>
                  </w:rPr>
                </w:pPr>
                <w:r>
                  <w:rPr>
                    <w:rFonts w:eastAsia="Calibri"/>
                    <w:szCs w:val="24"/>
                  </w:rPr>
                  <w:t>Apskritai aš esu linkęs manyti, kad esu nevykėlis</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4</w:t>
                </w:r>
              </w:p>
            </w:tc>
            <w:tc>
              <w:tcPr>
                <w:tcW w:w="3897" w:type="dxa"/>
                <w:shd w:val="clear" w:color="auto" w:fill="auto"/>
              </w:tcPr>
              <w:p>
                <w:pPr>
                  <w:spacing w:line="360" w:lineRule="auto"/>
                  <w:rPr>
                    <w:rFonts w:eastAsia="Calibri"/>
                    <w:szCs w:val="24"/>
                  </w:rPr>
                </w:pPr>
                <w:r>
                  <w:rPr>
                    <w:rFonts w:eastAsia="Calibri"/>
                    <w:szCs w:val="24"/>
                  </w:rPr>
                  <w:t>Darbus atlieku taip pat gerai kaip dauguma kitų žmonių</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5</w:t>
                </w:r>
              </w:p>
            </w:tc>
            <w:tc>
              <w:tcPr>
                <w:tcW w:w="3897" w:type="dxa"/>
                <w:shd w:val="clear" w:color="auto" w:fill="auto"/>
              </w:tcPr>
              <w:p>
                <w:pPr>
                  <w:spacing w:line="360" w:lineRule="auto"/>
                  <w:rPr>
                    <w:rFonts w:eastAsia="Calibri"/>
                    <w:szCs w:val="24"/>
                  </w:rPr>
                </w:pPr>
                <w:r>
                  <w:rPr>
                    <w:rFonts w:eastAsia="Calibri"/>
                    <w:szCs w:val="24"/>
                  </w:rPr>
                  <w:t>Manau, kad galiu ne daug kuo didžiuoti</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6</w:t>
                </w:r>
              </w:p>
            </w:tc>
            <w:tc>
              <w:tcPr>
                <w:tcW w:w="3897" w:type="dxa"/>
                <w:shd w:val="clear" w:color="auto" w:fill="auto"/>
              </w:tcPr>
              <w:p>
                <w:pPr>
                  <w:spacing w:line="360" w:lineRule="auto"/>
                  <w:rPr>
                    <w:rFonts w:eastAsia="Calibri"/>
                    <w:szCs w:val="24"/>
                  </w:rPr>
                </w:pPr>
                <w:r>
                  <w:rPr>
                    <w:rFonts w:eastAsia="Calibri"/>
                    <w:szCs w:val="24"/>
                  </w:rPr>
                  <w:t>Aš teigiamai žiūriu į save</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7</w:t>
                </w:r>
              </w:p>
            </w:tc>
            <w:tc>
              <w:tcPr>
                <w:tcW w:w="3897" w:type="dxa"/>
                <w:shd w:val="clear" w:color="auto" w:fill="auto"/>
              </w:tcPr>
              <w:p>
                <w:pPr>
                  <w:spacing w:line="360" w:lineRule="auto"/>
                  <w:rPr>
                    <w:rFonts w:eastAsia="Calibri"/>
                    <w:szCs w:val="24"/>
                  </w:rPr>
                </w:pPr>
                <w:r>
                  <w:rPr>
                    <w:rFonts w:eastAsia="Calibri"/>
                    <w:szCs w:val="24"/>
                  </w:rPr>
                  <w:t>Apskritai aš esu patenkintas savimi</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8</w:t>
                </w:r>
              </w:p>
            </w:tc>
            <w:tc>
              <w:tcPr>
                <w:tcW w:w="3897" w:type="dxa"/>
                <w:shd w:val="clear" w:color="auto" w:fill="auto"/>
              </w:tcPr>
              <w:p>
                <w:pPr>
                  <w:spacing w:line="360" w:lineRule="auto"/>
                  <w:rPr>
                    <w:rFonts w:eastAsia="Calibri"/>
                    <w:szCs w:val="24"/>
                  </w:rPr>
                </w:pPr>
                <w:r>
                  <w:rPr>
                    <w:rFonts w:eastAsia="Calibri"/>
                    <w:szCs w:val="24"/>
                  </w:rPr>
                  <w:t>Aš norėčiau labiau save gerbti</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9</w:t>
                </w:r>
              </w:p>
            </w:tc>
            <w:tc>
              <w:tcPr>
                <w:tcW w:w="3897" w:type="dxa"/>
                <w:shd w:val="clear" w:color="auto" w:fill="auto"/>
              </w:tcPr>
              <w:p>
                <w:pPr>
                  <w:spacing w:line="360" w:lineRule="auto"/>
                  <w:rPr>
                    <w:rFonts w:eastAsia="Calibri"/>
                    <w:szCs w:val="24"/>
                  </w:rPr>
                </w:pPr>
                <w:r>
                  <w:rPr>
                    <w:rFonts w:eastAsia="Calibri"/>
                    <w:szCs w:val="24"/>
                  </w:rPr>
                  <w:t>Aš tikrai kartais jaučiuosi bevertis</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r>
            <w:tc>
              <w:tcPr>
                <w:tcW w:w="492" w:type="dxa"/>
                <w:shd w:val="clear" w:color="auto" w:fill="auto"/>
              </w:tcPr>
              <w:p>
                <w:pPr>
                  <w:spacing w:line="360" w:lineRule="auto"/>
                  <w:rPr>
                    <w:rFonts w:eastAsia="Calibri"/>
                    <w:szCs w:val="24"/>
                  </w:rPr>
                </w:pPr>
                <w:r>
                  <w:rPr>
                    <w:rFonts w:eastAsia="Calibri"/>
                    <w:szCs w:val="24"/>
                  </w:rPr>
                  <w:t>10</w:t>
                </w:r>
              </w:p>
            </w:tc>
            <w:tc>
              <w:tcPr>
                <w:tcW w:w="3897" w:type="dxa"/>
                <w:shd w:val="clear" w:color="auto" w:fill="auto"/>
              </w:tcPr>
              <w:p>
                <w:pPr>
                  <w:spacing w:line="360" w:lineRule="auto"/>
                  <w:rPr>
                    <w:rFonts w:eastAsia="Calibri"/>
                    <w:szCs w:val="24"/>
                  </w:rPr>
                </w:pPr>
                <w:r>
                  <w:rPr>
                    <w:rFonts w:eastAsia="Calibri"/>
                    <w:szCs w:val="24"/>
                  </w:rPr>
                  <w:t>Kartais galvoju, kad esu nieko vertas</w:t>
                </w:r>
              </w:p>
            </w:tc>
            <w:tc>
              <w:tcPr>
                <w:tcW w:w="1525" w:type="dxa"/>
                <w:shd w:val="clear" w:color="auto" w:fill="auto"/>
              </w:tcPr>
              <w:p>
                <w:pPr>
                  <w:spacing w:line="360" w:lineRule="auto"/>
                  <w:jc w:val="center"/>
                  <w:rPr>
                    <w:rFonts w:eastAsia="Calibri"/>
                    <w:szCs w:val="24"/>
                  </w:rPr>
                </w:pPr>
                <w:r>
                  <w:rPr>
                    <w:rFonts w:eastAsia="Calibri"/>
                    <w:szCs w:val="24"/>
                  </w:rPr>
                  <w:t>□</w:t>
                </w:r>
              </w:p>
            </w:tc>
            <w:tc>
              <w:tcPr>
                <w:tcW w:w="1736" w:type="dxa"/>
                <w:shd w:val="clear" w:color="auto" w:fill="auto"/>
              </w:tcPr>
              <w:p>
                <w:pPr>
                  <w:spacing w:line="360" w:lineRule="auto"/>
                  <w:jc w:val="center"/>
                  <w:rPr>
                    <w:rFonts w:eastAsia="Calibri"/>
                    <w:szCs w:val="24"/>
                  </w:rPr>
                </w:pPr>
                <w:r>
                  <w:rPr>
                    <w:rFonts w:eastAsia="Calibri"/>
                    <w:szCs w:val="24"/>
                  </w:rPr>
                  <w:t>□</w:t>
                </w:r>
              </w:p>
            </w:tc>
            <w:tc>
              <w:tcPr>
                <w:tcW w:w="1620" w:type="dxa"/>
                <w:shd w:val="clear" w:color="auto" w:fill="auto"/>
              </w:tcPr>
              <w:p>
                <w:pPr>
                  <w:spacing w:line="360" w:lineRule="auto"/>
                  <w:jc w:val="center"/>
                  <w:rPr>
                    <w:rFonts w:eastAsia="Calibri"/>
                    <w:szCs w:val="24"/>
                  </w:rPr>
                </w:pPr>
                <w:r>
                  <w:rPr>
                    <w:rFonts w:eastAsia="Calibri"/>
                    <w:szCs w:val="24"/>
                  </w:rPr>
                  <w:t>□</w:t>
                </w:r>
              </w:p>
            </w:tc>
            <w:tc>
              <w:tcPr>
                <w:tcW w:w="1980" w:type="dxa"/>
                <w:shd w:val="clear" w:color="auto" w:fill="auto"/>
              </w:tcPr>
              <w:p>
                <w:pPr>
                  <w:spacing w:line="360" w:lineRule="auto"/>
                  <w:jc w:val="center"/>
                  <w:rPr>
                    <w:rFonts w:eastAsia="Calibri"/>
                    <w:szCs w:val="24"/>
                  </w:rPr>
                </w:pPr>
                <w:r>
                  <w:rPr>
                    <w:rFonts w:eastAsia="Calibri"/>
                    <w:szCs w:val="24"/>
                  </w:rPr>
                  <w:t>□</w:t>
                </w:r>
              </w:p>
            </w:tc>
          </w:tr>
        </w:tbl>
        <w:p>
          <w:pPr>
            <w:spacing w:line="276" w:lineRule="auto"/>
            <w:rPr>
              <w:rFonts w:eastAsia="Calibri"/>
              <w:szCs w:val="24"/>
            </w:rPr>
          </w:pPr>
        </w:p>
        <w:p>
          <w:pPr>
            <w:rPr>
              <w:sz w:val="18"/>
              <w:szCs w:val="18"/>
            </w:rPr>
          </w:pPr>
        </w:p>
        <w:p>
          <w:pPr>
            <w:spacing w:line="276" w:lineRule="auto"/>
            <w:rPr>
              <w:rFonts w:eastAsia="Calibri"/>
              <w:szCs w:val="24"/>
            </w:rPr>
          </w:pPr>
          <w:r>
            <w:rPr>
              <w:rFonts w:eastAsia="Calibri"/>
              <w:szCs w:val="24"/>
            </w:rPr>
            <w:t>Taškų skaičiavimas:</w:t>
          </w:r>
        </w:p>
        <w:p>
          <w:pPr>
            <w:rPr>
              <w:sz w:val="18"/>
              <w:szCs w:val="18"/>
            </w:rPr>
          </w:pPr>
        </w:p>
        <w:p>
          <w:pPr>
            <w:spacing w:line="276" w:lineRule="auto"/>
            <w:rPr>
              <w:rFonts w:eastAsia="Calibri"/>
              <w:szCs w:val="24"/>
            </w:rPr>
          </w:pPr>
          <w:r>
            <w:rPr>
              <w:rFonts w:eastAsia="Calibri"/>
              <w:szCs w:val="24"/>
            </w:rPr>
            <w:t xml:space="preserve">1, 3, 4, 6, 7 klausimai:                                                                     2, 5, 8, 9, 10 klausimai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2160"/>
          </w:tblGrid>
          <w:tr>
            <w:tc>
              <w:tcPr>
                <w:tcW w:w="2065" w:type="dxa"/>
                <w:shd w:val="clear" w:color="auto" w:fill="auto"/>
              </w:tcPr>
              <w:p>
                <w:pPr>
                  <w:rPr>
                    <w:rFonts w:eastAsia="Calibri"/>
                    <w:szCs w:val="24"/>
                  </w:rPr>
                </w:pPr>
                <w:r>
                  <w:rPr>
                    <w:rFonts w:eastAsia="Calibri"/>
                    <w:szCs w:val="24"/>
                  </w:rPr>
                  <w:t>Teiginys</w:t>
                </w:r>
              </w:p>
            </w:tc>
            <w:tc>
              <w:tcPr>
                <w:tcW w:w="2160" w:type="dxa"/>
                <w:shd w:val="clear" w:color="auto" w:fill="auto"/>
              </w:tcPr>
              <w:p>
                <w:pPr>
                  <w:rPr>
                    <w:rFonts w:eastAsia="Calibri"/>
                    <w:szCs w:val="24"/>
                  </w:rPr>
                </w:pPr>
                <w:r>
                  <w:rPr>
                    <w:rFonts w:eastAsia="Calibri"/>
                    <w:szCs w:val="24"/>
                  </w:rPr>
                  <w:t>Balas už vieną atsakymą</w:t>
                </w:r>
              </w:p>
            </w:tc>
          </w:tr>
          <w:tr>
            <w:tc>
              <w:tcPr>
                <w:tcW w:w="2065" w:type="dxa"/>
                <w:shd w:val="clear" w:color="auto" w:fill="auto"/>
              </w:tcPr>
              <w:p>
                <w:pPr>
                  <w:rPr>
                    <w:rFonts w:eastAsia="Calibri"/>
                    <w:szCs w:val="24"/>
                  </w:rPr>
                </w:pPr>
                <w:r>
                  <w:rPr>
                    <w:rFonts w:eastAsia="Calibri"/>
                    <w:szCs w:val="24"/>
                  </w:rPr>
                  <w:t>Visiškai sutinku</w:t>
                </w:r>
              </w:p>
            </w:tc>
            <w:tc>
              <w:tcPr>
                <w:tcW w:w="2160" w:type="dxa"/>
                <w:shd w:val="clear" w:color="auto" w:fill="auto"/>
              </w:tcPr>
              <w:p>
                <w:pPr>
                  <w:jc w:val="center"/>
                  <w:rPr>
                    <w:rFonts w:eastAsia="Calibri"/>
                    <w:szCs w:val="24"/>
                  </w:rPr>
                </w:pPr>
                <w:r>
                  <w:rPr>
                    <w:rFonts w:eastAsia="Calibri"/>
                    <w:szCs w:val="24"/>
                  </w:rPr>
                  <w:t>4</w:t>
                </w:r>
              </w:p>
            </w:tc>
          </w:tr>
          <w:tr>
            <w:tc>
              <w:tcPr>
                <w:tcW w:w="2065" w:type="dxa"/>
                <w:shd w:val="clear" w:color="auto" w:fill="auto"/>
              </w:tcPr>
              <w:p>
                <w:pPr>
                  <w:rPr>
                    <w:rFonts w:eastAsia="Calibri"/>
                    <w:szCs w:val="24"/>
                  </w:rPr>
                </w:pPr>
                <w:r>
                  <w:rPr>
                    <w:rFonts w:eastAsia="Calibri"/>
                    <w:szCs w:val="24"/>
                  </w:rPr>
                  <w:t xml:space="preserve">Sutinku </w:t>
                </w:r>
              </w:p>
            </w:tc>
            <w:tc>
              <w:tcPr>
                <w:tcW w:w="2160" w:type="dxa"/>
                <w:shd w:val="clear" w:color="auto" w:fill="auto"/>
              </w:tcPr>
              <w:p>
                <w:pPr>
                  <w:jc w:val="center"/>
                  <w:rPr>
                    <w:rFonts w:eastAsia="Calibri"/>
                    <w:szCs w:val="24"/>
                  </w:rPr>
                </w:pPr>
                <w:r>
                  <w:rPr>
                    <w:rFonts w:eastAsia="Calibri"/>
                    <w:szCs w:val="24"/>
                  </w:rPr>
                  <w:t>3</w:t>
                </w:r>
              </w:p>
            </w:tc>
          </w:tr>
          <w:tr>
            <w:tc>
              <w:tcPr>
                <w:tcW w:w="2065" w:type="dxa"/>
                <w:shd w:val="clear" w:color="auto" w:fill="auto"/>
              </w:tcPr>
              <w:p>
                <w:pPr>
                  <w:rPr>
                    <w:rFonts w:eastAsia="Calibri"/>
                    <w:szCs w:val="24"/>
                  </w:rPr>
                </w:pPr>
                <w:r>
                  <w:rPr>
                    <w:rFonts w:eastAsia="Calibri"/>
                    <w:szCs w:val="24"/>
                  </w:rPr>
                  <w:t>Nesutinku</w:t>
                </w:r>
              </w:p>
            </w:tc>
            <w:tc>
              <w:tcPr>
                <w:tcW w:w="2160" w:type="dxa"/>
                <w:shd w:val="clear" w:color="auto" w:fill="auto"/>
              </w:tcPr>
              <w:p>
                <w:pPr>
                  <w:jc w:val="center"/>
                  <w:rPr>
                    <w:rFonts w:eastAsia="Calibri"/>
                    <w:szCs w:val="24"/>
                  </w:rPr>
                </w:pPr>
                <w:r>
                  <w:rPr>
                    <w:rFonts w:eastAsia="Calibri"/>
                    <w:szCs w:val="24"/>
                  </w:rPr>
                  <w:t>2</w:t>
                </w:r>
              </w:p>
            </w:tc>
          </w:tr>
          <w:tr>
            <w:tc>
              <w:tcPr>
                <w:tcW w:w="2065" w:type="dxa"/>
                <w:shd w:val="clear" w:color="auto" w:fill="auto"/>
              </w:tcPr>
              <w:p>
                <w:pPr>
                  <w:rPr>
                    <w:rFonts w:eastAsia="Calibri"/>
                    <w:szCs w:val="24"/>
                  </w:rPr>
                </w:pPr>
                <w:r>
                  <w:rPr>
                    <w:rFonts w:eastAsia="Calibri"/>
                    <w:szCs w:val="24"/>
                  </w:rPr>
                  <w:t>Visiškai nesutinku</w:t>
                </w:r>
              </w:p>
            </w:tc>
            <w:tc>
              <w:tcPr>
                <w:tcW w:w="2160" w:type="dxa"/>
                <w:shd w:val="clear" w:color="auto" w:fill="auto"/>
              </w:tcPr>
              <w:p>
                <w:pPr>
                  <w:jc w:val="center"/>
                  <w:rPr>
                    <w:rFonts w:eastAsia="Calibri"/>
                    <w:szCs w:val="24"/>
                  </w:rPr>
                </w:pPr>
                <w:r>
                  <w:rPr>
                    <w:rFonts w:eastAsia="Calibri"/>
                    <w:szCs w:val="24"/>
                  </w:rPr>
                  <w:t>1</w:t>
                </w:r>
              </w:p>
            </w:tc>
          </w:tr>
        </w:tbl>
        <w:p>
          <w:pPr>
            <w:spacing w:line="276" w:lineRule="auto"/>
            <w:rPr>
              <w:rFonts w:ascii="Calibri" w:eastAsia="Calibri" w:hAnsi="Calibri"/>
              <w:vanish/>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2160"/>
          </w:tblGrid>
          <w:tr>
            <w:tc>
              <w:tcPr>
                <w:tcW w:w="2065" w:type="dxa"/>
                <w:shd w:val="clear" w:color="auto" w:fill="auto"/>
              </w:tcPr>
              <w:p>
                <w:pPr>
                  <w:rPr>
                    <w:rFonts w:eastAsia="Calibri"/>
                    <w:szCs w:val="24"/>
                  </w:rPr>
                </w:pPr>
                <w:r>
                  <w:rPr>
                    <w:rFonts w:eastAsia="Calibri"/>
                    <w:szCs w:val="24"/>
                  </w:rPr>
                  <w:t>Teiginys</w:t>
                </w:r>
              </w:p>
            </w:tc>
            <w:tc>
              <w:tcPr>
                <w:tcW w:w="2160" w:type="dxa"/>
                <w:shd w:val="clear" w:color="auto" w:fill="auto"/>
              </w:tcPr>
              <w:p>
                <w:pPr>
                  <w:rPr>
                    <w:rFonts w:eastAsia="Calibri"/>
                    <w:szCs w:val="24"/>
                  </w:rPr>
                </w:pPr>
                <w:r>
                  <w:rPr>
                    <w:rFonts w:eastAsia="Calibri"/>
                    <w:szCs w:val="24"/>
                  </w:rPr>
                  <w:t>Balas už vieną atsakymą</w:t>
                </w:r>
              </w:p>
            </w:tc>
          </w:tr>
          <w:tr>
            <w:tc>
              <w:tcPr>
                <w:tcW w:w="2065" w:type="dxa"/>
                <w:shd w:val="clear" w:color="auto" w:fill="auto"/>
              </w:tcPr>
              <w:p>
                <w:pPr>
                  <w:rPr>
                    <w:rFonts w:eastAsia="Calibri"/>
                    <w:szCs w:val="24"/>
                  </w:rPr>
                </w:pPr>
                <w:r>
                  <w:rPr>
                    <w:rFonts w:eastAsia="Calibri"/>
                    <w:szCs w:val="24"/>
                  </w:rPr>
                  <w:t>Visiškai sutinku</w:t>
                </w:r>
              </w:p>
            </w:tc>
            <w:tc>
              <w:tcPr>
                <w:tcW w:w="2160" w:type="dxa"/>
                <w:shd w:val="clear" w:color="auto" w:fill="auto"/>
              </w:tcPr>
              <w:p>
                <w:pPr>
                  <w:tabs>
                    <w:tab w:val="center" w:pos="972"/>
                    <w:tab w:val="right" w:pos="1944"/>
                  </w:tabs>
                  <w:rPr>
                    <w:rFonts w:eastAsia="Calibri"/>
                    <w:szCs w:val="24"/>
                  </w:rPr>
                </w:pPr>
                <w:r>
                  <w:rPr>
                    <w:rFonts w:eastAsia="Calibri"/>
                    <w:szCs w:val="24"/>
                  </w:rPr>
                  <w:tab/>
                  <w:t>1</w:t>
                </w:r>
              </w:p>
            </w:tc>
          </w:tr>
          <w:tr>
            <w:tc>
              <w:tcPr>
                <w:tcW w:w="2065" w:type="dxa"/>
                <w:shd w:val="clear" w:color="auto" w:fill="auto"/>
              </w:tcPr>
              <w:p>
                <w:pPr>
                  <w:rPr>
                    <w:rFonts w:eastAsia="Calibri"/>
                    <w:szCs w:val="24"/>
                  </w:rPr>
                </w:pPr>
                <w:r>
                  <w:rPr>
                    <w:rFonts w:eastAsia="Calibri"/>
                    <w:szCs w:val="24"/>
                  </w:rPr>
                  <w:t xml:space="preserve">Sutinku </w:t>
                </w:r>
              </w:p>
            </w:tc>
            <w:tc>
              <w:tcPr>
                <w:tcW w:w="2160" w:type="dxa"/>
                <w:shd w:val="clear" w:color="auto" w:fill="auto"/>
              </w:tcPr>
              <w:p>
                <w:pPr>
                  <w:jc w:val="center"/>
                  <w:rPr>
                    <w:rFonts w:eastAsia="Calibri"/>
                    <w:szCs w:val="24"/>
                  </w:rPr>
                </w:pPr>
                <w:r>
                  <w:rPr>
                    <w:rFonts w:eastAsia="Calibri"/>
                    <w:szCs w:val="24"/>
                  </w:rPr>
                  <w:t>2</w:t>
                </w:r>
              </w:p>
            </w:tc>
          </w:tr>
          <w:tr>
            <w:tc>
              <w:tcPr>
                <w:tcW w:w="2065" w:type="dxa"/>
                <w:shd w:val="clear" w:color="auto" w:fill="auto"/>
              </w:tcPr>
              <w:p>
                <w:pPr>
                  <w:rPr>
                    <w:rFonts w:eastAsia="Calibri"/>
                    <w:szCs w:val="24"/>
                  </w:rPr>
                </w:pPr>
                <w:r>
                  <w:rPr>
                    <w:rFonts w:eastAsia="Calibri"/>
                    <w:szCs w:val="24"/>
                  </w:rPr>
                  <w:t>Nesutinku</w:t>
                </w:r>
              </w:p>
            </w:tc>
            <w:tc>
              <w:tcPr>
                <w:tcW w:w="2160" w:type="dxa"/>
                <w:shd w:val="clear" w:color="auto" w:fill="auto"/>
              </w:tcPr>
              <w:p>
                <w:pPr>
                  <w:jc w:val="center"/>
                  <w:rPr>
                    <w:rFonts w:eastAsia="Calibri"/>
                    <w:szCs w:val="24"/>
                  </w:rPr>
                </w:pPr>
                <w:r>
                  <w:rPr>
                    <w:rFonts w:eastAsia="Calibri"/>
                    <w:szCs w:val="24"/>
                  </w:rPr>
                  <w:t>3</w:t>
                </w:r>
              </w:p>
            </w:tc>
          </w:tr>
          <w:tr>
            <w:tc>
              <w:tcPr>
                <w:tcW w:w="2065" w:type="dxa"/>
                <w:shd w:val="clear" w:color="auto" w:fill="auto"/>
              </w:tcPr>
              <w:p>
                <w:pPr>
                  <w:rPr>
                    <w:rFonts w:eastAsia="Calibri"/>
                    <w:szCs w:val="24"/>
                  </w:rPr>
                </w:pPr>
                <w:r>
                  <w:rPr>
                    <w:rFonts w:eastAsia="Calibri"/>
                    <w:szCs w:val="24"/>
                  </w:rPr>
                  <w:t>Visiškai nesutinku</w:t>
                </w:r>
              </w:p>
            </w:tc>
            <w:tc>
              <w:tcPr>
                <w:tcW w:w="2160" w:type="dxa"/>
                <w:shd w:val="clear" w:color="auto" w:fill="auto"/>
              </w:tcPr>
              <w:p>
                <w:pPr>
                  <w:jc w:val="center"/>
                  <w:rPr>
                    <w:rFonts w:eastAsia="Calibri"/>
                    <w:szCs w:val="24"/>
                  </w:rPr>
                </w:pPr>
                <w:r>
                  <w:rPr>
                    <w:rFonts w:eastAsia="Calibri"/>
                    <w:szCs w:val="24"/>
                  </w:rPr>
                  <w:t>4</w:t>
                </w:r>
              </w:p>
            </w:tc>
          </w:tr>
        </w:tbl>
        <w:p>
          <w:pPr>
            <w:spacing w:line="276" w:lineRule="auto"/>
            <w:rPr>
              <w:rFonts w:eastAsia="Calibri"/>
              <w:szCs w:val="24"/>
            </w:rPr>
          </w:pPr>
        </w:p>
        <w:p>
          <w:pPr>
            <w:rPr>
              <w:sz w:val="18"/>
              <w:szCs w:val="18"/>
            </w:rPr>
          </w:pPr>
        </w:p>
        <w:p>
          <w:pPr>
            <w:spacing w:line="276" w:lineRule="auto"/>
            <w:rPr>
              <w:rFonts w:eastAsia="Calibri"/>
              <w:szCs w:val="24"/>
            </w:rPr>
          </w:pPr>
          <w:r>
            <w:rPr>
              <w:rFonts w:eastAsia="Calibri"/>
              <w:szCs w:val="24"/>
            </w:rPr>
            <w:t>Viso surinkta taškų _________________</w:t>
          </w:r>
        </w:p>
        <w:p>
          <w:pPr>
            <w:rPr>
              <w:sz w:val="18"/>
              <w:szCs w:val="18"/>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10271" w:type="dxa"/>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6"/>
            <w:gridCol w:w="8505"/>
          </w:tblGrid>
          <w:tr>
            <w:tc>
              <w:tcPr>
                <w:tcW w:w="1766" w:type="dxa"/>
                <w:shd w:val="clear" w:color="auto" w:fill="auto"/>
              </w:tcPr>
              <w:p>
                <w:pPr>
                  <w:jc w:val="center"/>
                  <w:rPr>
                    <w:rFonts w:eastAsia="Calibri"/>
                    <w:sz w:val="28"/>
                    <w:szCs w:val="28"/>
                  </w:rPr>
                </w:pPr>
                <w:r>
                  <w:rPr>
                    <w:rFonts w:eastAsia="Calibri"/>
                    <w:sz w:val="28"/>
                    <w:szCs w:val="28"/>
                  </w:rPr>
                  <w:t>0</w:t>
                </w:r>
              </w:p>
            </w:tc>
            <w:tc>
              <w:tcPr>
                <w:tcW w:w="8505" w:type="dxa"/>
                <w:shd w:val="clear" w:color="auto" w:fill="auto"/>
              </w:tcPr>
              <w:p>
                <w:pPr>
                  <w:tabs>
                    <w:tab w:val="left" w:pos="720"/>
                  </w:tabs>
                  <w:ind w:left="720" w:hanging="720"/>
                  <w:rPr>
                    <w:rFonts w:eastAsia="Calibri"/>
                    <w:szCs w:val="24"/>
                  </w:rPr>
                </w:pPr>
                <w:r>
                  <w:rPr>
                    <w:rFonts w:eastAsia="Calibri"/>
                    <w:szCs w:val="24"/>
                  </w:rPr>
                  <w:t>1.</w:t>
                  <w:tab/>
                  <w:t xml:space="preserve">Surinkta 35 - 40 taškų. </w:t>
                </w:r>
              </w:p>
              <w:p>
                <w:pPr>
                  <w:tabs>
                    <w:tab w:val="left" w:pos="720"/>
                  </w:tabs>
                  <w:ind w:left="720" w:hanging="720"/>
                  <w:rPr>
                    <w:rFonts w:eastAsia="Calibri"/>
                    <w:szCs w:val="24"/>
                  </w:rPr>
                </w:pPr>
                <w:r>
                  <w:rPr>
                    <w:rFonts w:eastAsia="Calibri"/>
                    <w:szCs w:val="24"/>
                  </w:rPr>
                  <w:t>2.</w:t>
                  <w:tab/>
                  <w:t>Savivertė labai gera. Gerbia save kaip žmogų, asmenybę ir daro viską, kad ir toliau save gerbtų.</w:t>
                </w:r>
              </w:p>
              <w:p>
                <w:pPr>
                  <w:tabs>
                    <w:tab w:val="left" w:pos="720"/>
                  </w:tabs>
                  <w:ind w:left="720" w:hanging="720"/>
                  <w:rPr>
                    <w:rFonts w:eastAsia="CIDFont+F3"/>
                    <w:szCs w:val="24"/>
                  </w:rPr>
                </w:pPr>
                <w:r>
                  <w:rPr>
                    <w:rFonts w:eastAsia="CIDFont+F3"/>
                    <w:szCs w:val="24"/>
                  </w:rPr>
                  <w:t>3.</w:t>
                  <w:tab/>
                  <w:t>Neturi jokių elgesio ar emocijų sutrikimų.</w:t>
                </w:r>
              </w:p>
              <w:p>
                <w:pPr>
                  <w:tabs>
                    <w:tab w:val="left" w:pos="720"/>
                  </w:tabs>
                  <w:ind w:left="720" w:hanging="720"/>
                  <w:rPr>
                    <w:rFonts w:eastAsia="Calibri"/>
                    <w:szCs w:val="24"/>
                  </w:rPr>
                </w:pPr>
                <w:r>
                  <w:rPr>
                    <w:rFonts w:eastAsia="Calibri"/>
                    <w:szCs w:val="24"/>
                  </w:rPr>
                  <w:t>4.</w:t>
                  <w:tab/>
                  <w:t>Specialisto pagalba nereikalinga.</w:t>
                </w:r>
              </w:p>
            </w:tc>
          </w:tr>
          <w:tr>
            <w:tc>
              <w:tcPr>
                <w:tcW w:w="1766" w:type="dxa"/>
                <w:shd w:val="clear" w:color="auto" w:fill="auto"/>
              </w:tcPr>
              <w:p>
                <w:pPr>
                  <w:jc w:val="center"/>
                  <w:rPr>
                    <w:rFonts w:eastAsia="Calibri"/>
                    <w:sz w:val="28"/>
                    <w:szCs w:val="28"/>
                  </w:rPr>
                </w:pPr>
                <w:r>
                  <w:rPr>
                    <w:rFonts w:eastAsia="Calibri"/>
                    <w:sz w:val="28"/>
                    <w:szCs w:val="28"/>
                  </w:rPr>
                  <w:t>1</w:t>
                </w:r>
              </w:p>
            </w:tc>
            <w:tc>
              <w:tcPr>
                <w:tcW w:w="8505" w:type="dxa"/>
                <w:shd w:val="clear" w:color="auto" w:fill="auto"/>
              </w:tcPr>
              <w:p>
                <w:pPr>
                  <w:tabs>
                    <w:tab w:val="left" w:pos="720"/>
                  </w:tabs>
                  <w:ind w:left="720" w:hanging="720"/>
                  <w:rPr>
                    <w:rFonts w:eastAsia="Calibri"/>
                    <w:szCs w:val="24"/>
                  </w:rPr>
                </w:pPr>
                <w:r>
                  <w:rPr>
                    <w:rFonts w:eastAsia="Calibri"/>
                    <w:szCs w:val="24"/>
                  </w:rPr>
                  <w:t>1.</w:t>
                  <w:tab/>
                  <w:t>Surinkta 23 – 34 taškų.</w:t>
                </w:r>
              </w:p>
              <w:p>
                <w:pPr>
                  <w:tabs>
                    <w:tab w:val="left" w:pos="720"/>
                  </w:tabs>
                  <w:ind w:left="720" w:hanging="720"/>
                  <w:rPr>
                    <w:rFonts w:eastAsia="Calibri"/>
                    <w:szCs w:val="24"/>
                  </w:rPr>
                </w:pPr>
                <w:r>
                  <w:rPr>
                    <w:rFonts w:eastAsia="Calibri"/>
                    <w:szCs w:val="24"/>
                  </w:rPr>
                  <w:t>2.</w:t>
                  <w:tab/>
                  <w:t>Savivertė gera. Gali adekvačiai įvertinti savo pliusus ir minusus, bando keistis, kad savivertė būtų aukštesnė, bet labai save nuvertina, jei kažkas nepavyksta ir savigrauža užtrunka ilgokai.</w:t>
                </w:r>
              </w:p>
              <w:p>
                <w:pPr>
                  <w:tabs>
                    <w:tab w:val="left" w:pos="720"/>
                  </w:tabs>
                  <w:ind w:left="720" w:hanging="720"/>
                  <w:rPr>
                    <w:rFonts w:eastAsia="CIDFont+F3"/>
                    <w:szCs w:val="24"/>
                  </w:rPr>
                </w:pPr>
                <w:r>
                  <w:rPr>
                    <w:rFonts w:eastAsia="CIDFont+F3"/>
                    <w:szCs w:val="24"/>
                  </w:rPr>
                  <w:t>3.</w:t>
                  <w:tab/>
                  <w:t>Neturi jokių elgesio ar emocijų sutrikimų.</w:t>
                </w:r>
              </w:p>
              <w:p>
                <w:pPr>
                  <w:tabs>
                    <w:tab w:val="left" w:pos="720"/>
                  </w:tabs>
                  <w:ind w:left="720" w:hanging="720"/>
                  <w:rPr>
                    <w:rFonts w:eastAsia="Calibri"/>
                    <w:szCs w:val="24"/>
                  </w:rPr>
                </w:pPr>
                <w:r>
                  <w:rPr>
                    <w:rFonts w:eastAsia="Calibri"/>
                    <w:szCs w:val="24"/>
                  </w:rPr>
                  <w:t>4.</w:t>
                  <w:tab/>
                  <w:t>Specialisto pagalba nereikalinga</w:t>
                </w:r>
              </w:p>
            </w:tc>
          </w:tr>
          <w:tr>
            <w:tc>
              <w:tcPr>
                <w:tcW w:w="1766" w:type="dxa"/>
                <w:shd w:val="clear" w:color="auto" w:fill="auto"/>
              </w:tcPr>
              <w:p>
                <w:pPr>
                  <w:jc w:val="center"/>
                  <w:rPr>
                    <w:rFonts w:eastAsia="Calibri"/>
                    <w:sz w:val="28"/>
                    <w:szCs w:val="28"/>
                  </w:rPr>
                </w:pPr>
                <w:r>
                  <w:rPr>
                    <w:rFonts w:eastAsia="Calibri"/>
                    <w:sz w:val="28"/>
                    <w:szCs w:val="28"/>
                  </w:rPr>
                  <w:t>2</w:t>
                </w:r>
              </w:p>
            </w:tc>
            <w:tc>
              <w:tcPr>
                <w:tcW w:w="8505" w:type="dxa"/>
                <w:shd w:val="clear" w:color="auto" w:fill="auto"/>
              </w:tcPr>
              <w:p>
                <w:pPr>
                  <w:tabs>
                    <w:tab w:val="left" w:pos="720"/>
                  </w:tabs>
                  <w:ind w:left="720" w:hanging="720"/>
                  <w:rPr>
                    <w:rFonts w:eastAsia="Calibri"/>
                    <w:szCs w:val="24"/>
                  </w:rPr>
                </w:pPr>
                <w:r>
                  <w:rPr>
                    <w:rFonts w:eastAsia="Calibri"/>
                    <w:szCs w:val="24"/>
                  </w:rPr>
                  <w:t>1.</w:t>
                  <w:tab/>
                  <w:t>Surinkta 18 – 22 taškų.</w:t>
                </w:r>
              </w:p>
              <w:p>
                <w:pPr>
                  <w:tabs>
                    <w:tab w:val="left" w:pos="720"/>
                  </w:tabs>
                  <w:ind w:left="720" w:hanging="720"/>
                  <w:rPr>
                    <w:rFonts w:eastAsia="Calibri"/>
                    <w:szCs w:val="24"/>
                  </w:rPr>
                </w:pPr>
                <w:r>
                  <w:rPr>
                    <w:rFonts w:eastAsia="Calibri"/>
                    <w:szCs w:val="24"/>
                  </w:rPr>
                  <w:t>2.</w:t>
                  <w:tab/>
                  <w:t>Savivertė vidutinė. Sėkmė pakelia pasitikėjimą savimi, bet nesėkmės labai palaužia pasitikėjimą savimi. Nuolatos kintanti nuomonė apie save.</w:t>
                </w:r>
              </w:p>
              <w:p>
                <w:pPr>
                  <w:tabs>
                    <w:tab w:val="left" w:pos="720"/>
                  </w:tabs>
                  <w:ind w:left="720" w:hanging="720"/>
                  <w:rPr>
                    <w:rFonts w:eastAsia="Calibri"/>
                    <w:szCs w:val="24"/>
                  </w:rPr>
                </w:pPr>
                <w:r>
                  <w:rPr>
                    <w:rFonts w:eastAsia="Calibri"/>
                    <w:szCs w:val="24"/>
                  </w:rPr>
                  <w:t>3.</w:t>
                  <w:tab/>
                </w:r>
                <w:r>
                  <w:rPr>
                    <w:rFonts w:eastAsia="CIDFont+F3"/>
                    <w:szCs w:val="24"/>
                  </w:rPr>
                  <w:t>Yra elgesio ar emocijų sutrikimų</w:t>
                </w:r>
                <w:r>
                  <w:rPr>
                    <w:rFonts w:eastAsia="Calibri"/>
                    <w:szCs w:val="24"/>
                  </w:rPr>
                  <w:t xml:space="preserve">. </w:t>
                </w:r>
              </w:p>
              <w:p>
                <w:pPr>
                  <w:tabs>
                    <w:tab w:val="left" w:pos="720"/>
                  </w:tabs>
                  <w:ind w:left="720" w:hanging="720"/>
                  <w:rPr>
                    <w:rFonts w:eastAsia="Calibri"/>
                    <w:szCs w:val="24"/>
                  </w:rPr>
                </w:pPr>
                <w:r>
                  <w:rPr>
                    <w:rFonts w:eastAsia="Calibri"/>
                    <w:szCs w:val="24"/>
                  </w:rPr>
                  <w:t>4.</w:t>
                  <w:tab/>
                  <w:t>ŠLS turėtų identifikuoti priežastis ir esant reikalui pasiūlyti kreiptis į šeimos gydytoją ar psichologą.</w:t>
                </w:r>
              </w:p>
            </w:tc>
          </w:tr>
          <w:tr>
            <w:tc>
              <w:tcPr>
                <w:tcW w:w="1766" w:type="dxa"/>
                <w:shd w:val="clear" w:color="auto" w:fill="auto"/>
              </w:tcPr>
              <w:p>
                <w:pPr>
                  <w:jc w:val="center"/>
                  <w:rPr>
                    <w:rFonts w:eastAsia="Calibri"/>
                    <w:sz w:val="28"/>
                    <w:szCs w:val="28"/>
                  </w:rPr>
                </w:pPr>
                <w:r>
                  <w:rPr>
                    <w:rFonts w:eastAsia="Calibri"/>
                    <w:sz w:val="28"/>
                    <w:szCs w:val="28"/>
                  </w:rPr>
                  <w:t>3</w:t>
                </w:r>
              </w:p>
            </w:tc>
            <w:tc>
              <w:tcPr>
                <w:tcW w:w="8505" w:type="dxa"/>
                <w:shd w:val="clear" w:color="auto" w:fill="auto"/>
              </w:tcPr>
              <w:p>
                <w:pPr>
                  <w:tabs>
                    <w:tab w:val="left" w:pos="720"/>
                  </w:tabs>
                  <w:ind w:left="720" w:hanging="720"/>
                  <w:rPr>
                    <w:rFonts w:eastAsia="Calibri"/>
                    <w:szCs w:val="24"/>
                  </w:rPr>
                </w:pPr>
                <w:r>
                  <w:rPr>
                    <w:rFonts w:eastAsia="Calibri"/>
                    <w:szCs w:val="24"/>
                  </w:rPr>
                  <w:t>1.</w:t>
                  <w:tab/>
                  <w:t>Surinkta mažiau nei 17 taškų.</w:t>
                </w:r>
              </w:p>
              <w:p>
                <w:pPr>
                  <w:tabs>
                    <w:tab w:val="left" w:pos="720"/>
                  </w:tabs>
                  <w:ind w:left="720" w:hanging="720"/>
                  <w:rPr>
                    <w:rFonts w:eastAsia="Calibri"/>
                    <w:szCs w:val="24"/>
                  </w:rPr>
                </w:pPr>
                <w:r>
                  <w:rPr>
                    <w:rFonts w:eastAsia="Calibri"/>
                    <w:szCs w:val="24"/>
                  </w:rPr>
                  <w:t>2.</w:t>
                  <w:tab/>
                  <w:t>Menka savivertė. Kaltina save dėl visko, nepasitiki savimi, savyje mato tik trūkumus ir minusus.</w:t>
                </w:r>
              </w:p>
              <w:p>
                <w:pPr>
                  <w:tabs>
                    <w:tab w:val="left" w:pos="720"/>
                  </w:tabs>
                  <w:ind w:left="720" w:hanging="720"/>
                  <w:rPr>
                    <w:rFonts w:eastAsia="Calibri"/>
                    <w:szCs w:val="24"/>
                  </w:rPr>
                </w:pPr>
                <w:r>
                  <w:rPr>
                    <w:rFonts w:eastAsia="Calibri"/>
                    <w:szCs w:val="24"/>
                  </w:rPr>
                  <w:t>3.</w:t>
                  <w:tab/>
                </w:r>
                <w:r>
                  <w:rPr>
                    <w:rFonts w:eastAsia="CIDFont+F3"/>
                    <w:szCs w:val="24"/>
                  </w:rPr>
                  <w:t>Yra elgesio ar emocijų sutrikimų, kurie stebimi pokalbio metu.</w:t>
                </w:r>
              </w:p>
              <w:p>
                <w:pPr>
                  <w:tabs>
                    <w:tab w:val="left" w:pos="720"/>
                  </w:tabs>
                  <w:ind w:left="720" w:hanging="720"/>
                  <w:rPr>
                    <w:rFonts w:eastAsia="Calibri"/>
                    <w:szCs w:val="24"/>
                  </w:rPr>
                </w:pPr>
                <w:r>
                  <w:rPr>
                    <w:rFonts w:eastAsia="Calibri"/>
                    <w:szCs w:val="24"/>
                  </w:rPr>
                  <w:t>4.</w:t>
                  <w:tab/>
                  <w:t>Reikalinga specialistų pagalba, nukreipti pas psichologą ar šeimos gydytoją.</w:t>
                </w:r>
              </w:p>
            </w:tc>
          </w:tr>
        </w:tbl>
        <w:p>
          <w:pPr>
            <w:suppressAutoHyphens/>
            <w:rPr>
              <w:color w:val="000000"/>
              <w:szCs w:val="24"/>
            </w:rPr>
          </w:pPr>
          <w:r>
            <w:rPr>
              <w:color w:val="000000"/>
              <w:szCs w:val="24"/>
            </w:rPr>
            <w:t xml:space="preserve">Pastabos: klausimyną pildo šeimų lankymo specialistas </w:t>
          </w:r>
        </w:p>
        <w:sdt>
          <w:sdtPr>
            <w:alias w:val="pabaiga"/>
            <w:tag w:val="part_1eaa84d9d5b84e33a35900623e6c2ce1"/>
            <w:lock w:val="sdtLocked"/>
            <w:richText/>
          </w:sdtPr>
          <w:sdtContent>
            <w:p>
              <w:pPr>
                <w:suppressAutoHyphens/>
                <w:ind w:left="2592"/>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Emoji">
    <w:panose1 w:val="020B0502040204020203"/>
    <w:charset w:val="00"/>
    <w:family w:val="swiss"/>
    <w:pitch w:val="variable"/>
    <w:sig w:usb0="00000003" w:usb1="02000000" w:usb2="00000000" w:usb3="00000000" w:csb0="00000001"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7" Abbr="17 pr." Title="SAVIVERTĖS KLAUSIMYNAS" DocPartId="d2e0b64fe8404378a830f0a7e7541748" PartId="4f8f0c8a49874df29c7bca63cfccd5f4">
    <Part Type="pabaiga" DocPartId="375e9f79ff4e45d2a3112a680ec7550a" PartId="1eaa84d9d5b84e33a35900623e6c2ce1"/>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5F4CB3F4-4158-42C2-942B-4BD2341F4F31}">
  <ds:schemaRefs>
    <ds:schemaRef ds:uri="http://schemas.openxmlformats.org/officeDocument/2006/bibliography"/>
  </ds:schemaRefs>
</ds:datastoreItem>
</file>

<file path=customXml/itemProps5.xml><?xml version="1.0" encoding="utf-8"?>
<ds:datastoreItem xmlns:ds="http://schemas.openxmlformats.org/officeDocument/2006/customXml" ds:itemID="{F819F8B9-5655-4B66-9004-A591F1DA9E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465</Words>
  <Characters>2544</Characters>
  <Application>Microsoft Office Word</Application>
  <DocSecurity>4</DocSecurity>
  <Lines>169</Lines>
  <Paragraphs>150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2859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