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5 pr."/>
        <w:tag w:val="part_c3fad4b8bb9e44eeba2d363019b54f5e"/>
        <w:lock w:val="sdtLocked"/>
        <w:richText/>
      </w:sdtPr>
      <w:sdtContent>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tvarkos</w:t>
          </w:r>
          <w:r>
            <w:rPr>
              <w:color w:val="242424"/>
              <w:szCs w:val="24"/>
              <w:lang w:eastAsia="lt-LT"/>
            </w:rPr>
            <w:t xml:space="preserve"> aprašo</w:t>
          </w:r>
        </w:p>
        <w:p>
          <w:pPr>
            <w:ind w:left="6521"/>
            <w:rPr>
              <w:color w:val="242424"/>
              <w:szCs w:val="24"/>
              <w:lang w:eastAsia="lt-LT"/>
            </w:rPr>
          </w:pPr>
          <w:sdt>
            <w:sdtPr>
              <w:alias w:val="Numeris"/>
              <w:tag w:val="nr_c3fad4b8bb9e44eeba2d363019b54f5e"/>
              <w:lock w:val="sdtLocked"/>
              <w:richText/>
            </w:sdtPr>
            <w:sdtContent>
              <w:r>
                <w:rPr>
                  <w:color w:val="242424"/>
                  <w:szCs w:val="24"/>
                  <w:lang w:eastAsia="lt-LT"/>
                </w:rPr>
                <w:t>5</w:t>
              </w:r>
            </w:sdtContent>
          </w:sdt>
          <w:r>
            <w:rPr>
              <w:color w:val="242424"/>
              <w:szCs w:val="24"/>
              <w:lang w:eastAsia="lt-LT"/>
            </w:rPr>
            <w:t xml:space="preserve"> priedas </w:t>
          </w:r>
        </w:p>
        <w:p>
          <w:pPr>
            <w:rPr>
              <w:szCs w:val="24"/>
            </w:rPr>
          </w:pPr>
        </w:p>
        <w:p>
          <w:pPr>
            <w:jc w:val="center"/>
            <w:rPr>
              <w:b/>
              <w:bCs/>
              <w:szCs w:val="24"/>
              <w:lang w:eastAsia="lt-LT"/>
            </w:rPr>
          </w:pPr>
          <w:sdt>
            <w:sdtPr>
              <w:alias w:val="Pavadinimas"/>
              <w:tag w:val="title_c3fad4b8bb9e44eeba2d363019b54f5e"/>
              <w:lock w:val="sdtLocked"/>
              <w:richText/>
            </w:sdtPr>
            <w:sdtContent>
              <w:r>
                <w:rPr>
                  <w:b/>
                  <w:bCs/>
                  <w:szCs w:val="24"/>
                  <w:lang w:eastAsia="lt-LT"/>
                </w:rPr>
                <w:t>NĖŠČIOSIOS IR JOS ŠEIMOS GYVENIMO PATIRTYS</w:t>
              </w:r>
            </w:sdtContent>
          </w:sdt>
        </w:p>
        <w:p>
          <w:pPr>
            <w:jc w:val="center"/>
            <w:rPr>
              <w:color w:val="000000"/>
              <w:szCs w:val="24"/>
            </w:rPr>
          </w:pP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70"/>
            <w:gridCol w:w="2884"/>
          </w:tblGrid>
          <w:tr>
            <w:tc>
              <w:tcPr>
                <w:tcW w:w="7770" w:type="dxa"/>
              </w:tcPr>
              <w:p>
                <w:pPr>
                  <w:rPr>
                    <w:szCs w:val="24"/>
                  </w:rPr>
                </w:pPr>
                <w:r>
                  <w:rPr>
                    <w:szCs w:val="24"/>
                  </w:rPr>
                  <w:t>VIZITO DATA:</w:t>
                </w:r>
              </w:p>
            </w:tc>
            <w:tc>
              <w:tcPr>
                <w:tcW w:w="2884" w:type="dxa"/>
              </w:tcPr>
              <w:p>
                <w:pPr>
                  <w:rPr>
                    <w:szCs w:val="24"/>
                  </w:rPr>
                </w:pPr>
                <w:r>
                  <w:rPr>
                    <w:szCs w:val="24"/>
                  </w:rPr>
                  <w:t>Nustatytas rizikos lygis:</w:t>
                </w:r>
              </w:p>
            </w:tc>
          </w:tr>
          <w:tr>
            <w:tc>
              <w:tcPr>
                <w:tcW w:w="7770" w:type="dxa"/>
              </w:tcPr>
              <w:p>
                <w:pPr>
                  <w:rPr>
                    <w:szCs w:val="24"/>
                  </w:rPr>
                </w:pPr>
                <w:r>
                  <w:rPr>
                    <w:szCs w:val="24"/>
                  </w:rPr>
                  <w:t>VIZITO NR. :</w:t>
                </w:r>
              </w:p>
            </w:tc>
            <w:tc>
              <w:tcPr>
                <w:tcW w:w="2884" w:type="dxa"/>
                <w:vMerge w:val="restart"/>
              </w:tcPr>
              <w:p>
                <w:pPr>
                  <w:rPr>
                    <w:szCs w:val="24"/>
                  </w:rPr>
                </w:pPr>
              </w:p>
            </w:tc>
          </w:tr>
          <w:tr>
            <w:tc>
              <w:tcPr>
                <w:tcW w:w="7770" w:type="dxa"/>
              </w:tcPr>
              <w:p>
                <w:pPr>
                  <w:rPr>
                    <w:szCs w:val="24"/>
                  </w:rPr>
                </w:pPr>
                <w:r>
                  <w:rPr>
                    <w:szCs w:val="24"/>
                  </w:rPr>
                  <w:t>ŠLS VARDAS PAVARDĖ:</w:t>
                </w:r>
              </w:p>
            </w:tc>
            <w:tc>
              <w:tcPr>
                <w:tcW w:w="2884" w:type="dxa"/>
                <w:vMerge/>
              </w:tcPr>
              <w:p>
                <w:pPr>
                  <w:rPr>
                    <w:szCs w:val="24"/>
                  </w:rPr>
                </w:pPr>
              </w:p>
            </w:tc>
          </w:tr>
          <w:tr>
            <w:tc>
              <w:tcPr>
                <w:tcW w:w="7770" w:type="dxa"/>
              </w:tcPr>
              <w:p>
                <w:pPr>
                  <w:rPr>
                    <w:szCs w:val="24"/>
                  </w:rPr>
                </w:pPr>
                <w:r>
                  <w:rPr>
                    <w:szCs w:val="24"/>
                  </w:rPr>
                  <w:t>NĖŠČIOSIOS VARDAS PAVARDĖ:</w:t>
                </w:r>
              </w:p>
            </w:tc>
            <w:tc>
              <w:tcPr>
                <w:tcW w:w="2884" w:type="dxa"/>
                <w:vMerge/>
              </w:tcPr>
              <w:p>
                <w:pPr>
                  <w:rPr>
                    <w:szCs w:val="24"/>
                  </w:rPr>
                </w:pPr>
              </w:p>
            </w:tc>
          </w:tr>
          <w:tr>
            <w:tc>
              <w:tcPr>
                <w:tcW w:w="10654" w:type="dxa"/>
                <w:gridSpan w:val="2"/>
              </w:tcPr>
              <w:p>
                <w:pPr>
                  <w:rPr>
                    <w:rFonts w:eastAsia="Calibri"/>
                    <w:szCs w:val="24"/>
                  </w:rPr>
                </w:pPr>
                <w:r>
                  <w:rPr>
                    <w:rFonts w:eastAsia="Calibri"/>
                    <w:szCs w:val="24"/>
                  </w:rPr>
                  <w:t>Tai nėščiosios ir jos šeimos narių gyvenimo praeities vertinimas, siekiant išryškinti šeimos gyvenime vykusius konfliktus ar krizes. Vertinimo metu nustatomi praeityje šeimos gyvenime įvykę svarbūs įvykiai, užsitęsę konfliktai, kurie galėjo padaryti įtaką nėščiosios elgesiui bei jos fiziniam, emociniam ar protiniam vystymuisi. Vertinama, kokios problemos anksčiau kilo jos gyvenime. Žiaurumo incidentai šeimos narių praeityje – smurtas prieš kitus žmones ar naminius gyvūnus, yra rimtas rizikos veiksnys ir ateityje. Būsimų tėvų praeities įvykiai padeda nustatyti, kokia yra rizika jų pačių vaikui dėl prievartos, išnaudojimo, smurto, nepriežiūros ar kt.</w:t>
                </w:r>
              </w:p>
              <w:p>
                <w:pPr>
                  <w:rPr>
                    <w:rFonts w:ascii="Cambria" w:eastAsia="Calibri" w:hAnsi="Cambria" w:cs="Cambria"/>
                    <w:sz w:val="22"/>
                    <w:szCs w:val="22"/>
                  </w:rPr>
                </w:pPr>
                <w:r>
                  <w:rPr>
                    <w:rFonts w:eastAsia="Calibri"/>
                    <w:szCs w:val="24"/>
                  </w:rPr>
                  <w:t>Jei nėščioji gyvena su savo tėvais, vertinama jos ir jos tėvų situacija, jei nėščioji gyvena savo šeimoje (kartu su gimsiančio kūdikio tėvu, sugyventiniu), vertinama jos šeimos situacija, arba abi situacijos, jei yra toks poreikis (pvz., net jei nėščioji gyvena jau savo sukurtoje šeimoje, tačiau jos tėvų šeima turi didelę įtaką nėščiosios ir jos partnerio santykiams).</w:t>
                </w:r>
              </w:p>
            </w:tc>
          </w:tr>
        </w:tbl>
        <w:p>
          <w:pPr>
            <w:spacing w:line="276" w:lineRule="auto"/>
            <w:rPr>
              <w:rFonts w:eastAsia="Calibri"/>
              <w:szCs w:val="24"/>
            </w:rPr>
          </w:pPr>
        </w:p>
        <w:p>
          <w:pPr>
            <w:rPr>
              <w:sz w:val="18"/>
              <w:szCs w:val="18"/>
            </w:rPr>
          </w:pP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1084"/>
            <w:gridCol w:w="1362"/>
            <w:gridCol w:w="3780"/>
          </w:tblGrid>
          <w:tr>
            <w:tc>
              <w:tcPr>
                <w:tcW w:w="4678" w:type="dxa"/>
              </w:tcPr>
              <w:p>
                <w:pPr>
                  <w:spacing w:line="276" w:lineRule="auto"/>
                  <w:rPr>
                    <w:rFonts w:eastAsia="CIDFont+F3"/>
                    <w:b/>
                    <w:szCs w:val="24"/>
                  </w:rPr>
                </w:pPr>
                <w:r>
                  <w:rPr>
                    <w:rFonts w:eastAsia="CIDFont+F3"/>
                    <w:b/>
                    <w:szCs w:val="24"/>
                  </w:rPr>
                  <w:t>Nėščiosios ir jos šeimos narių patirtys</w:t>
                </w:r>
              </w:p>
            </w:tc>
            <w:tc>
              <w:tcPr>
                <w:tcW w:w="1134" w:type="dxa"/>
              </w:tcPr>
              <w:p>
                <w:pPr>
                  <w:spacing w:line="276" w:lineRule="auto"/>
                  <w:jc w:val="center"/>
                  <w:rPr>
                    <w:rFonts w:eastAsia="CIDFont+F3"/>
                    <w:b/>
                    <w:szCs w:val="24"/>
                  </w:rPr>
                </w:pPr>
                <w:r>
                  <w:rPr>
                    <w:rFonts w:eastAsia="CIDFont+F3"/>
                    <w:b/>
                    <w:szCs w:val="24"/>
                  </w:rPr>
                  <w:t>Ne</w:t>
                </w:r>
              </w:p>
            </w:tc>
            <w:tc>
              <w:tcPr>
                <w:tcW w:w="1418" w:type="dxa"/>
              </w:tcPr>
              <w:p>
                <w:pPr>
                  <w:spacing w:line="276" w:lineRule="auto"/>
                  <w:jc w:val="center"/>
                  <w:rPr>
                    <w:rFonts w:eastAsia="CIDFont+F3"/>
                    <w:b/>
                    <w:szCs w:val="24"/>
                  </w:rPr>
                </w:pPr>
                <w:r>
                  <w:rPr>
                    <w:rFonts w:eastAsia="CIDFont+F3"/>
                    <w:b/>
                    <w:szCs w:val="24"/>
                  </w:rPr>
                  <w:t>Taip</w:t>
                </w:r>
              </w:p>
            </w:tc>
            <w:tc>
              <w:tcPr>
                <w:tcW w:w="3969" w:type="dxa"/>
              </w:tcPr>
              <w:p>
                <w:pPr>
                  <w:spacing w:line="276" w:lineRule="auto"/>
                  <w:rPr>
                    <w:rFonts w:eastAsia="CIDFont+F3"/>
                    <w:b/>
                    <w:szCs w:val="24"/>
                  </w:rPr>
                </w:pPr>
                <w:r>
                  <w:rPr>
                    <w:rFonts w:eastAsia="CIDFont+F3"/>
                    <w:b/>
                    <w:szCs w:val="24"/>
                  </w:rPr>
                  <w:t xml:space="preserve">Komentaras, aplinkybės </w:t>
                </w:r>
              </w:p>
              <w:p>
                <w:pPr>
                  <w:spacing w:line="276" w:lineRule="auto"/>
                  <w:rPr>
                    <w:rFonts w:eastAsia="CIDFont+F3"/>
                    <w:b/>
                    <w:szCs w:val="24"/>
                  </w:rPr>
                </w:pPr>
                <w:r>
                  <w:rPr>
                    <w:rFonts w:eastAsia="CIDFont+F3"/>
                    <w:b/>
                    <w:szCs w:val="24"/>
                  </w:rPr>
                  <w:t>(</w:t>
                </w:r>
                <w:r>
                  <w:rPr>
                    <w:rFonts w:eastAsia="CIDFont+F3"/>
                    <w:i/>
                    <w:szCs w:val="24"/>
                  </w:rPr>
                  <w:t>Įrašyti</w:t>
                </w:r>
                <w:r>
                  <w:rPr>
                    <w:rFonts w:eastAsia="CIDFont+F3"/>
                    <w:b/>
                    <w:szCs w:val="24"/>
                  </w:rPr>
                  <w:t>)</w:t>
                </w:r>
              </w:p>
            </w:tc>
          </w:tr>
          <w:tr>
            <w:tc>
              <w:tcPr>
                <w:tcW w:w="4678" w:type="dxa"/>
              </w:tcPr>
              <w:p>
                <w:pPr>
                  <w:spacing w:line="276" w:lineRule="auto"/>
                  <w:rPr>
                    <w:rFonts w:eastAsia="CIDFont+F3"/>
                    <w:b/>
                    <w:szCs w:val="24"/>
                  </w:rPr>
                </w:pPr>
                <w:r>
                  <w:rPr>
                    <w:rFonts w:eastAsia="CIDFont+F3"/>
                    <w:szCs w:val="24"/>
                  </w:rPr>
                  <w:t>Artimųjų netektys</w:t>
                </w:r>
              </w:p>
            </w:tc>
            <w:tc>
              <w:tcPr>
                <w:tcW w:w="1134" w:type="dxa"/>
              </w:tcPr>
              <w:p>
                <w:pPr>
                  <w:spacing w:line="276" w:lineRule="auto"/>
                  <w:jc w:val="center"/>
                  <w:rPr>
                    <w:rFonts w:eastAsia="CIDFont+F3"/>
                    <w:b/>
                    <w:szCs w:val="24"/>
                  </w:rPr>
                </w:pPr>
              </w:p>
            </w:tc>
            <w:tc>
              <w:tcPr>
                <w:tcW w:w="1418" w:type="dxa"/>
              </w:tcPr>
              <w:p>
                <w:pPr>
                  <w:spacing w:line="276" w:lineRule="auto"/>
                  <w:jc w:val="center"/>
                  <w:rPr>
                    <w:rFonts w:eastAsia="CIDFont+F3"/>
                    <w:b/>
                    <w:szCs w:val="24"/>
                  </w:rPr>
                </w:pPr>
              </w:p>
            </w:tc>
            <w:tc>
              <w:tcPr>
                <w:tcW w:w="3969" w:type="dxa"/>
              </w:tcPr>
              <w:p>
                <w:pPr>
                  <w:spacing w:line="276" w:lineRule="auto"/>
                  <w:rPr>
                    <w:rFonts w:eastAsia="CIDFont+F3"/>
                    <w:b/>
                    <w:szCs w:val="24"/>
                  </w:rPr>
                </w:pPr>
              </w:p>
            </w:tc>
          </w:tr>
          <w:tr>
            <w:tc>
              <w:tcPr>
                <w:tcW w:w="4678" w:type="dxa"/>
              </w:tcPr>
              <w:p>
                <w:pPr>
                  <w:spacing w:line="276" w:lineRule="auto"/>
                  <w:rPr>
                    <w:rFonts w:eastAsia="CIDFont+F3"/>
                    <w:b/>
                    <w:szCs w:val="24"/>
                  </w:rPr>
                </w:pPr>
                <w:r>
                  <w:rPr>
                    <w:rFonts w:eastAsia="CIDFont+F3"/>
                    <w:szCs w:val="24"/>
                  </w:rPr>
                  <w:t>Tėvų (globėjų) skyrybos</w:t>
                </w:r>
              </w:p>
            </w:tc>
            <w:tc>
              <w:tcPr>
                <w:tcW w:w="1134" w:type="dxa"/>
              </w:tcPr>
              <w:p>
                <w:pPr>
                  <w:spacing w:line="276" w:lineRule="auto"/>
                  <w:jc w:val="center"/>
                  <w:rPr>
                    <w:rFonts w:eastAsia="CIDFont+F3"/>
                    <w:b/>
                    <w:szCs w:val="24"/>
                  </w:rPr>
                </w:pPr>
              </w:p>
            </w:tc>
            <w:tc>
              <w:tcPr>
                <w:tcW w:w="1418" w:type="dxa"/>
              </w:tcPr>
              <w:p>
                <w:pPr>
                  <w:spacing w:line="276" w:lineRule="auto"/>
                  <w:jc w:val="center"/>
                  <w:rPr>
                    <w:rFonts w:eastAsia="CIDFont+F3"/>
                    <w:b/>
                    <w:szCs w:val="24"/>
                  </w:rPr>
                </w:pPr>
              </w:p>
            </w:tc>
            <w:tc>
              <w:tcPr>
                <w:tcW w:w="3969" w:type="dxa"/>
              </w:tcPr>
              <w:p>
                <w:pPr>
                  <w:spacing w:line="276" w:lineRule="auto"/>
                  <w:rPr>
                    <w:rFonts w:eastAsia="CIDFont+F3"/>
                    <w:b/>
                    <w:szCs w:val="24"/>
                  </w:rPr>
                </w:pPr>
              </w:p>
            </w:tc>
          </w:tr>
          <w:tr>
            <w:tc>
              <w:tcPr>
                <w:tcW w:w="4678" w:type="dxa"/>
              </w:tcPr>
              <w:p>
                <w:pPr>
                  <w:spacing w:line="276" w:lineRule="auto"/>
                  <w:rPr>
                    <w:rFonts w:eastAsia="CIDFont+F3"/>
                    <w:b/>
                    <w:szCs w:val="24"/>
                  </w:rPr>
                </w:pPr>
                <w:r>
                  <w:rPr>
                    <w:rFonts w:eastAsia="CIDFont+F3"/>
                    <w:szCs w:val="24"/>
                  </w:rPr>
                  <w:t>Emigracija</w:t>
                </w:r>
              </w:p>
            </w:tc>
            <w:tc>
              <w:tcPr>
                <w:tcW w:w="1134" w:type="dxa"/>
              </w:tcPr>
              <w:p>
                <w:pPr>
                  <w:spacing w:line="276" w:lineRule="auto"/>
                  <w:jc w:val="center"/>
                  <w:rPr>
                    <w:rFonts w:eastAsia="CIDFont+F3"/>
                    <w:b/>
                    <w:szCs w:val="24"/>
                  </w:rPr>
                </w:pPr>
              </w:p>
            </w:tc>
            <w:tc>
              <w:tcPr>
                <w:tcW w:w="1418" w:type="dxa"/>
              </w:tcPr>
              <w:p>
                <w:pPr>
                  <w:spacing w:line="276" w:lineRule="auto"/>
                  <w:jc w:val="center"/>
                  <w:rPr>
                    <w:rFonts w:eastAsia="CIDFont+F3"/>
                    <w:b/>
                    <w:szCs w:val="24"/>
                  </w:rPr>
                </w:pPr>
              </w:p>
            </w:tc>
            <w:tc>
              <w:tcPr>
                <w:tcW w:w="3969" w:type="dxa"/>
              </w:tcPr>
              <w:p>
                <w:pPr>
                  <w:spacing w:line="276" w:lineRule="auto"/>
                  <w:rPr>
                    <w:rFonts w:eastAsia="CIDFont+F3"/>
                    <w:b/>
                    <w:szCs w:val="24"/>
                  </w:rPr>
                </w:pPr>
              </w:p>
            </w:tc>
          </w:tr>
          <w:tr>
            <w:tc>
              <w:tcPr>
                <w:tcW w:w="4678" w:type="dxa"/>
              </w:tcPr>
              <w:p>
                <w:pPr>
                  <w:spacing w:line="276" w:lineRule="auto"/>
                  <w:rPr>
                    <w:rFonts w:eastAsia="CIDFont+F3"/>
                    <w:b/>
                    <w:szCs w:val="24"/>
                  </w:rPr>
                </w:pPr>
                <w:r>
                  <w:rPr>
                    <w:rFonts w:eastAsia="CIDFont+F3"/>
                    <w:szCs w:val="24"/>
                  </w:rPr>
                  <w:t>Vaiko išnaudojimas</w:t>
                </w:r>
              </w:p>
            </w:tc>
            <w:tc>
              <w:tcPr>
                <w:tcW w:w="1134" w:type="dxa"/>
              </w:tcPr>
              <w:p>
                <w:pPr>
                  <w:spacing w:line="276" w:lineRule="auto"/>
                  <w:jc w:val="center"/>
                  <w:rPr>
                    <w:rFonts w:eastAsia="CIDFont+F3"/>
                    <w:b/>
                    <w:szCs w:val="24"/>
                  </w:rPr>
                </w:pPr>
              </w:p>
            </w:tc>
            <w:tc>
              <w:tcPr>
                <w:tcW w:w="1418" w:type="dxa"/>
              </w:tcPr>
              <w:p>
                <w:pPr>
                  <w:spacing w:line="276" w:lineRule="auto"/>
                  <w:jc w:val="center"/>
                  <w:rPr>
                    <w:rFonts w:eastAsia="CIDFont+F3"/>
                    <w:b/>
                    <w:szCs w:val="24"/>
                  </w:rPr>
                </w:pPr>
              </w:p>
            </w:tc>
            <w:tc>
              <w:tcPr>
                <w:tcW w:w="3969" w:type="dxa"/>
              </w:tcPr>
              <w:p>
                <w:pPr>
                  <w:spacing w:line="276" w:lineRule="auto"/>
                  <w:rPr>
                    <w:rFonts w:eastAsia="CIDFont+F3"/>
                    <w:b/>
                    <w:szCs w:val="24"/>
                  </w:rPr>
                </w:pPr>
              </w:p>
            </w:tc>
          </w:tr>
          <w:tr>
            <w:tc>
              <w:tcPr>
                <w:tcW w:w="4678" w:type="dxa"/>
              </w:tcPr>
              <w:p>
                <w:pPr>
                  <w:tabs>
                    <w:tab w:val="left" w:pos="1065"/>
                  </w:tabs>
                  <w:spacing w:line="276" w:lineRule="auto"/>
                  <w:rPr>
                    <w:rFonts w:eastAsia="CIDFont+F3"/>
                    <w:b/>
                    <w:szCs w:val="24"/>
                  </w:rPr>
                </w:pPr>
                <w:r>
                  <w:rPr>
                    <w:rFonts w:eastAsia="CIDFont+F3"/>
                    <w:szCs w:val="24"/>
                  </w:rPr>
                  <w:t>Smurtas, smurtiniai santykiai šeimoje</w:t>
                </w:r>
              </w:p>
            </w:tc>
            <w:tc>
              <w:tcPr>
                <w:tcW w:w="1134" w:type="dxa"/>
              </w:tcPr>
              <w:p>
                <w:pPr>
                  <w:spacing w:line="276" w:lineRule="auto"/>
                  <w:jc w:val="center"/>
                  <w:rPr>
                    <w:rFonts w:eastAsia="CIDFont+F3"/>
                    <w:b/>
                    <w:szCs w:val="24"/>
                  </w:rPr>
                </w:pPr>
              </w:p>
            </w:tc>
            <w:tc>
              <w:tcPr>
                <w:tcW w:w="1418" w:type="dxa"/>
              </w:tcPr>
              <w:p>
                <w:pPr>
                  <w:spacing w:line="276" w:lineRule="auto"/>
                  <w:jc w:val="center"/>
                  <w:rPr>
                    <w:rFonts w:eastAsia="CIDFont+F3"/>
                    <w:b/>
                    <w:szCs w:val="24"/>
                  </w:rPr>
                </w:pPr>
              </w:p>
            </w:tc>
            <w:tc>
              <w:tcPr>
                <w:tcW w:w="3969" w:type="dxa"/>
              </w:tcPr>
              <w:p>
                <w:pPr>
                  <w:spacing w:line="276" w:lineRule="auto"/>
                  <w:rPr>
                    <w:rFonts w:eastAsia="CIDFont+F3"/>
                    <w:b/>
                    <w:szCs w:val="24"/>
                  </w:rPr>
                </w:pPr>
              </w:p>
            </w:tc>
          </w:tr>
          <w:tr>
            <w:tc>
              <w:tcPr>
                <w:tcW w:w="4678" w:type="dxa"/>
              </w:tcPr>
              <w:p>
                <w:pPr>
                  <w:spacing w:line="276" w:lineRule="auto"/>
                  <w:rPr>
                    <w:rFonts w:eastAsia="CIDFont+F3"/>
                    <w:b/>
                    <w:szCs w:val="24"/>
                  </w:rPr>
                </w:pPr>
                <w:r>
                  <w:rPr>
                    <w:rFonts w:eastAsia="CIDFont+F3"/>
                    <w:szCs w:val="24"/>
                  </w:rPr>
                  <w:t>Buvę vaiko paėmimo iš šeimos atvejai</w:t>
                </w:r>
              </w:p>
            </w:tc>
            <w:tc>
              <w:tcPr>
                <w:tcW w:w="1134" w:type="dxa"/>
              </w:tcPr>
              <w:p>
                <w:pPr>
                  <w:spacing w:line="276" w:lineRule="auto"/>
                  <w:jc w:val="center"/>
                  <w:rPr>
                    <w:rFonts w:eastAsia="CIDFont+F3"/>
                    <w:b/>
                    <w:szCs w:val="24"/>
                  </w:rPr>
                </w:pPr>
              </w:p>
            </w:tc>
            <w:tc>
              <w:tcPr>
                <w:tcW w:w="1418" w:type="dxa"/>
              </w:tcPr>
              <w:p>
                <w:pPr>
                  <w:spacing w:line="276" w:lineRule="auto"/>
                  <w:jc w:val="center"/>
                  <w:rPr>
                    <w:rFonts w:eastAsia="CIDFont+F3"/>
                    <w:b/>
                    <w:szCs w:val="24"/>
                  </w:rPr>
                </w:pPr>
              </w:p>
            </w:tc>
            <w:tc>
              <w:tcPr>
                <w:tcW w:w="3969" w:type="dxa"/>
              </w:tcPr>
              <w:p>
                <w:pPr>
                  <w:spacing w:line="276" w:lineRule="auto"/>
                  <w:rPr>
                    <w:rFonts w:eastAsia="CIDFont+F3"/>
                    <w:b/>
                    <w:szCs w:val="24"/>
                  </w:rPr>
                </w:pPr>
              </w:p>
            </w:tc>
          </w:tr>
          <w:tr>
            <w:tc>
              <w:tcPr>
                <w:tcW w:w="4678" w:type="dxa"/>
              </w:tcPr>
              <w:p>
                <w:pPr>
                  <w:spacing w:line="276" w:lineRule="auto"/>
                  <w:rPr>
                    <w:rFonts w:eastAsia="CIDFont+F3"/>
                    <w:b/>
                    <w:szCs w:val="24"/>
                  </w:rPr>
                </w:pPr>
                <w:r>
                  <w:rPr>
                    <w:rFonts w:eastAsia="CIDFont+F3"/>
                    <w:szCs w:val="24"/>
                  </w:rPr>
                  <w:t>Nėščiosios šeimos nariai augo nepilnoje šeimoje</w:t>
                </w:r>
              </w:p>
            </w:tc>
            <w:tc>
              <w:tcPr>
                <w:tcW w:w="1134" w:type="dxa"/>
              </w:tcPr>
              <w:p>
                <w:pPr>
                  <w:spacing w:line="276" w:lineRule="auto"/>
                  <w:jc w:val="center"/>
                  <w:rPr>
                    <w:rFonts w:eastAsia="CIDFont+F3"/>
                    <w:b/>
                    <w:szCs w:val="24"/>
                  </w:rPr>
                </w:pPr>
              </w:p>
            </w:tc>
            <w:tc>
              <w:tcPr>
                <w:tcW w:w="1418" w:type="dxa"/>
              </w:tcPr>
              <w:p>
                <w:pPr>
                  <w:spacing w:line="276" w:lineRule="auto"/>
                  <w:jc w:val="center"/>
                  <w:rPr>
                    <w:rFonts w:eastAsia="CIDFont+F3"/>
                    <w:b/>
                    <w:szCs w:val="24"/>
                  </w:rPr>
                </w:pPr>
              </w:p>
            </w:tc>
            <w:tc>
              <w:tcPr>
                <w:tcW w:w="3969" w:type="dxa"/>
              </w:tcPr>
              <w:p>
                <w:pPr>
                  <w:spacing w:line="276" w:lineRule="auto"/>
                  <w:rPr>
                    <w:rFonts w:eastAsia="CIDFont+F3"/>
                    <w:b/>
                    <w:szCs w:val="24"/>
                  </w:rPr>
                </w:pPr>
              </w:p>
            </w:tc>
          </w:tr>
          <w:tr>
            <w:tc>
              <w:tcPr>
                <w:tcW w:w="4678" w:type="dxa"/>
              </w:tcPr>
              <w:p>
                <w:pPr>
                  <w:spacing w:line="276" w:lineRule="auto"/>
                  <w:rPr>
                    <w:rFonts w:eastAsia="CIDFont+F3"/>
                    <w:b/>
                    <w:szCs w:val="24"/>
                  </w:rPr>
                </w:pPr>
                <w:r>
                  <w:rPr>
                    <w:rFonts w:eastAsia="CIDFont+F3"/>
                    <w:szCs w:val="24"/>
                  </w:rPr>
                  <w:t>Nėščiosios šeimos nariai išgyveno tėvų (globėjų) skyrybas</w:t>
                </w:r>
              </w:p>
            </w:tc>
            <w:tc>
              <w:tcPr>
                <w:tcW w:w="1134" w:type="dxa"/>
              </w:tcPr>
              <w:p>
                <w:pPr>
                  <w:spacing w:line="276" w:lineRule="auto"/>
                  <w:jc w:val="center"/>
                  <w:rPr>
                    <w:rFonts w:eastAsia="CIDFont+F3"/>
                    <w:b/>
                    <w:szCs w:val="24"/>
                  </w:rPr>
                </w:pPr>
              </w:p>
            </w:tc>
            <w:tc>
              <w:tcPr>
                <w:tcW w:w="1418" w:type="dxa"/>
              </w:tcPr>
              <w:p>
                <w:pPr>
                  <w:spacing w:line="276" w:lineRule="auto"/>
                  <w:jc w:val="center"/>
                  <w:rPr>
                    <w:rFonts w:eastAsia="CIDFont+F3"/>
                    <w:b/>
                    <w:szCs w:val="24"/>
                  </w:rPr>
                </w:pPr>
              </w:p>
            </w:tc>
            <w:tc>
              <w:tcPr>
                <w:tcW w:w="3969" w:type="dxa"/>
              </w:tcPr>
              <w:p>
                <w:pPr>
                  <w:spacing w:line="276" w:lineRule="auto"/>
                  <w:rPr>
                    <w:rFonts w:eastAsia="CIDFont+F3"/>
                    <w:b/>
                    <w:szCs w:val="24"/>
                  </w:rPr>
                </w:pPr>
              </w:p>
            </w:tc>
          </w:tr>
          <w:tr>
            <w:tc>
              <w:tcPr>
                <w:tcW w:w="4678" w:type="dxa"/>
              </w:tcPr>
              <w:p>
                <w:pPr>
                  <w:spacing w:line="276" w:lineRule="auto"/>
                  <w:rPr>
                    <w:rFonts w:eastAsia="CIDFont+F3"/>
                    <w:b/>
                    <w:szCs w:val="24"/>
                  </w:rPr>
                </w:pPr>
                <w:r>
                  <w:rPr>
                    <w:rFonts w:eastAsia="CIDFont+F3"/>
                    <w:szCs w:val="24"/>
                  </w:rPr>
                  <w:t>Nėščiosios šeimos nariai neteko artimųjų</w:t>
                </w:r>
              </w:p>
            </w:tc>
            <w:tc>
              <w:tcPr>
                <w:tcW w:w="1134" w:type="dxa"/>
              </w:tcPr>
              <w:p>
                <w:pPr>
                  <w:spacing w:line="276" w:lineRule="auto"/>
                  <w:jc w:val="center"/>
                  <w:rPr>
                    <w:rFonts w:eastAsia="CIDFont+F3"/>
                    <w:b/>
                    <w:szCs w:val="24"/>
                  </w:rPr>
                </w:pPr>
              </w:p>
            </w:tc>
            <w:tc>
              <w:tcPr>
                <w:tcW w:w="1418" w:type="dxa"/>
              </w:tcPr>
              <w:p>
                <w:pPr>
                  <w:spacing w:line="276" w:lineRule="auto"/>
                  <w:jc w:val="center"/>
                  <w:rPr>
                    <w:rFonts w:eastAsia="CIDFont+F3"/>
                    <w:b/>
                    <w:szCs w:val="24"/>
                  </w:rPr>
                </w:pPr>
              </w:p>
            </w:tc>
            <w:tc>
              <w:tcPr>
                <w:tcW w:w="3969" w:type="dxa"/>
              </w:tcPr>
              <w:p>
                <w:pPr>
                  <w:spacing w:line="276" w:lineRule="auto"/>
                  <w:rPr>
                    <w:rFonts w:eastAsia="CIDFont+F3"/>
                    <w:b/>
                    <w:szCs w:val="24"/>
                  </w:rPr>
                </w:pPr>
              </w:p>
            </w:tc>
          </w:tr>
          <w:tr>
            <w:tc>
              <w:tcPr>
                <w:tcW w:w="4678" w:type="dxa"/>
              </w:tcPr>
              <w:p>
                <w:pPr>
                  <w:spacing w:line="276" w:lineRule="auto"/>
                  <w:rPr>
                    <w:rFonts w:eastAsia="CIDFont+F3"/>
                    <w:b/>
                    <w:szCs w:val="24"/>
                  </w:rPr>
                </w:pPr>
                <w:r>
                  <w:rPr>
                    <w:rFonts w:eastAsia="CIDFont+F3"/>
                    <w:szCs w:val="24"/>
                  </w:rPr>
                  <w:t>Nėščiosios šeimos nariai buvo išnaudojami</w:t>
                </w:r>
              </w:p>
            </w:tc>
            <w:tc>
              <w:tcPr>
                <w:tcW w:w="1134" w:type="dxa"/>
              </w:tcPr>
              <w:p>
                <w:pPr>
                  <w:spacing w:line="276" w:lineRule="auto"/>
                  <w:jc w:val="center"/>
                  <w:rPr>
                    <w:rFonts w:eastAsia="CIDFont+F3"/>
                    <w:b/>
                    <w:szCs w:val="24"/>
                  </w:rPr>
                </w:pPr>
              </w:p>
            </w:tc>
            <w:tc>
              <w:tcPr>
                <w:tcW w:w="1418" w:type="dxa"/>
              </w:tcPr>
              <w:p>
                <w:pPr>
                  <w:spacing w:line="276" w:lineRule="auto"/>
                  <w:jc w:val="center"/>
                  <w:rPr>
                    <w:rFonts w:eastAsia="CIDFont+F3"/>
                    <w:b/>
                    <w:szCs w:val="24"/>
                  </w:rPr>
                </w:pPr>
              </w:p>
            </w:tc>
            <w:tc>
              <w:tcPr>
                <w:tcW w:w="3969" w:type="dxa"/>
              </w:tcPr>
              <w:p>
                <w:pPr>
                  <w:spacing w:line="276" w:lineRule="auto"/>
                  <w:rPr>
                    <w:rFonts w:eastAsia="CIDFont+F3"/>
                    <w:b/>
                    <w:szCs w:val="24"/>
                  </w:rPr>
                </w:pPr>
              </w:p>
            </w:tc>
          </w:tr>
          <w:tr>
            <w:tc>
              <w:tcPr>
                <w:tcW w:w="4678" w:type="dxa"/>
              </w:tcPr>
              <w:p>
                <w:pPr>
                  <w:spacing w:line="276" w:lineRule="auto"/>
                  <w:rPr>
                    <w:rFonts w:eastAsia="CIDFont+F3"/>
                    <w:szCs w:val="24"/>
                  </w:rPr>
                </w:pPr>
                <w:r>
                  <w:rPr>
                    <w:rFonts w:eastAsia="CIDFont+F3"/>
                    <w:szCs w:val="24"/>
                  </w:rPr>
                  <w:t>Nėščiosios šeimos nariai patyrė smurtą šeimoje</w:t>
                </w:r>
              </w:p>
            </w:tc>
            <w:tc>
              <w:tcPr>
                <w:tcW w:w="1134" w:type="dxa"/>
              </w:tcPr>
              <w:p>
                <w:pPr>
                  <w:spacing w:line="276" w:lineRule="auto"/>
                  <w:jc w:val="center"/>
                  <w:rPr>
                    <w:rFonts w:eastAsia="CIDFont+F3"/>
                    <w:b/>
                    <w:szCs w:val="24"/>
                  </w:rPr>
                </w:pPr>
              </w:p>
            </w:tc>
            <w:tc>
              <w:tcPr>
                <w:tcW w:w="1418" w:type="dxa"/>
              </w:tcPr>
              <w:p>
                <w:pPr>
                  <w:spacing w:line="276" w:lineRule="auto"/>
                  <w:jc w:val="center"/>
                  <w:rPr>
                    <w:rFonts w:eastAsia="CIDFont+F3"/>
                    <w:b/>
                    <w:szCs w:val="24"/>
                  </w:rPr>
                </w:pPr>
              </w:p>
            </w:tc>
            <w:tc>
              <w:tcPr>
                <w:tcW w:w="3969" w:type="dxa"/>
              </w:tcPr>
              <w:p>
                <w:pPr>
                  <w:spacing w:line="276" w:lineRule="auto"/>
                  <w:rPr>
                    <w:rFonts w:eastAsia="CIDFont+F3"/>
                    <w:b/>
                    <w:szCs w:val="24"/>
                  </w:rPr>
                </w:pPr>
              </w:p>
            </w:tc>
          </w:tr>
          <w:tr>
            <w:tc>
              <w:tcPr>
                <w:tcW w:w="4678" w:type="dxa"/>
              </w:tcPr>
              <w:p>
                <w:pPr>
                  <w:spacing w:line="276" w:lineRule="auto"/>
                  <w:rPr>
                    <w:rFonts w:eastAsia="CIDFont+F3"/>
                    <w:szCs w:val="24"/>
                  </w:rPr>
                </w:pPr>
                <w:r>
                  <w:rPr>
                    <w:rFonts w:eastAsia="CIDFont+F3"/>
                    <w:szCs w:val="24"/>
                  </w:rPr>
                  <w:t>Nėščiosios šeimos nariai buvo globojami</w:t>
                </w:r>
              </w:p>
            </w:tc>
            <w:tc>
              <w:tcPr>
                <w:tcW w:w="1134" w:type="dxa"/>
              </w:tcPr>
              <w:p>
                <w:pPr>
                  <w:spacing w:line="276" w:lineRule="auto"/>
                  <w:jc w:val="center"/>
                  <w:rPr>
                    <w:rFonts w:eastAsia="CIDFont+F3"/>
                    <w:b/>
                    <w:szCs w:val="24"/>
                  </w:rPr>
                </w:pPr>
              </w:p>
            </w:tc>
            <w:tc>
              <w:tcPr>
                <w:tcW w:w="1418" w:type="dxa"/>
              </w:tcPr>
              <w:p>
                <w:pPr>
                  <w:spacing w:line="276" w:lineRule="auto"/>
                  <w:jc w:val="center"/>
                  <w:rPr>
                    <w:rFonts w:eastAsia="CIDFont+F3"/>
                    <w:b/>
                    <w:szCs w:val="24"/>
                  </w:rPr>
                </w:pPr>
              </w:p>
            </w:tc>
            <w:tc>
              <w:tcPr>
                <w:tcW w:w="3969" w:type="dxa"/>
              </w:tcPr>
              <w:p>
                <w:pPr>
                  <w:spacing w:line="276" w:lineRule="auto"/>
                  <w:rPr>
                    <w:rFonts w:eastAsia="CIDFont+F3"/>
                    <w:b/>
                    <w:szCs w:val="24"/>
                  </w:rPr>
                </w:pPr>
              </w:p>
            </w:tc>
          </w:tr>
          <w:tr>
            <w:tc>
              <w:tcPr>
                <w:tcW w:w="4678" w:type="dxa"/>
              </w:tcPr>
              <w:p>
                <w:pPr>
                  <w:spacing w:line="276" w:lineRule="auto"/>
                  <w:rPr>
                    <w:rFonts w:eastAsia="CIDFont+F3"/>
                    <w:szCs w:val="24"/>
                  </w:rPr>
                </w:pPr>
                <w:r>
                  <w:rPr>
                    <w:rFonts w:eastAsia="CIDFont+F3"/>
                    <w:szCs w:val="24"/>
                  </w:rPr>
                  <w:t>Nėščiosios šeimos nariai buvo įkalinti</w:t>
                </w:r>
              </w:p>
            </w:tc>
            <w:tc>
              <w:tcPr>
                <w:tcW w:w="1134" w:type="dxa"/>
              </w:tcPr>
              <w:p>
                <w:pPr>
                  <w:spacing w:line="276" w:lineRule="auto"/>
                  <w:jc w:val="center"/>
                  <w:rPr>
                    <w:rFonts w:eastAsia="CIDFont+F3"/>
                    <w:b/>
                    <w:szCs w:val="24"/>
                  </w:rPr>
                </w:pPr>
              </w:p>
            </w:tc>
            <w:tc>
              <w:tcPr>
                <w:tcW w:w="1418" w:type="dxa"/>
              </w:tcPr>
              <w:p>
                <w:pPr>
                  <w:spacing w:line="276" w:lineRule="auto"/>
                  <w:jc w:val="center"/>
                  <w:rPr>
                    <w:rFonts w:eastAsia="CIDFont+F3"/>
                    <w:b/>
                    <w:szCs w:val="24"/>
                  </w:rPr>
                </w:pPr>
              </w:p>
            </w:tc>
            <w:tc>
              <w:tcPr>
                <w:tcW w:w="3969" w:type="dxa"/>
              </w:tcPr>
              <w:p>
                <w:pPr>
                  <w:spacing w:line="276" w:lineRule="auto"/>
                  <w:rPr>
                    <w:rFonts w:eastAsia="CIDFont+F3"/>
                    <w:b/>
                    <w:szCs w:val="24"/>
                  </w:rPr>
                </w:pPr>
              </w:p>
            </w:tc>
          </w:tr>
        </w:tbl>
        <w:p>
          <w:pPr>
            <w:spacing w:line="276" w:lineRule="auto"/>
            <w:rPr>
              <w:rFonts w:ascii="Calibri" w:eastAsia="Calibri" w:hAnsi="Calibri"/>
              <w:sz w:val="22"/>
              <w:szCs w:val="22"/>
            </w:rPr>
          </w:pPr>
        </w:p>
        <w:p>
          <w:pPr>
            <w:spacing w:line="276" w:lineRule="auto"/>
            <w:rPr>
              <w:rFonts w:ascii="Calibri" w:eastAsia="Calibri" w:hAnsi="Calibri"/>
              <w:sz w:val="22"/>
              <w:szCs w:val="22"/>
            </w:rPr>
          </w:pPr>
        </w:p>
        <w:p>
          <w:pPr>
            <w:spacing w:line="276" w:lineRule="auto"/>
            <w:rPr>
              <w:rFonts w:ascii="Calibri" w:eastAsia="Calibri" w:hAnsi="Calibri"/>
              <w:sz w:val="22"/>
              <w:szCs w:val="22"/>
            </w:rPr>
          </w:pPr>
        </w:p>
        <w:p>
          <w:pPr>
            <w:spacing w:line="276" w:lineRule="auto"/>
            <w:ind w:left="-993"/>
            <w:rPr>
              <w:rFonts w:eastAsia="Calibri"/>
              <w:szCs w:val="24"/>
            </w:rPr>
          </w:pPr>
          <w:r>
            <w:rPr>
              <w:rFonts w:eastAsia="Calibri"/>
              <w:szCs w:val="24"/>
            </w:rPr>
            <w:t>RIZIKOS LYGIAI:</w:t>
          </w:r>
        </w:p>
        <w:tbl>
          <w:tblPr>
            <w:tblW w:w="0" w:type="auto"/>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6"/>
            <w:gridCol w:w="9167"/>
          </w:tblGrid>
          <w:tr>
            <w:tc>
              <w:tcPr>
                <w:tcW w:w="1419" w:type="dxa"/>
                <w:vAlign w:val="center"/>
              </w:tcPr>
              <w:p>
                <w:pPr>
                  <w:jc w:val="center"/>
                  <w:rPr>
                    <w:rFonts w:eastAsia="Calibri"/>
                    <w:sz w:val="28"/>
                    <w:szCs w:val="28"/>
                  </w:rPr>
                </w:pPr>
                <w:r>
                  <w:rPr>
                    <w:rFonts w:eastAsia="Calibri"/>
                    <w:sz w:val="28"/>
                    <w:szCs w:val="28"/>
                  </w:rPr>
                  <w:t>0</w:t>
                </w:r>
              </w:p>
            </w:tc>
            <w:tc>
              <w:tcPr>
                <w:tcW w:w="9654" w:type="dxa"/>
              </w:tcPr>
              <w:p>
                <w:pPr>
                  <w:ind w:left="720" w:hanging="360"/>
                  <w:rPr>
                    <w:rFonts w:eastAsia="Calibri"/>
                    <w:szCs w:val="24"/>
                  </w:rPr>
                </w:pPr>
                <w:r>
                  <w:rPr>
                    <w:rFonts w:ascii="Symbol" w:eastAsia="Calibri" w:hAnsi="Symbol"/>
                    <w:szCs w:val="24"/>
                  </w:rPr>
                  <w:t></w:t>
                  <w:tab/>
                </w:r>
                <w:r>
                  <w:rPr>
                    <w:rFonts w:eastAsia="CIDFont+F3"/>
                    <w:szCs w:val="24"/>
                  </w:rPr>
                  <w:t>Nėščioji ir jos šeimos nariai neturi negatyvių patirčių (pvz., artimųjų netektys, tėvų (globėjų) skyrybos, emigracija, vaiko išnaudojimas, smurtas šeimoje, buvę vaiko paėmimo iš šeimos atvejai ir kt.)</w:t>
                </w:r>
              </w:p>
            </w:tc>
          </w:tr>
          <w:tr>
            <w:tc>
              <w:tcPr>
                <w:tcW w:w="1419" w:type="dxa"/>
                <w:vAlign w:val="center"/>
              </w:tcPr>
              <w:p>
                <w:pPr>
                  <w:jc w:val="center"/>
                  <w:rPr>
                    <w:rFonts w:eastAsia="Calibri"/>
                    <w:sz w:val="28"/>
                    <w:szCs w:val="28"/>
                  </w:rPr>
                </w:pPr>
                <w:r>
                  <w:rPr>
                    <w:rFonts w:eastAsia="Calibri"/>
                    <w:sz w:val="28"/>
                    <w:szCs w:val="28"/>
                  </w:rPr>
                  <w:t>1</w:t>
                </w:r>
              </w:p>
            </w:tc>
            <w:tc>
              <w:tcPr>
                <w:tcW w:w="9654" w:type="dxa"/>
              </w:tcPr>
              <w:p>
                <w:pPr>
                  <w:ind w:left="720" w:hanging="360"/>
                  <w:rPr>
                    <w:rFonts w:eastAsia="Calibri"/>
                    <w:szCs w:val="24"/>
                  </w:rPr>
                </w:pPr>
                <w:r>
                  <w:rPr>
                    <w:rFonts w:ascii="Symbol" w:eastAsia="Calibri" w:hAnsi="Symbol"/>
                    <w:szCs w:val="24"/>
                  </w:rPr>
                  <w:t></w:t>
                  <w:tab/>
                </w:r>
                <w:r>
                  <w:rPr>
                    <w:rFonts w:eastAsia="CIDFont+F3"/>
                    <w:szCs w:val="24"/>
                  </w:rPr>
                  <w:t>Šeimoje yra buvę reikšmingų įvykių, tačiau nepastebima nėščiosios bei jos šeimos narių elgesio pasikeitimų ar neadekvačios reakcijos, visa tai nedaro neigiamos įtakos tolimesniam jos gyvenimui ar jos šeimos funkcionavimui.</w:t>
                </w:r>
              </w:p>
            </w:tc>
          </w:tr>
          <w:tr>
            <w:tc>
              <w:tcPr>
                <w:tcW w:w="1419" w:type="dxa"/>
                <w:vAlign w:val="center"/>
              </w:tcPr>
              <w:p>
                <w:pPr>
                  <w:jc w:val="center"/>
                  <w:rPr>
                    <w:rFonts w:eastAsia="Calibri"/>
                    <w:sz w:val="28"/>
                    <w:szCs w:val="28"/>
                  </w:rPr>
                </w:pPr>
                <w:r>
                  <w:rPr>
                    <w:rFonts w:eastAsia="Calibri"/>
                    <w:sz w:val="28"/>
                    <w:szCs w:val="28"/>
                  </w:rPr>
                  <w:t>2</w:t>
                </w:r>
              </w:p>
            </w:tc>
            <w:tc>
              <w:tcPr>
                <w:tcW w:w="9654" w:type="dxa"/>
              </w:tcPr>
              <w:p>
                <w:pPr>
                  <w:ind w:left="720" w:hanging="360"/>
                  <w:rPr>
                    <w:rFonts w:eastAsia="CIDFont+F3"/>
                    <w:szCs w:val="24"/>
                  </w:rPr>
                </w:pPr>
                <w:r>
                  <w:rPr>
                    <w:rFonts w:ascii="Symbol" w:eastAsia="CIDFont+F3" w:hAnsi="Symbol"/>
                    <w:szCs w:val="24"/>
                  </w:rPr>
                  <w:t></w:t>
                  <w:tab/>
                </w:r>
                <w:r>
                  <w:rPr>
                    <w:rFonts w:eastAsia="CIDFont+F3"/>
                    <w:szCs w:val="24"/>
                  </w:rPr>
                  <w:t>Šeimoje yra buvę reikšmingų įvykių, kurie padarė įtaką nėščiajai, stebimi nežymūs jos elgesio pasikeitimai, tačiau ji yra motyvuota spręsti problemas.</w:t>
                </w:r>
              </w:p>
              <w:p>
                <w:pPr>
                  <w:ind w:left="720" w:hanging="360"/>
                  <w:rPr>
                    <w:rFonts w:eastAsia="Calibri"/>
                    <w:szCs w:val="24"/>
                  </w:rPr>
                </w:pPr>
                <w:r>
                  <w:rPr>
                    <w:rFonts w:ascii="Symbol" w:eastAsia="Calibri" w:hAnsi="Symbol"/>
                    <w:szCs w:val="24"/>
                  </w:rPr>
                  <w:t></w:t>
                  <w:tab/>
                </w:r>
                <w:r>
                  <w:rPr>
                    <w:rFonts w:eastAsia="CIDFont+F3"/>
                    <w:szCs w:val="24"/>
                  </w:rPr>
                  <w:t>Šeimoje yra buvę reikšmingų įvykių, stebimi nežymūs šeimos narių elgesio pasikeitimai, kurie gali daryti įtaką nėščiajai ir / ar gimsiančiam kūdikiui, tačiau šeimos nariai yra motyvuoti spręsti problemas.</w:t>
                </w:r>
              </w:p>
            </w:tc>
          </w:tr>
          <w:tr>
            <w:tc>
              <w:tcPr>
                <w:tcW w:w="1419" w:type="dxa"/>
                <w:vAlign w:val="center"/>
              </w:tcPr>
              <w:p>
                <w:pPr>
                  <w:jc w:val="center"/>
                  <w:rPr>
                    <w:rFonts w:eastAsia="Calibri"/>
                    <w:sz w:val="28"/>
                    <w:szCs w:val="28"/>
                  </w:rPr>
                </w:pPr>
                <w:r>
                  <w:rPr>
                    <w:rFonts w:eastAsia="Calibri"/>
                    <w:sz w:val="28"/>
                    <w:szCs w:val="28"/>
                  </w:rPr>
                  <w:t>3</w:t>
                </w:r>
              </w:p>
            </w:tc>
            <w:tc>
              <w:tcPr>
                <w:tcW w:w="9654" w:type="dxa"/>
              </w:tcPr>
              <w:p>
                <w:pPr>
                  <w:ind w:left="720" w:hanging="360"/>
                  <w:rPr>
                    <w:rFonts w:eastAsia="CIDFont+F3"/>
                    <w:szCs w:val="24"/>
                  </w:rPr>
                </w:pPr>
                <w:r>
                  <w:rPr>
                    <w:rFonts w:ascii="Symbol" w:eastAsia="CIDFont+F3" w:hAnsi="Symbol"/>
                    <w:szCs w:val="24"/>
                  </w:rPr>
                  <w:t></w:t>
                  <w:tab/>
                </w:r>
                <w:r>
                  <w:rPr>
                    <w:rFonts w:eastAsia="CIDFont+F3"/>
                    <w:szCs w:val="24"/>
                  </w:rPr>
                  <w:t>Šeimoje yra buvę reikšmingų įvykių, dėl kurių nėščiosios elgesys pasikeitęs, pastebimos neadekvačios reakcijos, ji atsisako spręsti problemas.</w:t>
                </w:r>
              </w:p>
              <w:p>
                <w:pPr>
                  <w:ind w:left="720" w:hanging="360"/>
                  <w:rPr>
                    <w:rFonts w:eastAsia="CIDFont+F3"/>
                    <w:szCs w:val="24"/>
                  </w:rPr>
                </w:pPr>
                <w:r>
                  <w:rPr>
                    <w:rFonts w:ascii="Symbol" w:eastAsia="CIDFont+F3" w:hAnsi="Symbol"/>
                    <w:szCs w:val="24"/>
                  </w:rPr>
                  <w:t></w:t>
                  <w:tab/>
                </w:r>
                <w:r>
                  <w:rPr>
                    <w:rFonts w:eastAsia="CIDFont+F3"/>
                    <w:szCs w:val="24"/>
                  </w:rPr>
                  <w:t>Buvusios krizės neišspręstos, atsikartojančios neigiamos patirtys, patirtas elgesys</w:t>
                </w:r>
              </w:p>
              <w:p>
                <w:pPr>
                  <w:ind w:left="720"/>
                  <w:rPr>
                    <w:rFonts w:eastAsia="Calibri"/>
                    <w:szCs w:val="24"/>
                  </w:rPr>
                </w:pPr>
                <w:r>
                  <w:rPr>
                    <w:rFonts w:eastAsia="CIDFont+F3"/>
                    <w:szCs w:val="24"/>
                  </w:rPr>
                  <w:t>atkartojamas nėščiosios atžvilgiu, šeimos nariai atsisako problemas spręsti.</w:t>
                </w:r>
              </w:p>
            </w:tc>
          </w:tr>
        </w:tbl>
        <w:p>
          <w:pPr>
            <w:jc w:val="both"/>
            <w:rPr>
              <w:color w:val="000000"/>
              <w:szCs w:val="24"/>
            </w:rPr>
          </w:pPr>
          <w:r>
            <w:rPr>
              <w:color w:val="000000"/>
              <w:szCs w:val="24"/>
            </w:rPr>
            <w:t>Pastabos: klausimyną pildo šeimų lankymo specialistas.</w:t>
          </w:r>
        </w:p>
        <w:sdt>
          <w:sdtPr>
            <w:alias w:val="pabaiga"/>
            <w:tag w:val="part_7ffb5e86d03548ff9f774f62a8118ce4"/>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CIDFont+F3">
    <w:altName w:val="Yu Gothic UI"/>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5" Abbr="5 pr." Title="NĖŠČIOSIOS IR JOS ŠEIMOS GYVENIMO PATIRTYS" DocPartId="e3f7caca8aa44dfcbda87a512358cf93" PartId="c3fad4b8bb9e44eeba2d363019b54f5e">
    <Part Type="pabaiga" DocPartId="0aa165b637c0428392b12ef6904a7e8b" PartId="7ffb5e86d03548ff9f774f62a8118ce4"/>
  </Part>
</Parts>
</file>

<file path=customXml/itemProps1.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3.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4.xml><?xml version="1.0" encoding="utf-8"?>
<ds:datastoreItem xmlns:ds="http://schemas.openxmlformats.org/officeDocument/2006/customXml" ds:itemID="{719C3793-9829-42BC-B108-11D8CFD32871}">
  <ds:schemaRefs>
    <ds:schemaRef ds:uri="http://schemas.openxmlformats.org/officeDocument/2006/bibliography"/>
  </ds:schemaRefs>
</ds:datastoreItem>
</file>

<file path=customXml/itemProps5.xml><?xml version="1.0" encoding="utf-8"?>
<ds:datastoreItem xmlns:ds="http://schemas.openxmlformats.org/officeDocument/2006/customXml" ds:itemID="{5963A21E-B545-441C-8D8B-16E054920F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400</Words>
  <Characters>2684</Characters>
  <Application>Microsoft Office Word</Application>
  <DocSecurity>4</DocSecurity>
  <Lines>116</Lines>
  <Paragraphs>48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3036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