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2 pr."/>
        <w:tag w:val="part_41d19c78c3894474973a50855d9d2c81"/>
        <w:lock w:val="sdtLocked"/>
        <w:richText/>
      </w:sdtPr>
      <w:sdtContent>
        <w:p>
          <w:pPr>
            <w:tabs>
              <w:tab w:val="center" w:pos="4819"/>
              <w:tab w:val="right" w:pos="9638"/>
            </w:tabs>
            <w:ind w:firstLine="720"/>
            <w:rPr>
              <w:rFonts w:ascii="Arial" w:hAnsi="Arial"/>
              <w:sz w:val="20"/>
            </w:rPr>
          </w:pPr>
        </w:p>
        <w:p>
          <w:pPr>
            <w:ind w:left="6521"/>
            <w:rPr>
              <w:color w:val="242424"/>
              <w:szCs w:val="24"/>
              <w:lang w:eastAsia="lt-LT"/>
            </w:rPr>
          </w:pPr>
          <w:r>
            <w:rPr>
              <w:color w:val="242424"/>
              <w:szCs w:val="24"/>
              <w:lang w:eastAsia="lt-LT"/>
            </w:rPr>
            <w:t xml:space="preserve">Ambulatorinių slaugos ir akušerijos ankstyvosios intervencijos paslaugų šeimoms </w:t>
          </w:r>
          <w:r>
            <w:rPr>
              <w:szCs w:val="24"/>
            </w:rPr>
            <w:t>teikimo reikalavimų tvarkos</w:t>
          </w:r>
          <w:r>
            <w:rPr>
              <w:color w:val="242424"/>
              <w:szCs w:val="24"/>
              <w:lang w:eastAsia="lt-LT"/>
            </w:rPr>
            <w:t xml:space="preserve"> aprašo</w:t>
          </w:r>
        </w:p>
        <w:p>
          <w:pPr>
            <w:ind w:left="6521"/>
            <w:rPr>
              <w:color w:val="242424"/>
              <w:szCs w:val="24"/>
              <w:lang w:eastAsia="lt-LT"/>
            </w:rPr>
          </w:pPr>
          <w:sdt>
            <w:sdtPr>
              <w:alias w:val="Numeris"/>
              <w:tag w:val="nr_41d19c78c3894474973a50855d9d2c81"/>
              <w:lock w:val="sdtLocked"/>
              <w:richText/>
            </w:sdtPr>
            <w:sdtContent>
              <w:r>
                <w:rPr>
                  <w:color w:val="242424"/>
                  <w:szCs w:val="24"/>
                  <w:lang w:eastAsia="lt-LT"/>
                </w:rPr>
                <w:t>12</w:t>
              </w:r>
            </w:sdtContent>
          </w:sdt>
          <w:r>
            <w:rPr>
              <w:color w:val="242424"/>
              <w:szCs w:val="24"/>
              <w:lang w:eastAsia="lt-LT"/>
            </w:rPr>
            <w:t xml:space="preserve"> priedas </w:t>
          </w:r>
        </w:p>
        <w:p>
          <w:pPr>
            <w:rPr>
              <w:szCs w:val="24"/>
            </w:rPr>
          </w:pPr>
        </w:p>
        <w:p>
          <w:pPr>
            <w:jc w:val="center"/>
            <w:rPr>
              <w:szCs w:val="24"/>
              <w:lang w:eastAsia="lt-LT"/>
            </w:rPr>
          </w:pPr>
          <w:sdt>
            <w:sdtPr>
              <w:alias w:val="Pavadinimas"/>
              <w:tag w:val="title_41d19c78c3894474973a50855d9d2c81"/>
              <w:lock w:val="sdtLocked"/>
              <w:richText/>
            </w:sdtPr>
            <w:sdtContent>
              <w:r>
                <w:rPr>
                  <w:szCs w:val="24"/>
                  <w:lang w:eastAsia="lt-LT"/>
                </w:rPr>
                <w:t>POGIMDYMINĖS DEPRESIJOS SKALĖ</w:t>
              </w:r>
            </w:sdtContent>
          </w:sdt>
        </w:p>
        <w:p>
          <w:pPr>
            <w:jc w:val="center"/>
            <w:rPr>
              <w:color w:val="000000"/>
              <w:szCs w:val="24"/>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50"/>
            <w:gridCol w:w="2994"/>
          </w:tblGrid>
          <w:tr>
            <w:tc>
              <w:tcPr>
                <w:tcW w:w="7950" w:type="dxa"/>
              </w:tcPr>
              <w:p>
                <w:pPr>
                  <w:rPr>
                    <w:szCs w:val="24"/>
                  </w:rPr>
                </w:pPr>
                <w:r>
                  <w:rPr>
                    <w:szCs w:val="24"/>
                  </w:rPr>
                  <w:t>VIZITO DATA:</w:t>
                </w:r>
              </w:p>
            </w:tc>
            <w:tc>
              <w:tcPr>
                <w:tcW w:w="2994" w:type="dxa"/>
              </w:tcPr>
              <w:p>
                <w:pPr>
                  <w:rPr>
                    <w:szCs w:val="24"/>
                  </w:rPr>
                </w:pPr>
                <w:r>
                  <w:rPr>
                    <w:szCs w:val="24"/>
                  </w:rPr>
                  <w:t>Nustatytas rizikos lygis:</w:t>
                </w:r>
              </w:p>
            </w:tc>
          </w:tr>
          <w:tr>
            <w:tc>
              <w:tcPr>
                <w:tcW w:w="7950" w:type="dxa"/>
              </w:tcPr>
              <w:p>
                <w:pPr>
                  <w:rPr>
                    <w:szCs w:val="24"/>
                  </w:rPr>
                </w:pPr>
                <w:r>
                  <w:rPr>
                    <w:szCs w:val="24"/>
                  </w:rPr>
                  <w:t>VIZITO NR. :</w:t>
                </w:r>
              </w:p>
            </w:tc>
            <w:tc>
              <w:tcPr>
                <w:tcW w:w="2994" w:type="dxa"/>
                <w:vMerge w:val="restart"/>
              </w:tcPr>
              <w:p>
                <w:pPr>
                  <w:rPr>
                    <w:szCs w:val="24"/>
                  </w:rPr>
                </w:pPr>
              </w:p>
            </w:tc>
          </w:tr>
          <w:tr>
            <w:tc>
              <w:tcPr>
                <w:tcW w:w="7950" w:type="dxa"/>
              </w:tcPr>
              <w:p>
                <w:pPr>
                  <w:rPr>
                    <w:szCs w:val="24"/>
                  </w:rPr>
                </w:pPr>
                <w:r>
                  <w:rPr>
                    <w:szCs w:val="24"/>
                  </w:rPr>
                  <w:t>ŠLS VARDAS PAVARDĖ:</w:t>
                </w:r>
              </w:p>
            </w:tc>
            <w:tc>
              <w:tcPr>
                <w:tcW w:w="2994" w:type="dxa"/>
                <w:vMerge/>
              </w:tcPr>
              <w:p>
                <w:pPr>
                  <w:rPr>
                    <w:szCs w:val="24"/>
                  </w:rPr>
                </w:pPr>
              </w:p>
            </w:tc>
          </w:tr>
          <w:tr>
            <w:tc>
              <w:tcPr>
                <w:tcW w:w="7950" w:type="dxa"/>
              </w:tcPr>
              <w:p>
                <w:pPr>
                  <w:rPr>
                    <w:szCs w:val="24"/>
                  </w:rPr>
                </w:pPr>
                <w:r>
                  <w:rPr>
                    <w:szCs w:val="24"/>
                  </w:rPr>
                  <w:t>PACIENTĖS VARDAS PAVARDĖ:</w:t>
                </w:r>
              </w:p>
            </w:tc>
            <w:tc>
              <w:tcPr>
                <w:tcW w:w="2994" w:type="dxa"/>
                <w:vMerge/>
              </w:tcPr>
              <w:p>
                <w:pPr>
                  <w:rPr>
                    <w:szCs w:val="24"/>
                  </w:rPr>
                </w:pPr>
              </w:p>
            </w:tc>
          </w:tr>
          <w:tr>
            <w:tc>
              <w:tcPr>
                <w:tcW w:w="10944" w:type="dxa"/>
                <w:gridSpan w:val="2"/>
              </w:tcPr>
              <w:p>
                <w:pPr>
                  <w:rPr>
                    <w:rFonts w:eastAsia="Calibri"/>
                    <w:szCs w:val="24"/>
                  </w:rPr>
                </w:pPr>
                <w:r>
                  <w:rPr>
                    <w:rFonts w:eastAsia="Calibri"/>
                    <w:szCs w:val="24"/>
                  </w:rPr>
                  <w:t xml:space="preserve">Ankstyvuoju laikotarpiu po gimdymo vyksta dideli fiziniai ir psichologiniai pokyčiai bei moters prisitaikymas, kūdikio tyrinėjimas, realus jo suvokimas, motinystės atsakomybė, reikalavimai sau pačiai, noras kuo greičiau išmokti, suprasti ir prižiūrėti kūdikį. Bloga psichologinė adaptacija gali turėti neigiamus padarinius ne tik  motinos sveikatai, jos santykiui su kūdikiu, bet ir aplinkiniais žmonėmis. Todėl yra svarbu kaip įmanoma anksčiau (pvz. net nėštumo metu) atpažinti emocinius sutrikimus ir suteikti reikiamą pagalbą moterims pogimdyminiu laikotarpiu.</w:t>
                </w:r>
              </w:p>
              <w:p>
                <w:pPr>
                  <w:rPr>
                    <w:rFonts w:eastAsia="Calibri"/>
                    <w:bCs/>
                    <w:szCs w:val="24"/>
                  </w:rPr>
                </w:pPr>
                <w:r>
                  <w:rPr>
                    <w:rFonts w:eastAsia="Calibri"/>
                    <w:bCs/>
                    <w:szCs w:val="24"/>
                  </w:rPr>
                  <w:t xml:space="preserve">Rizikos faktoriai: </w:t>
                </w:r>
              </w:p>
              <w:p>
                <w:pPr>
                  <w:tabs>
                    <w:tab w:val="left" w:pos="720"/>
                  </w:tabs>
                  <w:ind w:left="720" w:hanging="720"/>
                  <w:rPr>
                    <w:rFonts w:eastAsia="Calibri"/>
                    <w:szCs w:val="24"/>
                  </w:rPr>
                </w:pPr>
                <w:r>
                  <w:rPr>
                    <w:rFonts w:eastAsia="Calibri"/>
                    <w:szCs w:val="24"/>
                  </w:rPr>
                  <w:t>1.</w:t>
                  <w:tab/>
                  <w:t>Emocijų sutrikimai.</w:t>
                </w:r>
              </w:p>
              <w:p>
                <w:pPr>
                  <w:tabs>
                    <w:tab w:val="left" w:pos="720"/>
                  </w:tabs>
                  <w:ind w:left="720" w:hanging="720"/>
                  <w:rPr>
                    <w:rFonts w:eastAsia="Calibri"/>
                    <w:szCs w:val="24"/>
                  </w:rPr>
                </w:pPr>
                <w:r>
                  <w:rPr>
                    <w:rFonts w:eastAsia="Calibri"/>
                    <w:szCs w:val="24"/>
                  </w:rPr>
                  <w:t>2.</w:t>
                  <w:tab/>
                  <w:t>Elgesio sutrikimai.</w:t>
                </w:r>
              </w:p>
            </w:tc>
          </w:tr>
        </w:tbl>
        <w:p>
          <w:pPr>
            <w:spacing w:line="276" w:lineRule="auto"/>
            <w:rPr>
              <w:rFonts w:eastAsia="Calibri"/>
              <w:szCs w:val="24"/>
            </w:rPr>
          </w:pPr>
        </w:p>
        <w:p>
          <w:pPr>
            <w:rPr>
              <w:sz w:val="18"/>
              <w:szCs w:val="18"/>
            </w:rPr>
          </w:pP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10"/>
            <w:gridCol w:w="1134"/>
          </w:tblGrid>
          <w:tr>
            <w:trPr>
              <w:trHeight w:val="675"/>
            </w:trPr>
            <w:tc>
              <w:tcPr>
                <w:tcW w:w="10944" w:type="dxa"/>
                <w:gridSpan w:val="2"/>
                <w:shd w:val="clear" w:color="auto" w:fill="D9D9D9"/>
                <w:vAlign w:val="center"/>
              </w:tcPr>
              <w:p>
                <w:pPr>
                  <w:rPr>
                    <w:sz w:val="6"/>
                    <w:szCs w:val="6"/>
                  </w:rPr>
                </w:pPr>
              </w:p>
              <w:p>
                <w:pPr>
                  <w:widowControl w:val="0"/>
                  <w:overflowPunct w:val="0"/>
                  <w:spacing w:line="276" w:lineRule="auto"/>
                  <w:ind w:left="17"/>
                  <w:jc w:val="center"/>
                  <w:rPr>
                    <w:b/>
                    <w:caps/>
                    <w:szCs w:val="24"/>
                  </w:rPr>
                </w:pPr>
                <w:r>
                  <w:rPr>
                    <w:b/>
                    <w:caps/>
                    <w:szCs w:val="24"/>
                  </w:rPr>
                  <w:t>Edinburgo Pogimdyminės Depresijos Skalės (epds) KLAUSIMYNAS*</w:t>
                </w:r>
              </w:p>
            </w:tc>
          </w:tr>
          <w:tr>
            <w:trPr>
              <w:trHeight w:val="675"/>
            </w:trPr>
            <w:tc>
              <w:tcPr>
                <w:tcW w:w="9810" w:type="dxa"/>
                <w:shd w:val="clear" w:color="auto" w:fill="FFFFFF"/>
                <w:vAlign w:val="center"/>
              </w:tcPr>
              <w:p>
                <w:pPr>
                  <w:rPr>
                    <w:sz w:val="6"/>
                    <w:szCs w:val="6"/>
                  </w:rPr>
                </w:pPr>
              </w:p>
              <w:p>
                <w:pPr>
                  <w:widowControl w:val="0"/>
                  <w:overflowPunct w:val="0"/>
                  <w:spacing w:line="276" w:lineRule="auto"/>
                  <w:rPr>
                    <w:b/>
                    <w:caps/>
                    <w:color w:val="000000"/>
                    <w:sz w:val="22"/>
                    <w:szCs w:val="22"/>
                  </w:rPr>
                </w:pPr>
                <w:r>
                  <w:rPr>
                    <w:b/>
                    <w:caps/>
                    <w:color w:val="000000"/>
                    <w:sz w:val="22"/>
                    <w:szCs w:val="22"/>
                  </w:rPr>
                  <w:t xml:space="preserve">pRAŠOME PAŽYMĖTI TĄ ATSAKYMĄ, KURIS GERIAUSIAI APIBŪDINA TAI KAIP Jūs jautėtės </w:t>
                </w:r>
                <w:r>
                  <w:rPr>
                    <w:b/>
                    <w:caps/>
                    <w:color w:val="000000"/>
                    <w:sz w:val="22"/>
                    <w:szCs w:val="22"/>
                    <w:u w:val="single"/>
                  </w:rPr>
                  <w:t>pER PASTARĄJĄ SAVAITĘ</w:t>
                </w:r>
                <w:r>
                  <w:rPr>
                    <w:b/>
                    <w:caps/>
                    <w:color w:val="000000"/>
                    <w:sz w:val="22"/>
                    <w:szCs w:val="22"/>
                  </w:rPr>
                  <w:t>, ne tik šiandien</w:t>
                </w:r>
              </w:p>
            </w:tc>
            <w:tc>
              <w:tcPr>
                <w:tcW w:w="1134" w:type="dxa"/>
                <w:shd w:val="clear" w:color="auto" w:fill="FFFFFF"/>
                <w:vAlign w:val="center"/>
              </w:tcPr>
              <w:p>
                <w:pPr>
                  <w:rPr>
                    <w:sz w:val="6"/>
                    <w:szCs w:val="6"/>
                  </w:rPr>
                </w:pPr>
              </w:p>
              <w:p>
                <w:pPr>
                  <w:widowControl w:val="0"/>
                  <w:overflowPunct w:val="0"/>
                  <w:spacing w:line="276" w:lineRule="auto"/>
                  <w:ind w:left="17"/>
                  <w:jc w:val="center"/>
                  <w:rPr>
                    <w:b/>
                    <w:caps/>
                    <w:color w:val="000000"/>
                    <w:sz w:val="20"/>
                  </w:rPr>
                </w:pPr>
                <w:r>
                  <w:rPr>
                    <w:b/>
                    <w:caps/>
                    <w:color w:val="000000"/>
                    <w:sz w:val="20"/>
                  </w:rPr>
                  <w:t>bALAI:</w:t>
                </w:r>
              </w:p>
            </w:tc>
          </w:tr>
          <w:tr>
            <w:tc>
              <w:tcPr>
                <w:tcW w:w="10944" w:type="dxa"/>
                <w:gridSpan w:val="2"/>
              </w:tcPr>
              <w:tbl>
                <w:tblPr>
                  <w:tblW w:w="11191" w:type="dxa"/>
                  <w:tblBorders>
                    <w:top w:val="single" w:sz="6" w:space="0" w:color="auto"/>
                    <w:left w:val="single" w:sz="6" w:space="0" w:color="auto"/>
                    <w:bottom w:val="single" w:sz="6" w:space="0" w:color="auto"/>
                    <w:insideH w:val="single" w:sz="6" w:space="0" w:color="auto"/>
                  </w:tblBorders>
                  <w:tblLayout w:type="fixed"/>
                  <w:tblCellMar>
                    <w:left w:w="0" w:type="dxa"/>
                    <w:right w:w="85" w:type="dxa"/>
                  </w:tblCellMar>
                  <w:tblLook w:val="0000" w:firstRow="0" w:lastRow="0" w:firstColumn="0" w:lastColumn="0" w:noHBand="0" w:noVBand="0"/>
                </w:tblPr>
                <w:tblGrid>
                  <w:gridCol w:w="4387"/>
                  <w:gridCol w:w="5386"/>
                  <w:gridCol w:w="1418"/>
                </w:tblGrid>
                <w:tr>
                  <w:trPr>
                    <w:trHeight w:val="39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pacing w:val="1"/>
                          <w:sz w:val="22"/>
                          <w:szCs w:val="22"/>
                        </w:rPr>
                      </w:pPr>
                      <w:r>
                        <w:rPr>
                          <w:color w:val="000000"/>
                          <w:spacing w:val="1"/>
                          <w:sz w:val="22"/>
                          <w:szCs w:val="22"/>
                        </w:rPr>
                        <w:t>1.</w:t>
                        <w:tab/>
                      </w:r>
                      <w:r>
                        <w:rPr>
                          <w:color w:val="000000"/>
                          <w:sz w:val="22"/>
                          <w:szCs w:val="22"/>
                        </w:rPr>
                        <w:t>Aš galėjau juoktis ir pastebėti linksmąją gyvenimo pusę:</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kaip visada (0);</w:t>
                      </w:r>
                    </w:p>
                    <w:p>
                      <w:pPr>
                        <w:rPr>
                          <w:rFonts w:eastAsia="Calibri"/>
                          <w:color w:val="000000"/>
                          <w:sz w:val="22"/>
                          <w:szCs w:val="22"/>
                        </w:rPr>
                      </w:pPr>
                      <w:r>
                        <w:rPr>
                          <w:rFonts w:eastAsia="Calibri"/>
                          <w:color w:val="000000"/>
                          <w:spacing w:val="-1"/>
                          <w:w w:val="95"/>
                          <w:sz w:val="22"/>
                          <w:szCs w:val="22"/>
                        </w:rPr>
                        <w:t>□ N</w:t>
                      </w:r>
                      <w:r>
                        <w:rPr>
                          <w:rFonts w:eastAsia="Calibri"/>
                          <w:color w:val="000000"/>
                          <w:sz w:val="22"/>
                          <w:szCs w:val="22"/>
                        </w:rPr>
                        <w:t>ebe taip dažnai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Tikrai nebe taip dažnai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Visiškai ne (3).</w:t>
                      </w:r>
                    </w:p>
                    <w:p>
                      <w:pPr>
                        <w:rPr>
                          <w:rFonts w:eastAsia="Calibri"/>
                          <w:color w:val="000000"/>
                          <w:spacing w:val="1"/>
                          <w:sz w:val="12"/>
                          <w:szCs w:val="12"/>
                        </w:rPr>
                      </w:pPr>
                    </w:p>
                  </w:tc>
                  <w:tc>
                    <w:tcPr>
                      <w:tcW w:w="1418" w:type="dxa"/>
                      <w:tcBorders>
                        <w:left w:val="single" w:sz="6" w:space="0" w:color="000000"/>
                        <w:right w:val="single" w:sz="4" w:space="0" w:color="auto"/>
                      </w:tcBorders>
                    </w:tcPr>
                    <w:p>
                      <w:pPr>
                        <w:tabs>
                          <w:tab w:val="left" w:pos="993"/>
                        </w:tabs>
                        <w:rPr>
                          <w:rFonts w:eastAsia="Calibri"/>
                          <w:color w:val="000000"/>
                          <w:spacing w:val="-1"/>
                          <w:w w:val="95"/>
                          <w:sz w:val="22"/>
                          <w:szCs w:val="22"/>
                        </w:rPr>
                      </w:pPr>
                    </w:p>
                  </w:tc>
                </w:tr>
                <w:tr>
                  <w:trPr>
                    <w:trHeight w:val="39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pacing w:val="1"/>
                          <w:sz w:val="22"/>
                          <w:szCs w:val="22"/>
                        </w:rPr>
                      </w:pPr>
                      <w:r>
                        <w:rPr>
                          <w:color w:val="000000"/>
                          <w:spacing w:val="1"/>
                          <w:sz w:val="22"/>
                          <w:szCs w:val="22"/>
                        </w:rPr>
                        <w:t>2.</w:t>
                        <w:tab/>
                      </w:r>
                      <w:r>
                        <w:rPr>
                          <w:color w:val="000000"/>
                          <w:sz w:val="22"/>
                          <w:szCs w:val="22"/>
                        </w:rPr>
                        <w:t>Su malonumu žiūrėjau į gyvenimą:</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kaip visada (0);</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Nebe taip dažnai kaip visada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Tikrai nebe taip kaip anksčiau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Beveik niekada (3).</w:t>
                      </w:r>
                    </w:p>
                    <w:p>
                      <w:pPr>
                        <w:rPr>
                          <w:rFonts w:eastAsia="Calibri"/>
                          <w:color w:val="000000"/>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34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pacing w:val="1"/>
                          <w:sz w:val="22"/>
                          <w:szCs w:val="22"/>
                        </w:rPr>
                      </w:pPr>
                      <w:r>
                        <w:rPr>
                          <w:color w:val="000000"/>
                          <w:spacing w:val="1"/>
                          <w:sz w:val="22"/>
                          <w:szCs w:val="22"/>
                        </w:rPr>
                        <w:t>3.</w:t>
                        <w:tab/>
                      </w:r>
                      <w:r>
                        <w:rPr>
                          <w:color w:val="000000"/>
                          <w:sz w:val="22"/>
                          <w:szCs w:val="22"/>
                        </w:rPr>
                        <w:t>Aš be reikalo kaltinau save dėl nesėkmių:</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beveik visą laiką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kartais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Nelabai dažnai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niekada (0).</w:t>
                      </w:r>
                    </w:p>
                    <w:p>
                      <w:pPr>
                        <w:rPr>
                          <w:rFonts w:eastAsia="Calibri"/>
                          <w:color w:val="000000"/>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pacing w:val="1"/>
                          <w:sz w:val="22"/>
                          <w:szCs w:val="22"/>
                        </w:rPr>
                      </w:pPr>
                      <w:r>
                        <w:rPr>
                          <w:color w:val="000000"/>
                          <w:spacing w:val="1"/>
                          <w:sz w:val="22"/>
                          <w:szCs w:val="22"/>
                        </w:rPr>
                        <w:t>4.</w:t>
                        <w:tab/>
                      </w:r>
                      <w:r>
                        <w:rPr>
                          <w:color w:val="000000"/>
                          <w:sz w:val="22"/>
                          <w:szCs w:val="22"/>
                        </w:rPr>
                        <w:t>Aš be priežasties jaučiausi susirūpinus ar jaudinausi:</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niekada (0);</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Beveik niekada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kartais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labai dažnai (3).</w:t>
                      </w:r>
                    </w:p>
                    <w:p>
                      <w:pPr>
                        <w:rPr>
                          <w:rFonts w:ascii="Calibri" w:eastAsia="Calibri" w:hAnsi="Calibri"/>
                          <w:color w:val="000000"/>
                          <w:spacing w:val="1"/>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5.</w:t>
                        <w:tab/>
                        <w:t>Aš be priežasties baiminausi ar panikavau:</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gana dažnai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kartais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nedažnai (1);</w:t>
                      </w:r>
                    </w:p>
                    <w:p>
                      <w:pPr>
                        <w:rPr>
                          <w:rFonts w:eastAsia="Calibri"/>
                          <w:color w:val="000000"/>
                          <w:sz w:val="22"/>
                          <w:szCs w:val="22"/>
                        </w:rPr>
                      </w:pPr>
                      <w:r>
                        <w:rPr>
                          <w:rFonts w:ascii="Calibri" w:eastAsia="Calibri" w:hAnsi="Calibri"/>
                          <w:color w:val="000000"/>
                          <w:spacing w:val="-1"/>
                          <w:w w:val="95"/>
                          <w:sz w:val="22"/>
                          <w:szCs w:val="22"/>
                        </w:rPr>
                        <w:t xml:space="preserve">□ </w:t>
                      </w:r>
                      <w:r>
                        <w:rPr>
                          <w:rFonts w:eastAsia="Calibri"/>
                          <w:color w:val="000000"/>
                          <w:sz w:val="22"/>
                          <w:szCs w:val="22"/>
                        </w:rPr>
                        <w:t>Ne, niekada (0).</w:t>
                      </w: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6.</w:t>
                        <w:tab/>
                        <w:t>Aš nebesusitvarkiau su mane užgriuvusiais rūpesčiais:</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dažniausiai aš visai nebepajėgiau susitvarkyti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kartais aš nebepajėgiau susitvarkyti kaip paprastai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dažniausiai aš susitvarkiau visai neblogai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aš susitvarkiau kaip visada (0).</w:t>
                      </w:r>
                    </w:p>
                    <w:p>
                      <w:pPr>
                        <w:rPr>
                          <w:rFonts w:ascii="Calibri" w:eastAsia="Calibri" w:hAnsi="Calibri"/>
                          <w:color w:val="000000"/>
                          <w:spacing w:val="-1"/>
                          <w:w w:val="95"/>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7.</w:t>
                        <w:tab/>
                        <w:t>Aš jaučiausi tokia nelaiminga, kad nebegalėjau miegoti:</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beveik nuolat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kartais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Nelabai dažnai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niekada (0).</w:t>
                      </w:r>
                    </w:p>
                    <w:p>
                      <w:pPr>
                        <w:rPr>
                          <w:rFonts w:ascii="Calibri" w:eastAsia="Calibri" w:hAnsi="Calibri"/>
                          <w:color w:val="000000"/>
                          <w:spacing w:val="-1"/>
                          <w:w w:val="95"/>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8.</w:t>
                        <w:tab/>
                        <w:t>Aš jaučiausi liūdna ar prislėgta:</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beveik visą laiką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gana dažnai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Nelabai dažnai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niekada (0).</w:t>
                      </w:r>
                    </w:p>
                    <w:p>
                      <w:pPr>
                        <w:rPr>
                          <w:rFonts w:ascii="Calibri" w:eastAsia="Calibri" w:hAnsi="Calibri"/>
                          <w:color w:val="000000"/>
                          <w:spacing w:val="-1"/>
                          <w:w w:val="95"/>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9.</w:t>
                        <w:tab/>
                        <w:t>Jaučiausi tokia nelaiminga, kad apsiverkiau:</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dažniausiai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gana dažnai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Tik retkarčiais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Ne, niekada (0).</w:t>
                      </w:r>
                    </w:p>
                    <w:p>
                      <w:pPr>
                        <w:rPr>
                          <w:rFonts w:ascii="Calibri" w:eastAsia="Calibri" w:hAnsi="Calibri"/>
                          <w:color w:val="000000"/>
                          <w:spacing w:val="-1"/>
                          <w:w w:val="95"/>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478"/>
                  </w:trPr>
                  <w:tc>
                    <w:tcPr>
                      <w:tcW w:w="4387" w:type="dxa"/>
                      <w:tcBorders>
                        <w:left w:val="single" w:sz="6" w:space="0" w:color="000000"/>
                        <w:right w:val="single" w:sz="4" w:space="0" w:color="auto"/>
                      </w:tcBorders>
                    </w:tcPr>
                    <w:p>
                      <w:pPr>
                        <w:widowControl w:val="0"/>
                        <w:tabs>
                          <w:tab w:val="left" w:pos="720"/>
                          <w:tab w:val="left" w:pos="3337"/>
                          <w:tab w:val="left" w:pos="5015"/>
                        </w:tabs>
                        <w:overflowPunct w:val="0"/>
                        <w:spacing w:line="276" w:lineRule="auto"/>
                        <w:ind w:left="720" w:hanging="720"/>
                        <w:rPr>
                          <w:color w:val="000000"/>
                          <w:sz w:val="22"/>
                          <w:szCs w:val="22"/>
                        </w:rPr>
                      </w:pPr>
                      <w:r>
                        <w:rPr>
                          <w:color w:val="000000"/>
                          <w:sz w:val="22"/>
                          <w:szCs w:val="22"/>
                        </w:rPr>
                        <w:t>10.</w:t>
                        <w:tab/>
                        <w:t>Man kilo minčių apie savęs žalojimąsi:</w:t>
                      </w:r>
                    </w:p>
                  </w:tc>
                  <w:tc>
                    <w:tcPr>
                      <w:tcW w:w="5386" w:type="dxa"/>
                      <w:tcBorders>
                        <w:left w:val="single" w:sz="6" w:space="0" w:color="000000"/>
                        <w:right w:val="single" w:sz="4" w:space="0" w:color="auto"/>
                      </w:tcBorders>
                    </w:tcPr>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Taip, gana dažnai (3);</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Kartais (2);</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Beveik niekada (1);</w:t>
                      </w:r>
                    </w:p>
                    <w:p>
                      <w:pPr>
                        <w:rPr>
                          <w:rFonts w:eastAsia="Calibri"/>
                          <w:color w:val="000000"/>
                          <w:sz w:val="22"/>
                          <w:szCs w:val="22"/>
                        </w:rPr>
                      </w:pPr>
                      <w:r>
                        <w:rPr>
                          <w:rFonts w:eastAsia="Calibri"/>
                          <w:color w:val="000000"/>
                          <w:spacing w:val="-1"/>
                          <w:w w:val="95"/>
                          <w:sz w:val="22"/>
                          <w:szCs w:val="22"/>
                        </w:rPr>
                        <w:t xml:space="preserve">□ </w:t>
                      </w:r>
                      <w:r>
                        <w:rPr>
                          <w:rFonts w:eastAsia="Calibri"/>
                          <w:color w:val="000000"/>
                          <w:sz w:val="22"/>
                          <w:szCs w:val="22"/>
                        </w:rPr>
                        <w:t>Niekada (0).</w:t>
                      </w:r>
                    </w:p>
                    <w:p>
                      <w:pPr>
                        <w:rPr>
                          <w:rFonts w:ascii="Calibri" w:eastAsia="Calibri" w:hAnsi="Calibri"/>
                          <w:color w:val="000000"/>
                          <w:spacing w:val="-1"/>
                          <w:w w:val="95"/>
                          <w:sz w:val="12"/>
                          <w:szCs w:val="12"/>
                        </w:rPr>
                      </w:pPr>
                    </w:p>
                  </w:tc>
                  <w:tc>
                    <w:tcPr>
                      <w:tcW w:w="1418" w:type="dxa"/>
                      <w:tcBorders>
                        <w:left w:val="single" w:sz="6" w:space="0" w:color="000000"/>
                        <w:right w:val="single" w:sz="4" w:space="0" w:color="auto"/>
                      </w:tcBorders>
                    </w:tcPr>
                    <w:p>
                      <w:pPr>
                        <w:rPr>
                          <w:rFonts w:eastAsia="Calibri"/>
                          <w:color w:val="000000"/>
                          <w:spacing w:val="-1"/>
                          <w:w w:val="95"/>
                          <w:sz w:val="22"/>
                          <w:szCs w:val="22"/>
                        </w:rPr>
                      </w:pPr>
                    </w:p>
                  </w:tc>
                </w:tr>
                <w:tr>
                  <w:trPr>
                    <w:trHeight w:val="550"/>
                  </w:trPr>
                  <w:tc>
                    <w:tcPr>
                      <w:tcW w:w="9773" w:type="dxa"/>
                      <w:gridSpan w:val="2"/>
                      <w:tcBorders>
                        <w:left w:val="single" w:sz="6" w:space="0" w:color="000000"/>
                        <w:right w:val="single" w:sz="4" w:space="0" w:color="auto"/>
                      </w:tcBorders>
                    </w:tcPr>
                    <w:p>
                      <w:pPr>
                        <w:spacing w:line="276" w:lineRule="auto"/>
                        <w:rPr>
                          <w:b/>
                          <w:color w:val="000000"/>
                          <w:szCs w:val="24"/>
                        </w:rPr>
                      </w:pPr>
                      <w:r>
                        <w:rPr>
                          <w:b/>
                          <w:color w:val="000000"/>
                          <w:szCs w:val="24"/>
                        </w:rPr>
                        <w:t>BALŲ SUMA</w:t>
                      </w:r>
                    </w:p>
                  </w:tc>
                  <w:tc>
                    <w:tcPr>
                      <w:tcW w:w="1418" w:type="dxa"/>
                      <w:tcBorders>
                        <w:left w:val="single" w:sz="6" w:space="0" w:color="000000"/>
                        <w:right w:val="single" w:sz="4" w:space="0" w:color="auto"/>
                      </w:tcBorders>
                    </w:tcPr>
                    <w:p>
                      <w:pPr>
                        <w:rPr>
                          <w:rFonts w:eastAsia="Calibri"/>
                          <w:b/>
                          <w:color w:val="000000"/>
                          <w:sz w:val="22"/>
                          <w:szCs w:val="22"/>
                        </w:rPr>
                      </w:pPr>
                      <w:r>
                        <w:rPr>
                          <w:rFonts w:eastAsia="Calibri"/>
                          <w:b/>
                          <w:color w:val="000000"/>
                          <w:sz w:val="22"/>
                          <w:szCs w:val="22"/>
                        </w:rPr>
                        <w:t>VISO:</w:t>
                      </w:r>
                    </w:p>
                  </w:tc>
                </w:tr>
              </w:tbl>
              <w:p>
                <w:pPr>
                  <w:rPr>
                    <w:sz w:val="6"/>
                    <w:szCs w:val="6"/>
                  </w:rPr>
                </w:pPr>
              </w:p>
              <w:p>
                <w:pPr>
                  <w:widowControl w:val="0"/>
                  <w:overflowPunct w:val="0"/>
                  <w:spacing w:line="276" w:lineRule="auto"/>
                  <w:jc w:val="center"/>
                  <w:rPr>
                    <w:b/>
                    <w:i/>
                    <w:caps/>
                    <w:color w:val="000000"/>
                    <w:sz w:val="4"/>
                    <w:szCs w:val="4"/>
                  </w:rPr>
                </w:pPr>
              </w:p>
            </w:tc>
          </w:tr>
        </w:tbl>
        <w:p>
          <w:pPr>
            <w:spacing w:line="276" w:lineRule="auto"/>
            <w:rPr>
              <w:rFonts w:ascii="Calibri" w:eastAsia="Calibri" w:hAnsi="Calibri"/>
              <w:sz w:val="22"/>
              <w:szCs w:val="22"/>
            </w:rPr>
          </w:pPr>
        </w:p>
        <w:p>
          <w:pPr>
            <w:spacing w:line="276" w:lineRule="auto"/>
            <w:rPr>
              <w:rFonts w:ascii="Calibri" w:eastAsia="Calibri" w:hAnsi="Calibri"/>
              <w:sz w:val="22"/>
              <w:szCs w:val="22"/>
            </w:rPr>
          </w:pPr>
        </w:p>
        <w:p>
          <w:pPr>
            <w:spacing w:line="276" w:lineRule="auto"/>
            <w:ind w:left="-993"/>
            <w:rPr>
              <w:rFonts w:eastAsia="Calibri"/>
              <w:szCs w:val="24"/>
            </w:rPr>
          </w:pPr>
          <w:r>
            <w:rPr>
              <w:rFonts w:eastAsia="Calibri"/>
              <w:szCs w:val="24"/>
            </w:rPr>
            <w:t>RIZIKOS LYGIAI:</w:t>
          </w:r>
        </w:p>
        <w:tbl>
          <w:tblPr>
            <w:tblW w:w="10944"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85"/>
            <w:gridCol w:w="9459"/>
          </w:tblGrid>
          <w:tr>
            <w:tc>
              <w:tcPr>
                <w:tcW w:w="1485" w:type="dxa"/>
                <w:vAlign w:val="center"/>
              </w:tcPr>
              <w:p>
                <w:pPr>
                  <w:jc w:val="center"/>
                  <w:rPr>
                    <w:rFonts w:eastAsia="Calibri"/>
                    <w:color w:val="000000"/>
                    <w:sz w:val="28"/>
                    <w:szCs w:val="28"/>
                  </w:rPr>
                </w:pPr>
                <w:r>
                  <w:rPr>
                    <w:rFonts w:eastAsia="Calibri"/>
                    <w:color w:val="000000"/>
                    <w:sz w:val="28"/>
                    <w:szCs w:val="28"/>
                  </w:rPr>
                  <w:t>0</w:t>
                </w:r>
              </w:p>
            </w:tc>
            <w:tc>
              <w:tcPr>
                <w:tcW w:w="9459" w:type="dxa"/>
              </w:tcPr>
              <w:p>
                <w:pPr>
                  <w:tabs>
                    <w:tab w:val="left" w:pos="720"/>
                  </w:tabs>
                  <w:ind w:left="720" w:hanging="720"/>
                  <w:rPr>
                    <w:rFonts w:eastAsia="CIDFont+F3"/>
                    <w:color w:val="000000"/>
                    <w:sz w:val="22"/>
                    <w:szCs w:val="22"/>
                  </w:rPr>
                </w:pPr>
                <w:r>
                  <w:rPr>
                    <w:rFonts w:eastAsia="CIDFont+F3"/>
                    <w:color w:val="000000"/>
                    <w:sz w:val="22"/>
                    <w:szCs w:val="22"/>
                  </w:rPr>
                  <w:t>1.</w:t>
                  <w:tab/>
                  <w:t xml:space="preserve">Nėščioji (gimdyvė) kaip visada </w:t>
                </w:r>
                <w:r>
                  <w:rPr>
                    <w:rFonts w:eastAsia="Calibri"/>
                    <w:color w:val="000000"/>
                    <w:sz w:val="22"/>
                    <w:szCs w:val="22"/>
                  </w:rPr>
                  <w:t xml:space="preserve">gali juoktis, su malonumu žiūrėti į gyvenimą, </w:t>
                </w:r>
                <w:r>
                  <w:rPr>
                    <w:rFonts w:eastAsia="CIDFont+F3"/>
                    <w:color w:val="000000"/>
                    <w:sz w:val="22"/>
                    <w:szCs w:val="22"/>
                  </w:rPr>
                  <w:t xml:space="preserve">be reikalo nekaltina savęs dėl nesėkmių, be priežasties niekada nesijaudina, nesibaimina, nepanikuoja, susitvarko su užgriuvusiais rūpesčiais ir gerai miega. Ji nesijaučia liūdna, prislėgta, nelaiminga ar verksminga ir niekada negalvojo apie savęs žalojimą. </w:t>
                </w:r>
              </w:p>
              <w:p>
                <w:pPr>
                  <w:tabs>
                    <w:tab w:val="left" w:pos="720"/>
                  </w:tabs>
                  <w:ind w:left="720" w:hanging="720"/>
                  <w:rPr>
                    <w:rFonts w:eastAsia="CIDFont+F3"/>
                    <w:color w:val="000000"/>
                    <w:sz w:val="22"/>
                    <w:szCs w:val="22"/>
                  </w:rPr>
                </w:pPr>
                <w:r>
                  <w:rPr>
                    <w:rFonts w:eastAsia="CIDFont+F3"/>
                    <w:color w:val="000000"/>
                    <w:sz w:val="22"/>
                    <w:szCs w:val="22"/>
                  </w:rPr>
                  <w:t>2.</w:t>
                  <w:tab/>
                  <w:t>Balų suma mažesnė nei 9 balai</w:t>
                </w:r>
              </w:p>
            </w:tc>
          </w:tr>
          <w:tr>
            <w:tc>
              <w:tcPr>
                <w:tcW w:w="1485" w:type="dxa"/>
                <w:vAlign w:val="center"/>
              </w:tcPr>
              <w:p>
                <w:pPr>
                  <w:jc w:val="center"/>
                  <w:rPr>
                    <w:rFonts w:eastAsia="Calibri"/>
                    <w:color w:val="000000"/>
                    <w:sz w:val="28"/>
                    <w:szCs w:val="28"/>
                  </w:rPr>
                </w:pPr>
                <w:r>
                  <w:rPr>
                    <w:rFonts w:eastAsia="Calibri"/>
                    <w:color w:val="000000"/>
                    <w:sz w:val="28"/>
                    <w:szCs w:val="28"/>
                  </w:rPr>
                  <w:t>1</w:t>
                </w:r>
              </w:p>
            </w:tc>
            <w:tc>
              <w:tcPr>
                <w:tcW w:w="9459" w:type="dxa"/>
              </w:tcPr>
              <w:p>
                <w:pPr>
                  <w:tabs>
                    <w:tab w:val="left" w:pos="720"/>
                  </w:tabs>
                  <w:ind w:left="720" w:hanging="720"/>
                  <w:jc w:val="both"/>
                  <w:rPr>
                    <w:rFonts w:eastAsia="Calibri"/>
                    <w:color w:val="000000"/>
                    <w:sz w:val="22"/>
                    <w:szCs w:val="22"/>
                  </w:rPr>
                </w:pPr>
                <w:r>
                  <w:rPr>
                    <w:rFonts w:eastAsia="Calibri"/>
                    <w:color w:val="000000"/>
                    <w:sz w:val="22"/>
                    <w:szCs w:val="22"/>
                  </w:rPr>
                  <w:t>1.</w:t>
                  <w:tab/>
                </w:r>
                <w:r>
                  <w:rPr>
                    <w:rFonts w:eastAsia="CIDFont+F3"/>
                    <w:color w:val="000000"/>
                    <w:sz w:val="22"/>
                    <w:szCs w:val="22"/>
                  </w:rPr>
                  <w:t xml:space="preserve">Nėščioji (gimdyvė) nebe taip dažnai kaip visada </w:t>
                </w:r>
                <w:r>
                  <w:rPr>
                    <w:rFonts w:eastAsia="Calibri"/>
                    <w:color w:val="000000"/>
                    <w:sz w:val="22"/>
                    <w:szCs w:val="22"/>
                  </w:rPr>
                  <w:t xml:space="preserve">gali juoktis, su malonumu žiūrėti į gyvenimą ir pastebėti jo linksmąją pusę. Buvo pavienių atvejų kai ji </w:t>
                </w:r>
                <w:r>
                  <w:rPr>
                    <w:rFonts w:eastAsia="CIDFont+F3"/>
                    <w:color w:val="000000"/>
                    <w:sz w:val="22"/>
                    <w:szCs w:val="22"/>
                  </w:rPr>
                  <w:t>be reikalo kaltino save dėl nesėkmių, be priežasties jautėsi susirūpinusi ir jaudinosi, baiminosi ir panikavo, jautėsi nelaiminga, liūdna, prislėgta, verksminga.</w:t>
                </w:r>
                <w:r>
                  <w:rPr>
                    <w:rFonts w:eastAsia="Calibri"/>
                    <w:color w:val="000000"/>
                    <w:sz w:val="22"/>
                    <w:szCs w:val="22"/>
                  </w:rPr>
                  <w:t xml:space="preserve"> Vis dėlto, su užgriuvusiais rūpesčiais moteris dažniausiai susitvarko visai neblogai. </w:t>
                </w:r>
              </w:p>
              <w:p>
                <w:pPr>
                  <w:tabs>
                    <w:tab w:val="left" w:pos="720"/>
                  </w:tabs>
                  <w:ind w:left="720" w:hanging="720"/>
                  <w:jc w:val="both"/>
                  <w:rPr>
                    <w:rFonts w:eastAsia="Calibri"/>
                    <w:color w:val="000000"/>
                    <w:sz w:val="22"/>
                    <w:szCs w:val="22"/>
                  </w:rPr>
                </w:pPr>
                <w:r>
                  <w:rPr>
                    <w:rFonts w:eastAsia="Calibri"/>
                    <w:color w:val="000000"/>
                    <w:sz w:val="22"/>
                    <w:szCs w:val="22"/>
                  </w:rPr>
                  <w:t>2.</w:t>
                  <w:tab/>
                  <w:t xml:space="preserve">Balų suma 9 ir daugiau arba yra </w:t>
                </w:r>
                <w:r>
                  <w:rPr>
                    <w:color w:val="000000"/>
                    <w:sz w:val="22"/>
                    <w:szCs w:val="22"/>
                  </w:rPr>
                  <w:t>bet kokia savęs žalojimo mintis (t.y. 1 ar daugiau balų atsakant į #10 klausimą)</w:t>
                </w:r>
              </w:p>
            </w:tc>
          </w:tr>
          <w:tr>
            <w:tc>
              <w:tcPr>
                <w:tcW w:w="1485" w:type="dxa"/>
                <w:vAlign w:val="center"/>
              </w:tcPr>
              <w:p>
                <w:pPr>
                  <w:jc w:val="center"/>
                  <w:rPr>
                    <w:rFonts w:eastAsia="Calibri"/>
                    <w:color w:val="000000"/>
                    <w:sz w:val="28"/>
                    <w:szCs w:val="28"/>
                  </w:rPr>
                </w:pPr>
                <w:r>
                  <w:rPr>
                    <w:rFonts w:eastAsia="Calibri"/>
                    <w:color w:val="000000"/>
                    <w:sz w:val="28"/>
                    <w:szCs w:val="28"/>
                  </w:rPr>
                  <w:t>2</w:t>
                </w:r>
              </w:p>
            </w:tc>
            <w:tc>
              <w:tcPr>
                <w:tcW w:w="9459" w:type="dxa"/>
              </w:tcPr>
              <w:p>
                <w:pPr>
                  <w:tabs>
                    <w:tab w:val="left" w:pos="720"/>
                  </w:tabs>
                  <w:ind w:left="720" w:hanging="720"/>
                  <w:jc w:val="both"/>
                  <w:rPr>
                    <w:rFonts w:eastAsia="Calibri"/>
                    <w:color w:val="000000"/>
                    <w:sz w:val="22"/>
                    <w:szCs w:val="22"/>
                  </w:rPr>
                </w:pPr>
                <w:r>
                  <w:rPr>
                    <w:rFonts w:eastAsia="Calibri"/>
                    <w:color w:val="000000"/>
                    <w:sz w:val="22"/>
                    <w:szCs w:val="22"/>
                  </w:rPr>
                  <w:t>3.</w:t>
                  <w:tab/>
                </w:r>
                <w:r>
                  <w:rPr>
                    <w:rFonts w:eastAsia="CIDFont+F3"/>
                    <w:color w:val="000000"/>
                    <w:sz w:val="22"/>
                    <w:szCs w:val="22"/>
                  </w:rPr>
                  <w:t xml:space="preserve">Nėščioji (gimdyvė) tikrai nebe taip dažnai kaip visada </w:t>
                </w:r>
                <w:r>
                  <w:rPr>
                    <w:rFonts w:eastAsia="Calibri"/>
                    <w:color w:val="000000"/>
                    <w:sz w:val="22"/>
                    <w:szCs w:val="22"/>
                  </w:rPr>
                  <w:t xml:space="preserve">gali juoktis, su malonumu žiūrėti į gyvenimą ir pastebėti jo linksmąją pusę. Kartais ji </w:t>
                </w:r>
                <w:r>
                  <w:rPr>
                    <w:rFonts w:eastAsia="CIDFont+F3"/>
                    <w:color w:val="000000"/>
                    <w:sz w:val="22"/>
                    <w:szCs w:val="22"/>
                  </w:rPr>
                  <w:t xml:space="preserve">be reikalo kaltino save dėl nesėkmių, kartais be priežasties jautėsi susirūpinusi ir jaudinosi, baiminosi ir panikavo. </w:t>
                </w:r>
                <w:r>
                  <w:rPr>
                    <w:rFonts w:eastAsia="Calibri"/>
                    <w:color w:val="000000"/>
                    <w:sz w:val="22"/>
                    <w:szCs w:val="22"/>
                  </w:rPr>
                  <w:t xml:space="preserve">Kartais ji nebepajėgė susitvarkyti su užgriuvusiais rūpesčiais kaip paprastai, </w:t>
                </w:r>
                <w:r>
                  <w:rPr>
                    <w:rFonts w:eastAsia="CIDFont+F3"/>
                    <w:color w:val="000000"/>
                    <w:sz w:val="22"/>
                    <w:szCs w:val="22"/>
                  </w:rPr>
                  <w:t>jautėsi nelaiminga, liūdna, prislėgta, verksminga, nebegalėjo miegoti.</w:t>
                </w:r>
                <w:r>
                  <w:rPr>
                    <w:rFonts w:eastAsia="Calibri"/>
                    <w:color w:val="000000"/>
                    <w:sz w:val="22"/>
                    <w:szCs w:val="22"/>
                  </w:rPr>
                  <w:t xml:space="preserve"> Moteris nurodo, jog kartais netgi kilo minčių apie savęs žalojimą.</w:t>
                </w:r>
              </w:p>
              <w:p>
                <w:pPr>
                  <w:tabs>
                    <w:tab w:val="left" w:pos="720"/>
                  </w:tabs>
                  <w:ind w:left="720" w:hanging="720"/>
                  <w:jc w:val="both"/>
                  <w:rPr>
                    <w:rFonts w:eastAsia="Calibri"/>
                    <w:color w:val="000000"/>
                    <w:sz w:val="22"/>
                    <w:szCs w:val="22"/>
                  </w:rPr>
                </w:pPr>
                <w:r>
                  <w:rPr>
                    <w:rFonts w:eastAsia="Calibri"/>
                    <w:color w:val="000000"/>
                    <w:sz w:val="22"/>
                    <w:szCs w:val="22"/>
                  </w:rPr>
                  <w:t>4.</w:t>
                  <w:tab/>
                  <w:t xml:space="preserve">Balų suma 9 ir daugiau arba yra </w:t>
                </w:r>
                <w:r>
                  <w:rPr>
                    <w:color w:val="000000"/>
                    <w:sz w:val="22"/>
                    <w:szCs w:val="22"/>
                  </w:rPr>
                  <w:t>bet kokia savęs žalojimo mintis (t.y. 1 ar daugiau balų atsakant į #10 klausimą)</w:t>
                </w:r>
              </w:p>
            </w:tc>
          </w:tr>
          <w:tr>
            <w:trPr>
              <w:trHeight w:val="1748"/>
            </w:trPr>
            <w:tc>
              <w:tcPr>
                <w:tcW w:w="1485" w:type="dxa"/>
                <w:vAlign w:val="center"/>
              </w:tcPr>
              <w:p>
                <w:pPr>
                  <w:jc w:val="center"/>
                  <w:rPr>
                    <w:rFonts w:eastAsia="Calibri"/>
                    <w:color w:val="000000"/>
                    <w:sz w:val="28"/>
                    <w:szCs w:val="28"/>
                  </w:rPr>
                </w:pPr>
                <w:r>
                  <w:rPr>
                    <w:rFonts w:eastAsia="Calibri"/>
                    <w:color w:val="000000"/>
                    <w:sz w:val="28"/>
                    <w:szCs w:val="28"/>
                  </w:rPr>
                  <w:t>3</w:t>
                </w:r>
              </w:p>
            </w:tc>
            <w:tc>
              <w:tcPr>
                <w:tcW w:w="9459" w:type="dxa"/>
              </w:tcPr>
              <w:p>
                <w:pPr>
                  <w:tabs>
                    <w:tab w:val="left" w:pos="720"/>
                  </w:tabs>
                  <w:ind w:left="720" w:hanging="720"/>
                  <w:jc w:val="both"/>
                  <w:rPr>
                    <w:rFonts w:eastAsia="Calibri"/>
                    <w:color w:val="000000"/>
                    <w:sz w:val="22"/>
                    <w:szCs w:val="22"/>
                  </w:rPr>
                </w:pPr>
                <w:r>
                  <w:rPr>
                    <w:rFonts w:eastAsia="Calibri"/>
                    <w:color w:val="000000"/>
                    <w:sz w:val="22"/>
                    <w:szCs w:val="22"/>
                  </w:rPr>
                  <w:t>5.</w:t>
                  <w:tab/>
                </w:r>
                <w:r>
                  <w:rPr>
                    <w:rFonts w:eastAsia="CIDFont+F3"/>
                    <w:color w:val="000000"/>
                    <w:sz w:val="22"/>
                    <w:szCs w:val="22"/>
                  </w:rPr>
                  <w:t>Nėščioji (gimdyvė) visiškai nebegali</w:t>
                </w:r>
                <w:r>
                  <w:rPr>
                    <w:rFonts w:eastAsia="Calibri"/>
                    <w:color w:val="000000"/>
                    <w:sz w:val="22"/>
                    <w:szCs w:val="22"/>
                  </w:rPr>
                  <w:t xml:space="preserve"> juoktis, su malonumu žiūrėti į gyvenimą ir pastebėti jo linksmąją pusę. Ji labai dažnai </w:t>
                </w:r>
                <w:r>
                  <w:rPr>
                    <w:rFonts w:eastAsia="CIDFont+F3"/>
                    <w:color w:val="000000"/>
                    <w:sz w:val="22"/>
                    <w:szCs w:val="22"/>
                  </w:rPr>
                  <w:t xml:space="preserve">be reikalo kaltino save dėl nesėkmių, labai dažnai be priežasties jautėsi susirūpinusi ir jaudinosi, baiminosi ir panikavo. </w:t>
                </w:r>
                <w:r>
                  <w:rPr>
                    <w:rFonts w:eastAsia="Calibri"/>
                    <w:color w:val="000000"/>
                    <w:sz w:val="22"/>
                    <w:szCs w:val="22"/>
                  </w:rPr>
                  <w:t xml:space="preserve">Ji dažniausiai visai nebepajėgė susitvarkyti su užgriuvusiais rūpesčiais, beveik nuolat </w:t>
                </w:r>
                <w:r>
                  <w:rPr>
                    <w:rFonts w:eastAsia="CIDFont+F3"/>
                    <w:color w:val="000000"/>
                    <w:sz w:val="22"/>
                    <w:szCs w:val="22"/>
                  </w:rPr>
                  <w:t>jautėsi nelaiminga, liūdna, prislėgta, dažnai verkė, nebegali miegoti.</w:t>
                </w:r>
                <w:r>
                  <w:rPr>
                    <w:rFonts w:eastAsia="Calibri"/>
                    <w:color w:val="000000"/>
                    <w:sz w:val="22"/>
                    <w:szCs w:val="22"/>
                  </w:rPr>
                  <w:t xml:space="preserve"> Moteris nurodo, jog kilo minčių apie savęs žalojimą.</w:t>
                </w:r>
              </w:p>
              <w:p>
                <w:pPr>
                  <w:tabs>
                    <w:tab w:val="left" w:pos="720"/>
                  </w:tabs>
                  <w:ind w:left="720" w:hanging="720"/>
                  <w:jc w:val="both"/>
                  <w:rPr>
                    <w:rFonts w:eastAsia="Calibri"/>
                    <w:color w:val="000000"/>
                    <w:sz w:val="22"/>
                    <w:szCs w:val="22"/>
                  </w:rPr>
                </w:pPr>
                <w:r>
                  <w:rPr>
                    <w:rFonts w:eastAsia="Calibri"/>
                    <w:color w:val="000000"/>
                    <w:sz w:val="22"/>
                    <w:szCs w:val="22"/>
                  </w:rPr>
                  <w:t>6.</w:t>
                  <w:tab/>
                  <w:t xml:space="preserve">Balų suma 9 ir daugiau arba yra </w:t>
                </w:r>
                <w:r>
                  <w:rPr>
                    <w:color w:val="000000"/>
                    <w:sz w:val="22"/>
                    <w:szCs w:val="22"/>
                  </w:rPr>
                  <w:t>bet kokia savęs žalojimo mintis (t.y. 1 ar daugiau balų atsakant į #10 klausimą)</w:t>
                </w:r>
              </w:p>
            </w:tc>
          </w:tr>
        </w:tbl>
        <w:p>
          <w:pPr>
            <w:suppressAutoHyphens/>
            <w:rPr>
              <w:color w:val="000000"/>
              <w:szCs w:val="24"/>
            </w:rPr>
          </w:pPr>
          <w:r>
            <w:rPr>
              <w:color w:val="000000"/>
              <w:szCs w:val="24"/>
            </w:rPr>
            <w:t>Pageidaujama, kad klausimyną užpildytų pati moteris savarankiškai, nesitardama su aplinkiniais (išskyrus atvejus, kuomet moteris nemoka ar sunkiai skaito lietuviškai).</w:t>
          </w:r>
        </w:p>
        <w:sdt>
          <w:sdtPr>
            <w:alias w:val="pabaiga"/>
            <w:tag w:val="part_392a6398cd23425eaf9d4779b9a2730e"/>
            <w:lock w:val="sdtLocked"/>
            <w:richText/>
          </w:sdtPr>
          <w:sdtContent>
            <w:p>
              <w:pPr>
                <w:suppressAutoHyphens/>
                <w:ind w:firstLine="720"/>
                <w:jc w:val="center"/>
                <w:rPr>
                  <w:szCs w:val="24"/>
                </w:rPr>
              </w:pPr>
              <w:r>
                <w:rPr>
                  <w:color w:val="000000"/>
                  <w:szCs w:val="24"/>
                </w:rPr>
                <w:t>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255"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firstLine="720"/>
        <w:rPr>
          <w:rFonts w:ascii="Arial" w:hAnsi="Arial"/>
          <w:sz w:val="20"/>
        </w:rPr>
      </w:pPr>
      <w:r>
        <w:rPr>
          <w:rFonts w:ascii="Arial" w:hAnsi="Arial"/>
          <w:sz w:val="20"/>
        </w:rPr>
        <w:separator/>
      </w:r>
    </w:p>
  </w:endnote>
  <w:endnote w:type="continuationSeparator" w:id="0">
    <w:p>
      <w:pPr>
        <w:ind w:firstLine="720"/>
        <w:rPr>
          <w:rFonts w:ascii="Arial" w:hAnsi="Arial"/>
          <w:sz w:val="20"/>
        </w:rPr>
      </w:pPr>
      <w:r>
        <w:rPr>
          <w:rFonts w:ascii="Arial" w:hAnsi="Arial"/>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IDFont+F3">
    <w:altName w:val="Yu Gothic UI"/>
    <w:panose1 w:val="00000000000000000000"/>
    <w:charset w:val="80"/>
    <w:family w:val="auto"/>
    <w:notTrueType/>
    <w:pitch w:val="default"/>
    <w:sig w:usb0="00000001" w:usb1="08070000" w:usb2="00000010" w:usb3="00000000" w:csb0="0002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firstLine="720"/>
        <w:rPr>
          <w:rFonts w:ascii="Arial" w:hAnsi="Arial"/>
          <w:sz w:val="20"/>
        </w:rPr>
      </w:pPr>
      <w:r>
        <w:rPr>
          <w:rFonts w:ascii="Arial" w:hAnsi="Arial"/>
          <w:sz w:val="20"/>
        </w:rPr>
        <w:separator/>
      </w:r>
    </w:p>
  </w:footnote>
  <w:footnote w:type="continuationSeparator" w:id="0">
    <w:p>
      <w:pPr>
        <w:ind w:firstLine="720"/>
        <w:rPr>
          <w:rFonts w:ascii="Arial" w:hAnsi="Arial"/>
          <w:sz w:val="20"/>
        </w:rPr>
      </w:pPr>
      <w:r>
        <w:rPr>
          <w:rFonts w:ascii="Arial" w:hAnsi="Arial"/>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jc w:val="center"/>
      <w:rPr>
        <w:rFonts w:ascii="Arial" w:hAnsi="Arial"/>
        <w:sz w:val="20"/>
      </w:rPr>
    </w:pPr>
    <w:r>
      <w:rPr>
        <w:rFonts w:ascii="Arial" w:hAnsi="Arial"/>
        <w:sz w:val="20"/>
      </w:rPr>
      <w:fldChar w:fldCharType="begin"/>
    </w:r>
    <w:r>
      <w:rPr>
        <w:rFonts w:ascii="Arial" w:hAnsi="Arial"/>
        <w:sz w:val="20"/>
      </w:rPr>
      <w:instrText>PAGE   \* MERGEFORMAT</w:instrText>
    </w:r>
    <w:r>
      <w:rPr>
        <w:rFonts w:ascii="Arial" w:hAnsi="Arial"/>
        <w:sz w:val="20"/>
      </w:rPr>
      <w:fldChar w:fldCharType="separate"/>
    </w:r>
    <w:r>
      <w:rPr>
        <w:rFonts w:ascii="Arial" w:hAnsi="Arial"/>
        <w:sz w:val="20"/>
      </w:rPr>
      <w:t>2</w:t>
    </w:r>
    <w:r>
      <w:rPr>
        <w:rFonts w:ascii="Arial" w:hAnsi="Arial"/>
        <w:sz w:val="20"/>
      </w:rPr>
      <w:fldChar w:fldCharType="end"/>
    </w:r>
  </w:p>
  <w:p>
    <w:pPr>
      <w:tabs>
        <w:tab w:val="center" w:pos="4819"/>
        <w:tab w:val="right" w:pos="9638"/>
      </w:tabs>
      <w:ind w:firstLine="720"/>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firstLine="720"/>
      <w:rPr>
        <w:rFonts w:ascii="Arial" w:hAnsi="Arial"/>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4E45"/>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E219299-CD11-4845-8B84-0130C51374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4235883">
      <w:bodyDiv w:val="1"/>
      <w:marLeft w:val="0"/>
      <w:marRight w:val="0"/>
      <w:marTop w:val="0"/>
      <w:marBottom w:val="0"/>
      <w:divBdr>
        <w:top w:val="none" w:sz="0" w:space="0" w:color="auto"/>
        <w:left w:val="none" w:sz="0" w:space="0" w:color="auto"/>
        <w:bottom w:val="none" w:sz="0" w:space="0" w:color="auto"/>
        <w:right w:val="none" w:sz="0" w:space="0" w:color="auto"/>
      </w:divBdr>
    </w:div>
    <w:div w:id="44524569">
      <w:bodyDiv w:val="1"/>
      <w:marLeft w:val="0"/>
      <w:marRight w:val="0"/>
      <w:marTop w:val="0"/>
      <w:marBottom w:val="0"/>
      <w:divBdr>
        <w:top w:val="none" w:sz="0" w:space="0" w:color="auto"/>
        <w:left w:val="none" w:sz="0" w:space="0" w:color="auto"/>
        <w:bottom w:val="none" w:sz="0" w:space="0" w:color="auto"/>
        <w:right w:val="none" w:sz="0" w:space="0" w:color="auto"/>
      </w:divBdr>
    </w:div>
    <w:div w:id="120926656">
      <w:bodyDiv w:val="1"/>
      <w:marLeft w:val="0"/>
      <w:marRight w:val="0"/>
      <w:marTop w:val="0"/>
      <w:marBottom w:val="0"/>
      <w:divBdr>
        <w:top w:val="none" w:sz="0" w:space="0" w:color="auto"/>
        <w:left w:val="none" w:sz="0" w:space="0" w:color="auto"/>
        <w:bottom w:val="none" w:sz="0" w:space="0" w:color="auto"/>
        <w:right w:val="none" w:sz="0" w:space="0" w:color="auto"/>
      </w:divBdr>
      <w:divsChild>
        <w:div w:id="1314719851">
          <w:marLeft w:val="0"/>
          <w:marRight w:val="0"/>
          <w:marTop w:val="0"/>
          <w:marBottom w:val="0"/>
          <w:divBdr>
            <w:top w:val="none" w:sz="0" w:space="0" w:color="auto"/>
            <w:left w:val="none" w:sz="0" w:space="0" w:color="auto"/>
            <w:bottom w:val="none" w:sz="0" w:space="0" w:color="auto"/>
            <w:right w:val="none" w:sz="0" w:space="0" w:color="auto"/>
          </w:divBdr>
          <w:divsChild>
            <w:div w:id="1721981019">
              <w:marLeft w:val="0"/>
              <w:marRight w:val="0"/>
              <w:marTop w:val="0"/>
              <w:marBottom w:val="0"/>
              <w:divBdr>
                <w:top w:val="none" w:sz="0" w:space="0" w:color="auto"/>
                <w:left w:val="none" w:sz="0" w:space="0" w:color="auto"/>
                <w:bottom w:val="none" w:sz="0" w:space="0" w:color="auto"/>
                <w:right w:val="none" w:sz="0" w:space="0" w:color="auto"/>
              </w:divBdr>
              <w:divsChild>
                <w:div w:id="737093621">
                  <w:marLeft w:val="0"/>
                  <w:marRight w:val="0"/>
                  <w:marTop w:val="0"/>
                  <w:marBottom w:val="0"/>
                  <w:divBdr>
                    <w:top w:val="none" w:sz="0" w:space="0" w:color="auto"/>
                    <w:left w:val="none" w:sz="0" w:space="0" w:color="auto"/>
                    <w:bottom w:val="none" w:sz="0" w:space="0" w:color="auto"/>
                    <w:right w:val="none" w:sz="0" w:space="0" w:color="auto"/>
                  </w:divBdr>
                </w:div>
                <w:div w:id="1851602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04606">
      <w:bodyDiv w:val="1"/>
      <w:marLeft w:val="0"/>
      <w:marRight w:val="0"/>
      <w:marTop w:val="0"/>
      <w:marBottom w:val="0"/>
      <w:divBdr>
        <w:top w:val="none" w:sz="0" w:space="0" w:color="auto"/>
        <w:left w:val="none" w:sz="0" w:space="0" w:color="auto"/>
        <w:bottom w:val="none" w:sz="0" w:space="0" w:color="auto"/>
        <w:right w:val="none" w:sz="0" w:space="0" w:color="auto"/>
      </w:divBdr>
    </w:div>
    <w:div w:id="253245178">
      <w:bodyDiv w:val="1"/>
      <w:marLeft w:val="0"/>
      <w:marRight w:val="0"/>
      <w:marTop w:val="0"/>
      <w:marBottom w:val="0"/>
      <w:divBdr>
        <w:top w:val="none" w:sz="0" w:space="0" w:color="auto"/>
        <w:left w:val="none" w:sz="0" w:space="0" w:color="auto"/>
        <w:bottom w:val="none" w:sz="0" w:space="0" w:color="auto"/>
        <w:right w:val="none" w:sz="0" w:space="0" w:color="auto"/>
      </w:divBdr>
    </w:div>
    <w:div w:id="329991400">
      <w:bodyDiv w:val="1"/>
      <w:marLeft w:val="0"/>
      <w:marRight w:val="0"/>
      <w:marTop w:val="0"/>
      <w:marBottom w:val="0"/>
      <w:divBdr>
        <w:top w:val="none" w:sz="0" w:space="0" w:color="auto"/>
        <w:left w:val="none" w:sz="0" w:space="0" w:color="auto"/>
        <w:bottom w:val="none" w:sz="0" w:space="0" w:color="auto"/>
        <w:right w:val="none" w:sz="0" w:space="0" w:color="auto"/>
      </w:divBdr>
    </w:div>
    <w:div w:id="349378245">
      <w:bodyDiv w:val="1"/>
      <w:marLeft w:val="0"/>
      <w:marRight w:val="0"/>
      <w:marTop w:val="0"/>
      <w:marBottom w:val="0"/>
      <w:divBdr>
        <w:top w:val="none" w:sz="0" w:space="0" w:color="auto"/>
        <w:left w:val="none" w:sz="0" w:space="0" w:color="auto"/>
        <w:bottom w:val="none" w:sz="0" w:space="0" w:color="auto"/>
        <w:right w:val="none" w:sz="0" w:space="0" w:color="auto"/>
      </w:divBdr>
    </w:div>
    <w:div w:id="527136677">
      <w:bodyDiv w:val="1"/>
      <w:marLeft w:val="0"/>
      <w:marRight w:val="0"/>
      <w:marTop w:val="0"/>
      <w:marBottom w:val="0"/>
      <w:divBdr>
        <w:top w:val="none" w:sz="0" w:space="0" w:color="auto"/>
        <w:left w:val="none" w:sz="0" w:space="0" w:color="auto"/>
        <w:bottom w:val="none" w:sz="0" w:space="0" w:color="auto"/>
        <w:right w:val="none" w:sz="0" w:space="0" w:color="auto"/>
      </w:divBdr>
    </w:div>
    <w:div w:id="549728912">
      <w:bodyDiv w:val="1"/>
      <w:marLeft w:val="0"/>
      <w:marRight w:val="0"/>
      <w:marTop w:val="0"/>
      <w:marBottom w:val="0"/>
      <w:divBdr>
        <w:top w:val="none" w:sz="0" w:space="0" w:color="auto"/>
        <w:left w:val="none" w:sz="0" w:space="0" w:color="auto"/>
        <w:bottom w:val="none" w:sz="0" w:space="0" w:color="auto"/>
        <w:right w:val="none" w:sz="0" w:space="0" w:color="auto"/>
      </w:divBdr>
    </w:div>
    <w:div w:id="773138046">
      <w:bodyDiv w:val="1"/>
      <w:marLeft w:val="0"/>
      <w:marRight w:val="0"/>
      <w:marTop w:val="0"/>
      <w:marBottom w:val="0"/>
      <w:divBdr>
        <w:top w:val="none" w:sz="0" w:space="0" w:color="auto"/>
        <w:left w:val="none" w:sz="0" w:space="0" w:color="auto"/>
        <w:bottom w:val="none" w:sz="0" w:space="0" w:color="auto"/>
        <w:right w:val="none" w:sz="0" w:space="0" w:color="auto"/>
      </w:divBdr>
    </w:div>
    <w:div w:id="867835784">
      <w:bodyDiv w:val="1"/>
      <w:marLeft w:val="0"/>
      <w:marRight w:val="0"/>
      <w:marTop w:val="0"/>
      <w:marBottom w:val="0"/>
      <w:divBdr>
        <w:top w:val="none" w:sz="0" w:space="0" w:color="auto"/>
        <w:left w:val="none" w:sz="0" w:space="0" w:color="auto"/>
        <w:bottom w:val="none" w:sz="0" w:space="0" w:color="auto"/>
        <w:right w:val="none" w:sz="0" w:space="0" w:color="auto"/>
      </w:divBdr>
    </w:div>
    <w:div w:id="893195353">
      <w:bodyDiv w:val="1"/>
      <w:marLeft w:val="0"/>
      <w:marRight w:val="0"/>
      <w:marTop w:val="0"/>
      <w:marBottom w:val="0"/>
      <w:divBdr>
        <w:top w:val="none" w:sz="0" w:space="0" w:color="auto"/>
        <w:left w:val="none" w:sz="0" w:space="0" w:color="auto"/>
        <w:bottom w:val="none" w:sz="0" w:space="0" w:color="auto"/>
        <w:right w:val="none" w:sz="0" w:space="0" w:color="auto"/>
      </w:divBdr>
    </w:div>
    <w:div w:id="924917457">
      <w:bodyDiv w:val="1"/>
      <w:marLeft w:val="0"/>
      <w:marRight w:val="0"/>
      <w:marTop w:val="0"/>
      <w:marBottom w:val="0"/>
      <w:divBdr>
        <w:top w:val="none" w:sz="0" w:space="0" w:color="auto"/>
        <w:left w:val="none" w:sz="0" w:space="0" w:color="auto"/>
        <w:bottom w:val="none" w:sz="0" w:space="0" w:color="auto"/>
        <w:right w:val="none" w:sz="0" w:space="0" w:color="auto"/>
      </w:divBdr>
    </w:div>
    <w:div w:id="926379439">
      <w:bodyDiv w:val="1"/>
      <w:marLeft w:val="0"/>
      <w:marRight w:val="0"/>
      <w:marTop w:val="0"/>
      <w:marBottom w:val="0"/>
      <w:divBdr>
        <w:top w:val="none" w:sz="0" w:space="0" w:color="auto"/>
        <w:left w:val="none" w:sz="0" w:space="0" w:color="auto"/>
        <w:bottom w:val="none" w:sz="0" w:space="0" w:color="auto"/>
        <w:right w:val="none" w:sz="0" w:space="0" w:color="auto"/>
      </w:divBdr>
    </w:div>
    <w:div w:id="988438102">
      <w:bodyDiv w:val="1"/>
      <w:marLeft w:val="0"/>
      <w:marRight w:val="0"/>
      <w:marTop w:val="0"/>
      <w:marBottom w:val="0"/>
      <w:divBdr>
        <w:top w:val="none" w:sz="0" w:space="0" w:color="auto"/>
        <w:left w:val="none" w:sz="0" w:space="0" w:color="auto"/>
        <w:bottom w:val="none" w:sz="0" w:space="0" w:color="auto"/>
        <w:right w:val="none" w:sz="0" w:space="0" w:color="auto"/>
      </w:divBdr>
    </w:div>
    <w:div w:id="1050421854">
      <w:bodyDiv w:val="1"/>
      <w:marLeft w:val="0"/>
      <w:marRight w:val="0"/>
      <w:marTop w:val="0"/>
      <w:marBottom w:val="0"/>
      <w:divBdr>
        <w:top w:val="none" w:sz="0" w:space="0" w:color="auto"/>
        <w:left w:val="none" w:sz="0" w:space="0" w:color="auto"/>
        <w:bottom w:val="none" w:sz="0" w:space="0" w:color="auto"/>
        <w:right w:val="none" w:sz="0" w:space="0" w:color="auto"/>
      </w:divBdr>
      <w:divsChild>
        <w:div w:id="122432957">
          <w:marLeft w:val="0"/>
          <w:marRight w:val="0"/>
          <w:marTop w:val="0"/>
          <w:marBottom w:val="0"/>
          <w:divBdr>
            <w:top w:val="none" w:sz="0" w:space="0" w:color="auto"/>
            <w:left w:val="none" w:sz="0" w:space="0" w:color="auto"/>
            <w:bottom w:val="none" w:sz="0" w:space="0" w:color="auto"/>
            <w:right w:val="none" w:sz="0" w:space="0" w:color="auto"/>
          </w:divBdr>
          <w:divsChild>
            <w:div w:id="1104496248">
              <w:marLeft w:val="0"/>
              <w:marRight w:val="0"/>
              <w:marTop w:val="0"/>
              <w:marBottom w:val="0"/>
              <w:divBdr>
                <w:top w:val="none" w:sz="0" w:space="0" w:color="auto"/>
                <w:left w:val="none" w:sz="0" w:space="0" w:color="auto"/>
                <w:bottom w:val="none" w:sz="0" w:space="0" w:color="auto"/>
                <w:right w:val="none" w:sz="0" w:space="0" w:color="auto"/>
              </w:divBdr>
              <w:divsChild>
                <w:div w:id="1933203927">
                  <w:marLeft w:val="0"/>
                  <w:marRight w:val="0"/>
                  <w:marTop w:val="0"/>
                  <w:marBottom w:val="0"/>
                  <w:divBdr>
                    <w:top w:val="none" w:sz="0" w:space="0" w:color="auto"/>
                    <w:left w:val="none" w:sz="0" w:space="0" w:color="auto"/>
                    <w:bottom w:val="none" w:sz="0" w:space="0" w:color="auto"/>
                    <w:right w:val="none" w:sz="0" w:space="0" w:color="auto"/>
                  </w:divBdr>
                  <w:divsChild>
                    <w:div w:id="995185606">
                      <w:marLeft w:val="0"/>
                      <w:marRight w:val="0"/>
                      <w:marTop w:val="0"/>
                      <w:marBottom w:val="0"/>
                      <w:divBdr>
                        <w:top w:val="none" w:sz="0" w:space="0" w:color="auto"/>
                        <w:left w:val="none" w:sz="0" w:space="0" w:color="auto"/>
                        <w:bottom w:val="none" w:sz="0" w:space="0" w:color="auto"/>
                        <w:right w:val="none" w:sz="0" w:space="0" w:color="auto"/>
                      </w:divBdr>
                      <w:divsChild>
                        <w:div w:id="48837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2367855">
      <w:bodyDiv w:val="1"/>
      <w:marLeft w:val="0"/>
      <w:marRight w:val="0"/>
      <w:marTop w:val="0"/>
      <w:marBottom w:val="0"/>
      <w:divBdr>
        <w:top w:val="none" w:sz="0" w:space="0" w:color="auto"/>
        <w:left w:val="none" w:sz="0" w:space="0" w:color="auto"/>
        <w:bottom w:val="none" w:sz="0" w:space="0" w:color="auto"/>
        <w:right w:val="none" w:sz="0" w:space="0" w:color="auto"/>
      </w:divBdr>
    </w:div>
    <w:div w:id="1069618394">
      <w:bodyDiv w:val="1"/>
      <w:marLeft w:val="0"/>
      <w:marRight w:val="0"/>
      <w:marTop w:val="0"/>
      <w:marBottom w:val="0"/>
      <w:divBdr>
        <w:top w:val="none" w:sz="0" w:space="0" w:color="auto"/>
        <w:left w:val="none" w:sz="0" w:space="0" w:color="auto"/>
        <w:bottom w:val="none" w:sz="0" w:space="0" w:color="auto"/>
        <w:right w:val="none" w:sz="0" w:space="0" w:color="auto"/>
      </w:divBdr>
    </w:div>
    <w:div w:id="1087460107">
      <w:bodyDiv w:val="1"/>
      <w:marLeft w:val="0"/>
      <w:marRight w:val="0"/>
      <w:marTop w:val="0"/>
      <w:marBottom w:val="0"/>
      <w:divBdr>
        <w:top w:val="none" w:sz="0" w:space="0" w:color="auto"/>
        <w:left w:val="none" w:sz="0" w:space="0" w:color="auto"/>
        <w:bottom w:val="none" w:sz="0" w:space="0" w:color="auto"/>
        <w:right w:val="none" w:sz="0" w:space="0" w:color="auto"/>
      </w:divBdr>
      <w:divsChild>
        <w:div w:id="1320689679">
          <w:marLeft w:val="0"/>
          <w:marRight w:val="0"/>
          <w:marTop w:val="0"/>
          <w:marBottom w:val="0"/>
          <w:divBdr>
            <w:top w:val="none" w:sz="0" w:space="0" w:color="auto"/>
            <w:left w:val="none" w:sz="0" w:space="0" w:color="auto"/>
            <w:bottom w:val="none" w:sz="0" w:space="0" w:color="auto"/>
            <w:right w:val="none" w:sz="0" w:space="0" w:color="auto"/>
          </w:divBdr>
        </w:div>
        <w:div w:id="1975481843">
          <w:marLeft w:val="0"/>
          <w:marRight w:val="0"/>
          <w:marTop w:val="0"/>
          <w:marBottom w:val="0"/>
          <w:divBdr>
            <w:top w:val="none" w:sz="0" w:space="0" w:color="auto"/>
            <w:left w:val="none" w:sz="0" w:space="0" w:color="auto"/>
            <w:bottom w:val="none" w:sz="0" w:space="0" w:color="auto"/>
            <w:right w:val="none" w:sz="0" w:space="0" w:color="auto"/>
          </w:divBdr>
        </w:div>
        <w:div w:id="599527629">
          <w:marLeft w:val="0"/>
          <w:marRight w:val="0"/>
          <w:marTop w:val="0"/>
          <w:marBottom w:val="0"/>
          <w:divBdr>
            <w:top w:val="none" w:sz="0" w:space="0" w:color="auto"/>
            <w:left w:val="none" w:sz="0" w:space="0" w:color="auto"/>
            <w:bottom w:val="none" w:sz="0" w:space="0" w:color="auto"/>
            <w:right w:val="none" w:sz="0" w:space="0" w:color="auto"/>
          </w:divBdr>
        </w:div>
        <w:div w:id="267929378">
          <w:marLeft w:val="0"/>
          <w:marRight w:val="0"/>
          <w:marTop w:val="0"/>
          <w:marBottom w:val="0"/>
          <w:divBdr>
            <w:top w:val="none" w:sz="0" w:space="0" w:color="auto"/>
            <w:left w:val="none" w:sz="0" w:space="0" w:color="auto"/>
            <w:bottom w:val="none" w:sz="0" w:space="0" w:color="auto"/>
            <w:right w:val="none" w:sz="0" w:space="0" w:color="auto"/>
          </w:divBdr>
        </w:div>
        <w:div w:id="228077518">
          <w:marLeft w:val="0"/>
          <w:marRight w:val="0"/>
          <w:marTop w:val="0"/>
          <w:marBottom w:val="0"/>
          <w:divBdr>
            <w:top w:val="none" w:sz="0" w:space="0" w:color="auto"/>
            <w:left w:val="none" w:sz="0" w:space="0" w:color="auto"/>
            <w:bottom w:val="none" w:sz="0" w:space="0" w:color="auto"/>
            <w:right w:val="none" w:sz="0" w:space="0" w:color="auto"/>
          </w:divBdr>
        </w:div>
        <w:div w:id="324403879">
          <w:marLeft w:val="0"/>
          <w:marRight w:val="0"/>
          <w:marTop w:val="0"/>
          <w:marBottom w:val="0"/>
          <w:divBdr>
            <w:top w:val="none" w:sz="0" w:space="0" w:color="auto"/>
            <w:left w:val="none" w:sz="0" w:space="0" w:color="auto"/>
            <w:bottom w:val="none" w:sz="0" w:space="0" w:color="auto"/>
            <w:right w:val="none" w:sz="0" w:space="0" w:color="auto"/>
          </w:divBdr>
        </w:div>
      </w:divsChild>
    </w:div>
    <w:div w:id="1103381991">
      <w:bodyDiv w:val="1"/>
      <w:marLeft w:val="0"/>
      <w:marRight w:val="0"/>
      <w:marTop w:val="0"/>
      <w:marBottom w:val="0"/>
      <w:divBdr>
        <w:top w:val="none" w:sz="0" w:space="0" w:color="auto"/>
        <w:left w:val="none" w:sz="0" w:space="0" w:color="auto"/>
        <w:bottom w:val="none" w:sz="0" w:space="0" w:color="auto"/>
        <w:right w:val="none" w:sz="0" w:space="0" w:color="auto"/>
      </w:divBdr>
    </w:div>
    <w:div w:id="1106773918">
      <w:bodyDiv w:val="1"/>
      <w:marLeft w:val="0"/>
      <w:marRight w:val="0"/>
      <w:marTop w:val="0"/>
      <w:marBottom w:val="0"/>
      <w:divBdr>
        <w:top w:val="none" w:sz="0" w:space="0" w:color="auto"/>
        <w:left w:val="none" w:sz="0" w:space="0" w:color="auto"/>
        <w:bottom w:val="none" w:sz="0" w:space="0" w:color="auto"/>
        <w:right w:val="none" w:sz="0" w:space="0" w:color="auto"/>
      </w:divBdr>
    </w:div>
    <w:div w:id="1268658358">
      <w:bodyDiv w:val="1"/>
      <w:marLeft w:val="0"/>
      <w:marRight w:val="0"/>
      <w:marTop w:val="0"/>
      <w:marBottom w:val="0"/>
      <w:divBdr>
        <w:top w:val="none" w:sz="0" w:space="0" w:color="auto"/>
        <w:left w:val="none" w:sz="0" w:space="0" w:color="auto"/>
        <w:bottom w:val="none" w:sz="0" w:space="0" w:color="auto"/>
        <w:right w:val="none" w:sz="0" w:space="0" w:color="auto"/>
      </w:divBdr>
    </w:div>
    <w:div w:id="1325205208">
      <w:bodyDiv w:val="1"/>
      <w:marLeft w:val="0"/>
      <w:marRight w:val="0"/>
      <w:marTop w:val="0"/>
      <w:marBottom w:val="0"/>
      <w:divBdr>
        <w:top w:val="none" w:sz="0" w:space="0" w:color="auto"/>
        <w:left w:val="none" w:sz="0" w:space="0" w:color="auto"/>
        <w:bottom w:val="none" w:sz="0" w:space="0" w:color="auto"/>
        <w:right w:val="none" w:sz="0" w:space="0" w:color="auto"/>
      </w:divBdr>
    </w:div>
    <w:div w:id="1422945570">
      <w:bodyDiv w:val="1"/>
      <w:marLeft w:val="0"/>
      <w:marRight w:val="0"/>
      <w:marTop w:val="0"/>
      <w:marBottom w:val="0"/>
      <w:divBdr>
        <w:top w:val="none" w:sz="0" w:space="0" w:color="auto"/>
        <w:left w:val="none" w:sz="0" w:space="0" w:color="auto"/>
        <w:bottom w:val="none" w:sz="0" w:space="0" w:color="auto"/>
        <w:right w:val="none" w:sz="0" w:space="0" w:color="auto"/>
      </w:divBdr>
    </w:div>
    <w:div w:id="1454327711">
      <w:bodyDiv w:val="1"/>
      <w:marLeft w:val="0"/>
      <w:marRight w:val="0"/>
      <w:marTop w:val="0"/>
      <w:marBottom w:val="0"/>
      <w:divBdr>
        <w:top w:val="none" w:sz="0" w:space="0" w:color="auto"/>
        <w:left w:val="none" w:sz="0" w:space="0" w:color="auto"/>
        <w:bottom w:val="none" w:sz="0" w:space="0" w:color="auto"/>
        <w:right w:val="none" w:sz="0" w:space="0" w:color="auto"/>
      </w:divBdr>
    </w:div>
    <w:div w:id="1492863920">
      <w:bodyDiv w:val="1"/>
      <w:marLeft w:val="0"/>
      <w:marRight w:val="0"/>
      <w:marTop w:val="0"/>
      <w:marBottom w:val="0"/>
      <w:divBdr>
        <w:top w:val="none" w:sz="0" w:space="0" w:color="auto"/>
        <w:left w:val="none" w:sz="0" w:space="0" w:color="auto"/>
        <w:bottom w:val="none" w:sz="0" w:space="0" w:color="auto"/>
        <w:right w:val="none" w:sz="0" w:space="0" w:color="auto"/>
      </w:divBdr>
    </w:div>
    <w:div w:id="1566641010">
      <w:bodyDiv w:val="1"/>
      <w:marLeft w:val="0"/>
      <w:marRight w:val="0"/>
      <w:marTop w:val="0"/>
      <w:marBottom w:val="0"/>
      <w:divBdr>
        <w:top w:val="none" w:sz="0" w:space="0" w:color="auto"/>
        <w:left w:val="none" w:sz="0" w:space="0" w:color="auto"/>
        <w:bottom w:val="none" w:sz="0" w:space="0" w:color="auto"/>
        <w:right w:val="none" w:sz="0" w:space="0" w:color="auto"/>
      </w:divBdr>
    </w:div>
    <w:div w:id="1574242188">
      <w:bodyDiv w:val="1"/>
      <w:marLeft w:val="0"/>
      <w:marRight w:val="0"/>
      <w:marTop w:val="0"/>
      <w:marBottom w:val="0"/>
      <w:divBdr>
        <w:top w:val="none" w:sz="0" w:space="0" w:color="auto"/>
        <w:left w:val="none" w:sz="0" w:space="0" w:color="auto"/>
        <w:bottom w:val="none" w:sz="0" w:space="0" w:color="auto"/>
        <w:right w:val="none" w:sz="0" w:space="0" w:color="auto"/>
      </w:divBdr>
    </w:div>
    <w:div w:id="1648239942">
      <w:bodyDiv w:val="1"/>
      <w:marLeft w:val="0"/>
      <w:marRight w:val="0"/>
      <w:marTop w:val="0"/>
      <w:marBottom w:val="0"/>
      <w:divBdr>
        <w:top w:val="none" w:sz="0" w:space="0" w:color="auto"/>
        <w:left w:val="none" w:sz="0" w:space="0" w:color="auto"/>
        <w:bottom w:val="none" w:sz="0" w:space="0" w:color="auto"/>
        <w:right w:val="none" w:sz="0" w:space="0" w:color="auto"/>
      </w:divBdr>
    </w:div>
    <w:div w:id="1655573148">
      <w:bodyDiv w:val="1"/>
      <w:marLeft w:val="0"/>
      <w:marRight w:val="0"/>
      <w:marTop w:val="0"/>
      <w:marBottom w:val="0"/>
      <w:divBdr>
        <w:top w:val="none" w:sz="0" w:space="0" w:color="auto"/>
        <w:left w:val="none" w:sz="0" w:space="0" w:color="auto"/>
        <w:bottom w:val="none" w:sz="0" w:space="0" w:color="auto"/>
        <w:right w:val="none" w:sz="0" w:space="0" w:color="auto"/>
      </w:divBdr>
    </w:div>
    <w:div w:id="1677802933">
      <w:bodyDiv w:val="1"/>
      <w:marLeft w:val="0"/>
      <w:marRight w:val="0"/>
      <w:marTop w:val="0"/>
      <w:marBottom w:val="0"/>
      <w:divBdr>
        <w:top w:val="none" w:sz="0" w:space="0" w:color="auto"/>
        <w:left w:val="none" w:sz="0" w:space="0" w:color="auto"/>
        <w:bottom w:val="none" w:sz="0" w:space="0" w:color="auto"/>
        <w:right w:val="none" w:sz="0" w:space="0" w:color="auto"/>
      </w:divBdr>
    </w:div>
    <w:div w:id="1708021394">
      <w:bodyDiv w:val="1"/>
      <w:marLeft w:val="0"/>
      <w:marRight w:val="0"/>
      <w:marTop w:val="0"/>
      <w:marBottom w:val="0"/>
      <w:divBdr>
        <w:top w:val="none" w:sz="0" w:space="0" w:color="auto"/>
        <w:left w:val="none" w:sz="0" w:space="0" w:color="auto"/>
        <w:bottom w:val="none" w:sz="0" w:space="0" w:color="auto"/>
        <w:right w:val="none" w:sz="0" w:space="0" w:color="auto"/>
      </w:divBdr>
    </w:div>
    <w:div w:id="1719011114">
      <w:bodyDiv w:val="1"/>
      <w:marLeft w:val="0"/>
      <w:marRight w:val="0"/>
      <w:marTop w:val="0"/>
      <w:marBottom w:val="0"/>
      <w:divBdr>
        <w:top w:val="none" w:sz="0" w:space="0" w:color="auto"/>
        <w:left w:val="none" w:sz="0" w:space="0" w:color="auto"/>
        <w:bottom w:val="none" w:sz="0" w:space="0" w:color="auto"/>
        <w:right w:val="none" w:sz="0" w:space="0" w:color="auto"/>
      </w:divBdr>
    </w:div>
    <w:div w:id="1746410681">
      <w:bodyDiv w:val="1"/>
      <w:marLeft w:val="0"/>
      <w:marRight w:val="0"/>
      <w:marTop w:val="0"/>
      <w:marBottom w:val="0"/>
      <w:divBdr>
        <w:top w:val="none" w:sz="0" w:space="0" w:color="auto"/>
        <w:left w:val="none" w:sz="0" w:space="0" w:color="auto"/>
        <w:bottom w:val="none" w:sz="0" w:space="0" w:color="auto"/>
        <w:right w:val="none" w:sz="0" w:space="0" w:color="auto"/>
      </w:divBdr>
    </w:div>
    <w:div w:id="1772429177">
      <w:bodyDiv w:val="1"/>
      <w:marLeft w:val="0"/>
      <w:marRight w:val="0"/>
      <w:marTop w:val="0"/>
      <w:marBottom w:val="0"/>
      <w:divBdr>
        <w:top w:val="none" w:sz="0" w:space="0" w:color="auto"/>
        <w:left w:val="none" w:sz="0" w:space="0" w:color="auto"/>
        <w:bottom w:val="none" w:sz="0" w:space="0" w:color="auto"/>
        <w:right w:val="none" w:sz="0" w:space="0" w:color="auto"/>
      </w:divBdr>
    </w:div>
    <w:div w:id="1929921918">
      <w:bodyDiv w:val="1"/>
      <w:marLeft w:val="0"/>
      <w:marRight w:val="0"/>
      <w:marTop w:val="0"/>
      <w:marBottom w:val="0"/>
      <w:divBdr>
        <w:top w:val="none" w:sz="0" w:space="0" w:color="auto"/>
        <w:left w:val="none" w:sz="0" w:space="0" w:color="auto"/>
        <w:bottom w:val="none" w:sz="0" w:space="0" w:color="auto"/>
        <w:right w:val="none" w:sz="0" w:space="0" w:color="auto"/>
      </w:divBdr>
    </w:div>
    <w:div w:id="1933471509">
      <w:bodyDiv w:val="1"/>
      <w:marLeft w:val="0"/>
      <w:marRight w:val="0"/>
      <w:marTop w:val="0"/>
      <w:marBottom w:val="0"/>
      <w:divBdr>
        <w:top w:val="none" w:sz="0" w:space="0" w:color="auto"/>
        <w:left w:val="none" w:sz="0" w:space="0" w:color="auto"/>
        <w:bottom w:val="none" w:sz="0" w:space="0" w:color="auto"/>
        <w:right w:val="none" w:sz="0" w:space="0" w:color="auto"/>
      </w:divBdr>
    </w:div>
    <w:div w:id="1976719410">
      <w:bodyDiv w:val="1"/>
      <w:marLeft w:val="0"/>
      <w:marRight w:val="0"/>
      <w:marTop w:val="0"/>
      <w:marBottom w:val="0"/>
      <w:divBdr>
        <w:top w:val="none" w:sz="0" w:space="0" w:color="auto"/>
        <w:left w:val="none" w:sz="0" w:space="0" w:color="auto"/>
        <w:bottom w:val="none" w:sz="0" w:space="0" w:color="auto"/>
        <w:right w:val="none" w:sz="0" w:space="0" w:color="auto"/>
      </w:divBdr>
    </w:div>
    <w:div w:id="2030720446">
      <w:bodyDiv w:val="1"/>
      <w:marLeft w:val="0"/>
      <w:marRight w:val="0"/>
      <w:marTop w:val="0"/>
      <w:marBottom w:val="0"/>
      <w:divBdr>
        <w:top w:val="none" w:sz="0" w:space="0" w:color="auto"/>
        <w:left w:val="none" w:sz="0" w:space="0" w:color="auto"/>
        <w:bottom w:val="none" w:sz="0" w:space="0" w:color="auto"/>
        <w:right w:val="none" w:sz="0" w:space="0" w:color="auto"/>
      </w:divBdr>
    </w:div>
    <w:div w:id="2045252572">
      <w:bodyDiv w:val="1"/>
      <w:marLeft w:val="0"/>
      <w:marRight w:val="0"/>
      <w:marTop w:val="0"/>
      <w:marBottom w:val="0"/>
      <w:divBdr>
        <w:top w:val="none" w:sz="0" w:space="0" w:color="auto"/>
        <w:left w:val="none" w:sz="0" w:space="0" w:color="auto"/>
        <w:bottom w:val="none" w:sz="0" w:space="0" w:color="auto"/>
        <w:right w:val="none" w:sz="0" w:space="0" w:color="auto"/>
      </w:divBdr>
    </w:div>
    <w:div w:id="2073892206">
      <w:bodyDiv w:val="1"/>
      <w:marLeft w:val="0"/>
      <w:marRight w:val="0"/>
      <w:marTop w:val="0"/>
      <w:marBottom w:val="0"/>
      <w:divBdr>
        <w:top w:val="none" w:sz="0" w:space="0" w:color="auto"/>
        <w:left w:val="none" w:sz="0" w:space="0" w:color="auto"/>
        <w:bottom w:val="none" w:sz="0" w:space="0" w:color="auto"/>
        <w:right w:val="none" w:sz="0" w:space="0" w:color="auto"/>
      </w:divBdr>
    </w:div>
    <w:div w:id="209728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686DA73B51BDAE499A8C5C19CB59598B" ma:contentTypeVersion="1" ma:contentTypeDescription="" ma:contentTypeScope="" ma:versionID="17e0f298a61a194f68c0739e60e142b3">
  <xsd:schema xmlns:xsd="http://www.w3.org/2001/XMLSchema" xmlns:xs="http://www.w3.org/2001/XMLSchema" xmlns:p="http://schemas.microsoft.com/office/2006/metadata/properties" xmlns:ns2="4b2e9d09-07c5-42d4-ad0a-92e216c40b99" xmlns:ns3="7ddbcf87-b050-43a2-b7ff-65d83e78af57" targetNamespace="http://schemas.microsoft.com/office/2006/metadata/properties" ma:root="true" ma:fieldsID="d0aa26ecac8558f5a019f19a99f1449f" ns2:_="" ns3:_="">
    <xsd:import namespace="4b2e9d09-07c5-42d4-ad0a-92e216c40b99"/>
    <xsd:import namespace="7ddbcf87-b050-43a2-b7ff-65d83e78af57"/>
    <xsd:element name="properties">
      <xsd:complexType>
        <xsd:sequence>
          <xsd:element name="documentManagement">
            <xsd:complexType>
              <xsd:all>
                <xsd:element ref="ns2:DmsDocPrepListOrderNo" minOccurs="0"/>
                <xsd:element ref="ns3:o2cc8c89477e456eb48e61b1cb42a2c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ddbcf87-b050-43a2-b7ff-65d83e78af57" elementFormDefault="qualified">
    <xsd:import namespace="http://schemas.microsoft.com/office/2006/documentManagement/types"/>
    <xsd:import namespace="http://schemas.microsoft.com/office/infopath/2007/PartnerControls"/>
    <xsd:element name="o2cc8c89477e456eb48e61b1cb42a2c0" ma:index="9" nillable="true" ma:displayName="DmsPermissionsDivisions_0" ma:hidden="true" ma:internalName="o2cc8c89477e456eb48e61b1cb42a2c0">
      <xsd:simpleType>
        <xsd:restriction base="dms:Not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o2cc8c89477e456eb48e61b1cb42a2c0 xmlns="7ddbcf87-b050-43a2-b7ff-65d83e78af57" xsi:nil="true"/>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2" Abbr="12 pr." Title="POGIMDYMINĖS DEPRESIJOS SKALĖ" DocPartId="d3b27e10774d46ab979189d2f8368403" PartId="41d19c78c3894474973a50855d9d2c81">
    <Part Type="pabaiga" DocPartId="c7fad3bb0eaa42e3b6efc2a47e677a8e" PartId="392a6398cd23425eaf9d4779b9a2730e"/>
  </Part>
</Parts>
</file>

<file path=customXml/itemProps1.xml><?xml version="1.0" encoding="utf-8"?>
<ds:datastoreItem xmlns:ds="http://schemas.openxmlformats.org/officeDocument/2006/customXml" ds:itemID="{4E71E839-16F2-4F76-9521-247F7E44E918}">
  <ds:schemaRefs>
    <ds:schemaRef ds:uri="http://schemas.microsoft.com/sharepoint/v3/contenttype/forms"/>
  </ds:schemaRefs>
</ds:datastoreItem>
</file>

<file path=customXml/itemProps2.xml><?xml version="1.0" encoding="utf-8"?>
<ds:datastoreItem xmlns:ds="http://schemas.openxmlformats.org/officeDocument/2006/customXml" ds:itemID="{47D3ED2B-A950-4D41-B11A-F8F77BB470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7ddbcf87-b050-43a2-b7ff-65d83e78a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7F4EF3-17A1-4261-AEF9-50E84698442F}">
  <ds:schemaRefs>
    <ds:schemaRef ds:uri="http://schemas.microsoft.com/office/2006/metadata/properties"/>
    <ds:schemaRef ds:uri="http://schemas.microsoft.com/office/infopath/2007/PartnerControls"/>
    <ds:schemaRef ds:uri="7ddbcf87-b050-43a2-b7ff-65d83e78af57"/>
    <ds:schemaRef ds:uri="4b2e9d09-07c5-42d4-ad0a-92e216c40b99"/>
  </ds:schemaRefs>
</ds:datastoreItem>
</file>

<file path=customXml/itemProps4.xml><?xml version="1.0" encoding="utf-8"?>
<ds:datastoreItem xmlns:ds="http://schemas.openxmlformats.org/officeDocument/2006/customXml" ds:itemID="{C44DFD1A-289D-4583-A99E-EFC58263F5C7}">
  <ds:schemaRefs>
    <ds:schemaRef ds:uri="http://schemas.openxmlformats.org/officeDocument/2006/bibliography"/>
  </ds:schemaRefs>
</ds:datastoreItem>
</file>

<file path=customXml/itemProps5.xml><?xml version="1.0" encoding="utf-8"?>
<ds:datastoreItem xmlns:ds="http://schemas.openxmlformats.org/officeDocument/2006/customXml" ds:itemID="{89EB3601-CF86-425A-AAA4-E0E8F1FAD6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737</Words>
  <Characters>4235</Characters>
  <Application>Microsoft Office Word</Application>
  <DocSecurity>4</DocSecurity>
  <Lines>151</Lines>
  <Paragraphs>95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lpstr>DĖL LIETUVOS RESPUBLIKOS SVEIKATOS APSAUGOS MINISTRO 2005 M. GRUODŽIO 5 D. ĮSAKYMO NR. V-943 ,,DĖL PIRMINĖS AMBULATORINĖS ASMENS SVEIKATOS PRIEŽIŪROS PASLAUGŲ ORGANIZAVIMO IR APMOKĖJIMO TVARKOS APRAŠO BEI PIRMINĖS AMBULATORINĖS ASMENS SVEIKATOS PRIEŽIŪROS</vt:lpstr>
    </vt:vector>
  </TitlesOfParts>
  <Company/>
  <LinksUpToDate>false</LinksUpToDate>
  <CharactersWithSpaces>4877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2024-05-14T17:40:00Z</dcterms:created>
  <dc:creator>Oksana Burokienė</dc:creator>
  <lastModifiedBy>adlibuser</lastModifiedBy>
  <lastPrinted>2023-02-28T12:49:00Z</lastPrinted>
  <dcterms:modified xsi:type="dcterms:W3CDTF">2024-05-14T17:40:00Z</dcterms:modified>
  <revision>2</revision>
  <dc:title>DĖL LIETUVOS RESPUBLIKOS SVEIKATOS APSAUGOS MINISTRO 2005 M. GRUODŽIO 5 D. ĮSAKYMO NR. V-943 ,,DĖL PIRMINĖS AMBULATORINĖS ASMENS SVEIKATOS PRIEŽIŪROS PASLAUGŲ ORGANIZAVIMO IR APMOKĖJIMO TVARKOS APRAŠO BEI PIRMINĖS AMBULATORINĖS ASMENS SVEIKATOS PRIEŽIŪROS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0x010100D76F90AF19434866994CD715ED8FEE4200686DA73B51BDAE499A8C5C19CB59598B</vt:lpwstr>
  </property>
  <property fmtid="{D5CDD505-2E9C-101B-9397-08002B2CF9AE}" pid="3" name="TaxCatchAll">
    <vt:lpwstr>
    </vt:lpwstr>
  </property>
  <property fmtid="{D5CDD505-2E9C-101B-9397-08002B2CF9AE}" pid="4" name="GrammarlyDocumentId">
    <vt:lpwstr>b9f3a0defe6b699674b4274dde92874c5a692f569ab0fe1a770980a2d7fe55ee</vt:lpwstr>
  </property>
</Properties>
</file>