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9 pr."/>
        <w:tag w:val="part_ccd892b21abd4d65b86fc4744840eda5"/>
        <w:lock w:val="sdtLocked"/>
        <w:richText/>
      </w:sdtPr>
      <w:sdtContent>
        <w:p>
          <w:pPr>
            <w:tabs>
              <w:tab w:val="center" w:pos="4819"/>
              <w:tab w:val="right" w:pos="9638"/>
            </w:tabs>
            <w:ind w:firstLine="720"/>
            <w:rPr>
              <w:rFonts w:ascii="Arial" w:hAnsi="Arial"/>
              <w:sz w:val="20"/>
            </w:rPr>
          </w:pPr>
        </w:p>
        <w:p>
          <w:pPr>
            <w:ind w:left="6521"/>
            <w:rPr>
              <w:color w:val="242424"/>
              <w:szCs w:val="24"/>
              <w:lang w:eastAsia="lt-LT"/>
            </w:rPr>
          </w:pPr>
          <w:r>
            <w:rPr>
              <w:color w:val="242424"/>
              <w:szCs w:val="24"/>
              <w:lang w:eastAsia="lt-LT"/>
            </w:rPr>
            <w:t xml:space="preserve">Ambulatorinių slaugos ir akušerijos ankstyvosios intervencijos paslaugų šeimoms </w:t>
          </w:r>
          <w:r>
            <w:rPr>
              <w:szCs w:val="24"/>
            </w:rPr>
            <w:t>teikimo reikalavimų tvarkos</w:t>
          </w:r>
          <w:r>
            <w:rPr>
              <w:color w:val="242424"/>
              <w:szCs w:val="24"/>
              <w:lang w:eastAsia="lt-LT"/>
            </w:rPr>
            <w:t xml:space="preserve"> aprašo</w:t>
          </w:r>
        </w:p>
        <w:p>
          <w:pPr>
            <w:ind w:left="6521"/>
            <w:rPr>
              <w:color w:val="242424"/>
              <w:szCs w:val="24"/>
              <w:lang w:eastAsia="lt-LT"/>
            </w:rPr>
          </w:pPr>
          <w:sdt>
            <w:sdtPr>
              <w:alias w:val="Numeris"/>
              <w:tag w:val="nr_ccd892b21abd4d65b86fc4744840eda5"/>
              <w:lock w:val="sdtLocked"/>
              <w:richText/>
            </w:sdtPr>
            <w:sdtContent>
              <w:r>
                <w:rPr>
                  <w:color w:val="242424"/>
                  <w:szCs w:val="24"/>
                  <w:lang w:eastAsia="lt-LT"/>
                </w:rPr>
                <w:t>9</w:t>
              </w:r>
            </w:sdtContent>
          </w:sdt>
          <w:r>
            <w:rPr>
              <w:color w:val="242424"/>
              <w:szCs w:val="24"/>
              <w:lang w:eastAsia="lt-LT"/>
            </w:rPr>
            <w:t xml:space="preserve"> priedas </w:t>
          </w:r>
        </w:p>
        <w:p>
          <w:pPr>
            <w:rPr>
              <w:szCs w:val="24"/>
            </w:rPr>
          </w:pPr>
        </w:p>
        <w:p>
          <w:pPr>
            <w:jc w:val="center"/>
            <w:rPr>
              <w:szCs w:val="24"/>
              <w:lang w:eastAsia="lt-LT"/>
            </w:rPr>
          </w:pPr>
          <w:sdt>
            <w:sdtPr>
              <w:alias w:val="Pavadinimas"/>
              <w:tag w:val="title_ccd892b21abd4d65b86fc4744840eda5"/>
              <w:lock w:val="sdtLocked"/>
              <w:richText/>
            </w:sdtPr>
            <w:sdtContent>
              <w:r>
                <w:rPr>
                  <w:szCs w:val="24"/>
                  <w:lang w:eastAsia="lt-LT"/>
                </w:rPr>
                <w:t>SMURTAS ŠEIMOJE</w:t>
              </w:r>
            </w:sdtContent>
          </w:sdt>
        </w:p>
        <w:p>
          <w:pPr>
            <w:jc w:val="center"/>
            <w:rPr>
              <w:color w:val="000000"/>
              <w:szCs w:val="24"/>
            </w:rPr>
          </w:pPr>
        </w:p>
        <w:tbl>
          <w:tblPr>
            <w:tblW w:w="0" w:type="auto"/>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30"/>
            <w:gridCol w:w="2824"/>
          </w:tblGrid>
          <w:tr>
            <w:tc>
              <w:tcPr>
                <w:tcW w:w="7830" w:type="dxa"/>
              </w:tcPr>
              <w:p>
                <w:pPr>
                  <w:rPr>
                    <w:szCs w:val="24"/>
                  </w:rPr>
                </w:pPr>
                <w:r>
                  <w:rPr>
                    <w:szCs w:val="24"/>
                  </w:rPr>
                  <w:t>VIZITO DATA:</w:t>
                </w:r>
              </w:p>
            </w:tc>
            <w:tc>
              <w:tcPr>
                <w:tcW w:w="2824" w:type="dxa"/>
              </w:tcPr>
              <w:p>
                <w:pPr>
                  <w:rPr>
                    <w:szCs w:val="24"/>
                  </w:rPr>
                </w:pPr>
                <w:r>
                  <w:rPr>
                    <w:szCs w:val="24"/>
                  </w:rPr>
                  <w:t>Nustatytas rizikos lygis:</w:t>
                </w:r>
              </w:p>
            </w:tc>
          </w:tr>
          <w:tr>
            <w:tc>
              <w:tcPr>
                <w:tcW w:w="7830" w:type="dxa"/>
              </w:tcPr>
              <w:p>
                <w:pPr>
                  <w:rPr>
                    <w:szCs w:val="24"/>
                  </w:rPr>
                </w:pPr>
                <w:r>
                  <w:rPr>
                    <w:szCs w:val="24"/>
                  </w:rPr>
                  <w:t>VIZITO NR. :</w:t>
                </w:r>
              </w:p>
            </w:tc>
            <w:tc>
              <w:tcPr>
                <w:tcW w:w="2824" w:type="dxa"/>
                <w:vMerge w:val="restart"/>
              </w:tcPr>
              <w:p>
                <w:pPr>
                  <w:rPr>
                    <w:szCs w:val="24"/>
                  </w:rPr>
                </w:pPr>
              </w:p>
            </w:tc>
          </w:tr>
          <w:tr>
            <w:tc>
              <w:tcPr>
                <w:tcW w:w="7830" w:type="dxa"/>
              </w:tcPr>
              <w:p>
                <w:pPr>
                  <w:rPr>
                    <w:szCs w:val="24"/>
                  </w:rPr>
                </w:pPr>
                <w:r>
                  <w:rPr>
                    <w:szCs w:val="24"/>
                  </w:rPr>
                  <w:t>ŠLS VARDAS PAVARDĖ:</w:t>
                </w:r>
              </w:p>
            </w:tc>
            <w:tc>
              <w:tcPr>
                <w:tcW w:w="2824" w:type="dxa"/>
                <w:vMerge/>
              </w:tcPr>
              <w:p>
                <w:pPr>
                  <w:rPr>
                    <w:szCs w:val="24"/>
                  </w:rPr>
                </w:pPr>
              </w:p>
            </w:tc>
          </w:tr>
          <w:tr>
            <w:tc>
              <w:tcPr>
                <w:tcW w:w="7830" w:type="dxa"/>
              </w:tcPr>
              <w:p>
                <w:pPr>
                  <w:rPr>
                    <w:szCs w:val="24"/>
                  </w:rPr>
                </w:pPr>
                <w:r>
                  <w:rPr>
                    <w:szCs w:val="24"/>
                  </w:rPr>
                  <w:t>NĖŠČIOSIOS VARDAS PAVARDĖ:</w:t>
                </w:r>
              </w:p>
            </w:tc>
            <w:tc>
              <w:tcPr>
                <w:tcW w:w="2824" w:type="dxa"/>
                <w:vMerge/>
              </w:tcPr>
              <w:p>
                <w:pPr>
                  <w:rPr>
                    <w:szCs w:val="24"/>
                  </w:rPr>
                </w:pPr>
              </w:p>
            </w:tc>
          </w:tr>
          <w:tr>
            <w:tc>
              <w:tcPr>
                <w:tcW w:w="10654" w:type="dxa"/>
                <w:gridSpan w:val="2"/>
              </w:tcPr>
              <w:p>
                <w:pPr>
                  <w:rPr>
                    <w:rFonts w:eastAsia="Calibri"/>
                    <w:szCs w:val="24"/>
                  </w:rPr>
                </w:pPr>
                <w:r>
                  <w:rPr>
                    <w:rFonts w:eastAsia="Calibri"/>
                    <w:szCs w:val="24"/>
                  </w:rPr>
                  <w:t>Tai nėščiosios ir jos šeimos narių gyvenimo vertinimas, siekiant išryškinti šeimos gyvenime vykstančius konfliktus ar krizes. Stengiamasi įvertinti visas keturias smurto artimoje aplinkoje formos: fizinį, psichologinį, seksualinį, ekonominį smurtą. Gali būti naudojamas vienos formos smurtas, tačiau dažniausiai pasitaiko keleto jų kombinacija. Smurtą artimoje aplinkoje atpažinti nėra lengva. Būtina vertinti smurto artimoje aplinkoje kriterijų visumą, nes, jis atpažįstamas ne iš vieno, o iš kelių kriterijų.</w:t>
                </w:r>
              </w:p>
              <w:p>
                <w:pPr>
                  <w:rPr>
                    <w:rFonts w:eastAsia="Calibri"/>
                    <w:szCs w:val="24"/>
                  </w:rPr>
                </w:pPr>
                <w:r>
                  <w:rPr>
                    <w:rFonts w:eastAsia="Calibri"/>
                    <w:szCs w:val="24"/>
                  </w:rPr>
                  <w:t>Rizikos faktoriai: fizinis, psichologinis, seksualinis, ekonominis smurtas.</w:t>
                </w:r>
              </w:p>
            </w:tc>
          </w:tr>
        </w:tbl>
        <w:p>
          <w:pPr>
            <w:spacing w:line="276" w:lineRule="auto"/>
            <w:rPr>
              <w:rFonts w:eastAsia="Calibri"/>
              <w:szCs w:val="24"/>
            </w:rPr>
          </w:pPr>
        </w:p>
        <w:p>
          <w:pPr>
            <w:rPr>
              <w:sz w:val="18"/>
              <w:szCs w:val="18"/>
            </w:rPr>
          </w:pPr>
        </w:p>
        <w:tbl>
          <w:tblPr>
            <w:tblW w:w="0" w:type="auto"/>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32"/>
            <w:gridCol w:w="851"/>
            <w:gridCol w:w="917"/>
            <w:gridCol w:w="3754"/>
          </w:tblGrid>
          <w:tr>
            <w:tc>
              <w:tcPr>
                <w:tcW w:w="5132" w:type="dxa"/>
              </w:tcPr>
              <w:p>
                <w:pPr>
                  <w:spacing w:line="276" w:lineRule="auto"/>
                  <w:rPr>
                    <w:rFonts w:eastAsia="CIDFont+F3"/>
                    <w:b/>
                    <w:szCs w:val="24"/>
                  </w:rPr>
                </w:pPr>
                <w:r>
                  <w:rPr>
                    <w:rFonts w:eastAsia="CIDFont+F3"/>
                    <w:b/>
                    <w:szCs w:val="24"/>
                  </w:rPr>
                  <w:t>Nėščiosios ir jos šeimos narių patirtys</w:t>
                </w:r>
              </w:p>
            </w:tc>
            <w:tc>
              <w:tcPr>
                <w:tcW w:w="851" w:type="dxa"/>
              </w:tcPr>
              <w:p>
                <w:pPr>
                  <w:spacing w:line="276" w:lineRule="auto"/>
                  <w:jc w:val="center"/>
                  <w:rPr>
                    <w:rFonts w:eastAsia="CIDFont+F3"/>
                    <w:b/>
                    <w:szCs w:val="24"/>
                  </w:rPr>
                </w:pPr>
                <w:r>
                  <w:rPr>
                    <w:rFonts w:eastAsia="CIDFont+F3"/>
                    <w:b/>
                    <w:szCs w:val="24"/>
                  </w:rPr>
                  <w:t>Ne</w:t>
                </w:r>
              </w:p>
            </w:tc>
            <w:tc>
              <w:tcPr>
                <w:tcW w:w="917" w:type="dxa"/>
              </w:tcPr>
              <w:p>
                <w:pPr>
                  <w:spacing w:line="276" w:lineRule="auto"/>
                  <w:jc w:val="center"/>
                  <w:rPr>
                    <w:rFonts w:eastAsia="CIDFont+F3"/>
                    <w:b/>
                    <w:szCs w:val="24"/>
                  </w:rPr>
                </w:pPr>
                <w:r>
                  <w:rPr>
                    <w:rFonts w:eastAsia="CIDFont+F3"/>
                    <w:b/>
                    <w:szCs w:val="24"/>
                  </w:rPr>
                  <w:t>Taip</w:t>
                </w:r>
              </w:p>
            </w:tc>
            <w:tc>
              <w:tcPr>
                <w:tcW w:w="3754" w:type="dxa"/>
              </w:tcPr>
              <w:p>
                <w:pPr>
                  <w:spacing w:line="276" w:lineRule="auto"/>
                  <w:rPr>
                    <w:rFonts w:eastAsia="CIDFont+F3"/>
                    <w:b/>
                    <w:szCs w:val="24"/>
                  </w:rPr>
                </w:pPr>
                <w:r>
                  <w:rPr>
                    <w:rFonts w:eastAsia="CIDFont+F3"/>
                    <w:b/>
                    <w:szCs w:val="24"/>
                  </w:rPr>
                  <w:t xml:space="preserve">Komentaras, aplinkybės </w:t>
                </w:r>
              </w:p>
              <w:p>
                <w:pPr>
                  <w:spacing w:line="276" w:lineRule="auto"/>
                  <w:rPr>
                    <w:rFonts w:eastAsia="CIDFont+F3"/>
                    <w:b/>
                    <w:szCs w:val="24"/>
                  </w:rPr>
                </w:pPr>
                <w:r>
                  <w:rPr>
                    <w:rFonts w:eastAsia="CIDFont+F3"/>
                    <w:b/>
                    <w:szCs w:val="24"/>
                  </w:rPr>
                  <w:t>(</w:t>
                </w:r>
                <w:r>
                  <w:rPr>
                    <w:rFonts w:eastAsia="CIDFont+F3"/>
                    <w:i/>
                    <w:szCs w:val="24"/>
                  </w:rPr>
                  <w:t>Įrašyti</w:t>
                </w:r>
                <w:r>
                  <w:rPr>
                    <w:rFonts w:eastAsia="CIDFont+F3"/>
                    <w:b/>
                    <w:szCs w:val="24"/>
                  </w:rPr>
                  <w:t>)</w:t>
                </w:r>
              </w:p>
            </w:tc>
          </w:tr>
          <w:tr>
            <w:tc>
              <w:tcPr>
                <w:tcW w:w="5132" w:type="dxa"/>
              </w:tcPr>
              <w:p>
                <w:pPr>
                  <w:ind w:left="720" w:hanging="360"/>
                  <w:rPr>
                    <w:rFonts w:eastAsia="CIDFont+F3"/>
                    <w:sz w:val="22"/>
                    <w:szCs w:val="22"/>
                  </w:rPr>
                </w:pPr>
                <w:r>
                  <w:rPr>
                    <w:color w:val="333333"/>
                    <w:sz w:val="22"/>
                    <w:szCs w:val="22"/>
                  </w:rPr>
                  <w:t>1.</w:t>
                  <w:tab/>
                </w:r>
                <w:r>
                  <w:rPr>
                    <w:rFonts w:eastAsia="Calibri"/>
                    <w:bCs/>
                    <w:color w:val="333333"/>
                    <w:sz w:val="22"/>
                    <w:szCs w:val="22"/>
                  </w:rPr>
                  <w:t>Ar jūsų partneris – itin pavydus?</w:t>
                </w:r>
              </w:p>
            </w:tc>
            <w:tc>
              <w:tcPr>
                <w:tcW w:w="851" w:type="dxa"/>
              </w:tcPr>
              <w:p>
                <w:pPr>
                  <w:spacing w:line="276" w:lineRule="auto"/>
                  <w:jc w:val="center"/>
                  <w:rPr>
                    <w:rFonts w:eastAsia="CIDFont+F3"/>
                    <w:b/>
                    <w:szCs w:val="24"/>
                  </w:rPr>
                </w:pPr>
              </w:p>
            </w:tc>
            <w:tc>
              <w:tcPr>
                <w:tcW w:w="917" w:type="dxa"/>
              </w:tcPr>
              <w:p>
                <w:pPr>
                  <w:spacing w:line="276" w:lineRule="auto"/>
                  <w:jc w:val="center"/>
                  <w:rPr>
                    <w:rFonts w:eastAsia="CIDFont+F3"/>
                    <w:b/>
                    <w:szCs w:val="24"/>
                  </w:rPr>
                </w:pPr>
              </w:p>
            </w:tc>
            <w:tc>
              <w:tcPr>
                <w:tcW w:w="3754" w:type="dxa"/>
              </w:tcPr>
              <w:p>
                <w:pPr>
                  <w:spacing w:line="276" w:lineRule="auto"/>
                  <w:rPr>
                    <w:rFonts w:eastAsia="CIDFont+F3"/>
                    <w:b/>
                    <w:szCs w:val="24"/>
                  </w:rPr>
                </w:pPr>
              </w:p>
            </w:tc>
          </w:tr>
          <w:tr>
            <w:tc>
              <w:tcPr>
                <w:tcW w:w="5132" w:type="dxa"/>
              </w:tcPr>
              <w:p>
                <w:pPr>
                  <w:rPr>
                    <w:sz w:val="8"/>
                    <w:szCs w:val="8"/>
                  </w:rPr>
                </w:pPr>
              </w:p>
              <w:p>
                <w:pPr>
                  <w:shd w:val="clear" w:color="auto" w:fill="FFFFFF"/>
                  <w:ind w:left="720" w:hanging="360"/>
                  <w:jc w:val="both"/>
                  <w:rPr>
                    <w:color w:val="333333"/>
                    <w:sz w:val="22"/>
                    <w:szCs w:val="22"/>
                  </w:rPr>
                </w:pPr>
                <w:r>
                  <w:rPr>
                    <w:color w:val="333333"/>
                    <w:sz w:val="22"/>
                    <w:szCs w:val="22"/>
                  </w:rPr>
                  <w:t>2.</w:t>
                  <w:tab/>
                </w:r>
                <w:r>
                  <w:rPr>
                    <w:bCs/>
                    <w:color w:val="333333"/>
                    <w:sz w:val="22"/>
                    <w:szCs w:val="22"/>
                  </w:rPr>
                  <w:t>Ar partneriui turite nuolat atsiskaityti apie savo veiklą?</w:t>
                </w:r>
              </w:p>
            </w:tc>
            <w:tc>
              <w:tcPr>
                <w:tcW w:w="851" w:type="dxa"/>
              </w:tcPr>
              <w:p>
                <w:pPr>
                  <w:spacing w:line="276" w:lineRule="auto"/>
                  <w:jc w:val="center"/>
                  <w:rPr>
                    <w:rFonts w:eastAsia="CIDFont+F3"/>
                    <w:b/>
                    <w:szCs w:val="24"/>
                  </w:rPr>
                </w:pPr>
              </w:p>
            </w:tc>
            <w:tc>
              <w:tcPr>
                <w:tcW w:w="917" w:type="dxa"/>
              </w:tcPr>
              <w:p>
                <w:pPr>
                  <w:spacing w:line="276" w:lineRule="auto"/>
                  <w:jc w:val="center"/>
                  <w:rPr>
                    <w:rFonts w:eastAsia="CIDFont+F3"/>
                    <w:b/>
                    <w:szCs w:val="24"/>
                  </w:rPr>
                </w:pPr>
              </w:p>
            </w:tc>
            <w:tc>
              <w:tcPr>
                <w:tcW w:w="3754" w:type="dxa"/>
              </w:tcPr>
              <w:p>
                <w:pPr>
                  <w:spacing w:line="276" w:lineRule="auto"/>
                  <w:rPr>
                    <w:rFonts w:eastAsia="CIDFont+F3"/>
                    <w:b/>
                    <w:szCs w:val="24"/>
                  </w:rPr>
                </w:pPr>
              </w:p>
            </w:tc>
          </w:tr>
          <w:tr>
            <w:tc>
              <w:tcPr>
                <w:tcW w:w="5132" w:type="dxa"/>
              </w:tcPr>
              <w:p>
                <w:pPr>
                  <w:rPr>
                    <w:sz w:val="8"/>
                    <w:szCs w:val="8"/>
                  </w:rPr>
                </w:pPr>
              </w:p>
              <w:p>
                <w:pPr>
                  <w:shd w:val="clear" w:color="auto" w:fill="FFFFFF"/>
                  <w:ind w:left="720" w:hanging="360"/>
                  <w:jc w:val="both"/>
                  <w:rPr>
                    <w:color w:val="333333"/>
                    <w:sz w:val="22"/>
                    <w:szCs w:val="22"/>
                  </w:rPr>
                </w:pPr>
                <w:r>
                  <w:rPr>
                    <w:color w:val="333333"/>
                    <w:sz w:val="22"/>
                    <w:szCs w:val="22"/>
                  </w:rPr>
                  <w:t>3.</w:t>
                  <w:tab/>
                </w:r>
                <w:r>
                  <w:rPr>
                    <w:bCs/>
                    <w:color w:val="333333"/>
                    <w:sz w:val="22"/>
                    <w:szCs w:val="22"/>
                  </w:rPr>
                  <w:t>Ar partnerio rankose – visos šeimos pajamos?</w:t>
                </w:r>
              </w:p>
            </w:tc>
            <w:tc>
              <w:tcPr>
                <w:tcW w:w="851" w:type="dxa"/>
              </w:tcPr>
              <w:p>
                <w:pPr>
                  <w:spacing w:line="276" w:lineRule="auto"/>
                  <w:jc w:val="center"/>
                  <w:rPr>
                    <w:rFonts w:eastAsia="CIDFont+F3"/>
                    <w:b/>
                    <w:szCs w:val="24"/>
                  </w:rPr>
                </w:pPr>
              </w:p>
            </w:tc>
            <w:tc>
              <w:tcPr>
                <w:tcW w:w="917" w:type="dxa"/>
              </w:tcPr>
              <w:p>
                <w:pPr>
                  <w:spacing w:line="276" w:lineRule="auto"/>
                  <w:jc w:val="center"/>
                  <w:rPr>
                    <w:rFonts w:eastAsia="CIDFont+F3"/>
                    <w:b/>
                    <w:szCs w:val="24"/>
                  </w:rPr>
                </w:pPr>
              </w:p>
            </w:tc>
            <w:tc>
              <w:tcPr>
                <w:tcW w:w="3754" w:type="dxa"/>
              </w:tcPr>
              <w:p>
                <w:pPr>
                  <w:spacing w:line="276" w:lineRule="auto"/>
                  <w:rPr>
                    <w:rFonts w:eastAsia="CIDFont+F3"/>
                    <w:b/>
                    <w:szCs w:val="24"/>
                  </w:rPr>
                </w:pPr>
              </w:p>
            </w:tc>
          </w:tr>
          <w:tr>
            <w:tc>
              <w:tcPr>
                <w:tcW w:w="5132" w:type="dxa"/>
              </w:tcPr>
              <w:p>
                <w:pPr>
                  <w:ind w:left="720" w:hanging="360"/>
                  <w:rPr>
                    <w:rFonts w:eastAsia="CIDFont+F3"/>
                    <w:sz w:val="22"/>
                    <w:szCs w:val="22"/>
                  </w:rPr>
                </w:pPr>
                <w:r>
                  <w:rPr>
                    <w:color w:val="333333"/>
                    <w:sz w:val="22"/>
                    <w:szCs w:val="22"/>
                  </w:rPr>
                  <w:t>4.</w:t>
                  <w:tab/>
                </w:r>
                <w:r>
                  <w:rPr>
                    <w:bCs/>
                    <w:color w:val="333333"/>
                    <w:sz w:val="22"/>
                    <w:szCs w:val="22"/>
                  </w:rPr>
                  <w:t>Ar partneriui jus įskaudinus, jis kaltina viską ir visus, išskyrus save?</w:t>
                </w:r>
              </w:p>
            </w:tc>
            <w:tc>
              <w:tcPr>
                <w:tcW w:w="851" w:type="dxa"/>
              </w:tcPr>
              <w:p>
                <w:pPr>
                  <w:spacing w:line="276" w:lineRule="auto"/>
                  <w:jc w:val="center"/>
                  <w:rPr>
                    <w:rFonts w:eastAsia="CIDFont+F3"/>
                    <w:b/>
                    <w:szCs w:val="24"/>
                  </w:rPr>
                </w:pPr>
              </w:p>
            </w:tc>
            <w:tc>
              <w:tcPr>
                <w:tcW w:w="917" w:type="dxa"/>
              </w:tcPr>
              <w:p>
                <w:pPr>
                  <w:spacing w:line="276" w:lineRule="auto"/>
                  <w:jc w:val="center"/>
                  <w:rPr>
                    <w:rFonts w:eastAsia="CIDFont+F3"/>
                    <w:b/>
                    <w:szCs w:val="24"/>
                  </w:rPr>
                </w:pPr>
              </w:p>
            </w:tc>
            <w:tc>
              <w:tcPr>
                <w:tcW w:w="3754" w:type="dxa"/>
              </w:tcPr>
              <w:p>
                <w:pPr>
                  <w:spacing w:line="276" w:lineRule="auto"/>
                  <w:rPr>
                    <w:rFonts w:eastAsia="CIDFont+F3"/>
                    <w:b/>
                    <w:szCs w:val="24"/>
                  </w:rPr>
                </w:pPr>
              </w:p>
            </w:tc>
          </w:tr>
          <w:tr>
            <w:tc>
              <w:tcPr>
                <w:tcW w:w="5132" w:type="dxa"/>
              </w:tcPr>
              <w:p>
                <w:pPr>
                  <w:rPr>
                    <w:sz w:val="8"/>
                    <w:szCs w:val="8"/>
                  </w:rPr>
                </w:pPr>
              </w:p>
              <w:p>
                <w:pPr>
                  <w:shd w:val="clear" w:color="auto" w:fill="FFFFFF"/>
                  <w:ind w:left="720" w:hanging="360"/>
                  <w:jc w:val="both"/>
                  <w:rPr>
                    <w:color w:val="333333"/>
                    <w:sz w:val="22"/>
                    <w:szCs w:val="22"/>
                  </w:rPr>
                </w:pPr>
                <w:r>
                  <w:rPr>
                    <w:color w:val="333333"/>
                    <w:sz w:val="22"/>
                    <w:szCs w:val="22"/>
                  </w:rPr>
                  <w:t>5.</w:t>
                  <w:tab/>
                </w:r>
                <w:r>
                  <w:rPr>
                    <w:bCs/>
                    <w:color w:val="333333"/>
                    <w:sz w:val="22"/>
                    <w:szCs w:val="22"/>
                  </w:rPr>
                  <w:t>Ar jaučiatės prastesnė už savo partnerį?</w:t>
                </w:r>
              </w:p>
            </w:tc>
            <w:tc>
              <w:tcPr>
                <w:tcW w:w="851" w:type="dxa"/>
              </w:tcPr>
              <w:p>
                <w:pPr>
                  <w:spacing w:line="276" w:lineRule="auto"/>
                  <w:jc w:val="center"/>
                  <w:rPr>
                    <w:rFonts w:eastAsia="CIDFont+F3"/>
                    <w:b/>
                    <w:szCs w:val="24"/>
                  </w:rPr>
                </w:pPr>
              </w:p>
            </w:tc>
            <w:tc>
              <w:tcPr>
                <w:tcW w:w="917" w:type="dxa"/>
              </w:tcPr>
              <w:p>
                <w:pPr>
                  <w:spacing w:line="276" w:lineRule="auto"/>
                  <w:jc w:val="center"/>
                  <w:rPr>
                    <w:rFonts w:eastAsia="CIDFont+F3"/>
                    <w:b/>
                    <w:szCs w:val="24"/>
                  </w:rPr>
                </w:pPr>
              </w:p>
            </w:tc>
            <w:tc>
              <w:tcPr>
                <w:tcW w:w="3754" w:type="dxa"/>
              </w:tcPr>
              <w:p>
                <w:pPr>
                  <w:spacing w:line="276" w:lineRule="auto"/>
                  <w:rPr>
                    <w:rFonts w:eastAsia="CIDFont+F3"/>
                    <w:b/>
                    <w:szCs w:val="24"/>
                  </w:rPr>
                </w:pPr>
              </w:p>
            </w:tc>
          </w:tr>
          <w:tr>
            <w:tc>
              <w:tcPr>
                <w:tcW w:w="5132" w:type="dxa"/>
              </w:tcPr>
              <w:p>
                <w:pPr>
                  <w:rPr>
                    <w:sz w:val="8"/>
                    <w:szCs w:val="8"/>
                  </w:rPr>
                </w:pPr>
              </w:p>
              <w:p>
                <w:pPr>
                  <w:shd w:val="clear" w:color="auto" w:fill="FFFFFF"/>
                  <w:ind w:left="720" w:hanging="360"/>
                  <w:jc w:val="both"/>
                  <w:rPr>
                    <w:color w:val="333333"/>
                    <w:sz w:val="22"/>
                    <w:szCs w:val="22"/>
                  </w:rPr>
                </w:pPr>
                <w:r>
                  <w:rPr>
                    <w:color w:val="333333"/>
                    <w:sz w:val="22"/>
                    <w:szCs w:val="22"/>
                  </w:rPr>
                  <w:t>6.</w:t>
                  <w:tab/>
                </w:r>
                <w:r>
                  <w:rPr>
                    <w:bCs/>
                    <w:color w:val="333333"/>
                    <w:sz w:val="22"/>
                    <w:szCs w:val="22"/>
                  </w:rPr>
                  <w:t>Ar draugų būryje partneris pasakoja istorijas, kokia jūs nevykusi?</w:t>
                </w:r>
              </w:p>
            </w:tc>
            <w:tc>
              <w:tcPr>
                <w:tcW w:w="851" w:type="dxa"/>
              </w:tcPr>
              <w:p>
                <w:pPr>
                  <w:spacing w:line="276" w:lineRule="auto"/>
                  <w:jc w:val="center"/>
                  <w:rPr>
                    <w:rFonts w:eastAsia="CIDFont+F3"/>
                    <w:b/>
                    <w:szCs w:val="24"/>
                  </w:rPr>
                </w:pPr>
              </w:p>
            </w:tc>
            <w:tc>
              <w:tcPr>
                <w:tcW w:w="917" w:type="dxa"/>
              </w:tcPr>
              <w:p>
                <w:pPr>
                  <w:spacing w:line="276" w:lineRule="auto"/>
                  <w:jc w:val="center"/>
                  <w:rPr>
                    <w:rFonts w:eastAsia="CIDFont+F3"/>
                    <w:b/>
                    <w:szCs w:val="24"/>
                  </w:rPr>
                </w:pPr>
              </w:p>
            </w:tc>
            <w:tc>
              <w:tcPr>
                <w:tcW w:w="3754" w:type="dxa"/>
              </w:tcPr>
              <w:p>
                <w:pPr>
                  <w:spacing w:line="276" w:lineRule="auto"/>
                  <w:rPr>
                    <w:rFonts w:eastAsia="CIDFont+F3"/>
                    <w:b/>
                    <w:szCs w:val="24"/>
                  </w:rPr>
                </w:pPr>
              </w:p>
            </w:tc>
          </w:tr>
          <w:tr>
            <w:trPr>
              <w:trHeight w:val="825"/>
            </w:trPr>
            <w:tc>
              <w:tcPr>
                <w:tcW w:w="5132" w:type="dxa"/>
              </w:tcPr>
              <w:p>
                <w:pPr>
                  <w:rPr>
                    <w:sz w:val="8"/>
                    <w:szCs w:val="8"/>
                  </w:rPr>
                </w:pPr>
              </w:p>
              <w:p>
                <w:pPr>
                  <w:shd w:val="clear" w:color="auto" w:fill="FFFFFF"/>
                  <w:ind w:left="720" w:hanging="360"/>
                  <w:jc w:val="both"/>
                  <w:rPr>
                    <w:color w:val="333333"/>
                    <w:sz w:val="22"/>
                    <w:szCs w:val="22"/>
                  </w:rPr>
                </w:pPr>
                <w:r>
                  <w:rPr>
                    <w:color w:val="333333"/>
                    <w:sz w:val="22"/>
                    <w:szCs w:val="22"/>
                  </w:rPr>
                  <w:t>7.</w:t>
                  <w:tab/>
                </w:r>
                <w:r>
                  <w:rPr>
                    <w:bCs/>
                    <w:color w:val="333333"/>
                    <w:sz w:val="22"/>
                    <w:szCs w:val="22"/>
                  </w:rPr>
                  <w:t>Ar partneris priekaištauja dėl neva provokuojančio elgesio arba pernelyg seksualių drabužių?</w:t>
                </w:r>
              </w:p>
            </w:tc>
            <w:tc>
              <w:tcPr>
                <w:tcW w:w="851" w:type="dxa"/>
              </w:tcPr>
              <w:p>
                <w:pPr>
                  <w:spacing w:line="276" w:lineRule="auto"/>
                  <w:jc w:val="center"/>
                  <w:rPr>
                    <w:rFonts w:eastAsia="CIDFont+F3"/>
                    <w:b/>
                    <w:szCs w:val="24"/>
                  </w:rPr>
                </w:pPr>
              </w:p>
            </w:tc>
            <w:tc>
              <w:tcPr>
                <w:tcW w:w="917" w:type="dxa"/>
              </w:tcPr>
              <w:p>
                <w:pPr>
                  <w:spacing w:line="276" w:lineRule="auto"/>
                  <w:jc w:val="center"/>
                  <w:rPr>
                    <w:rFonts w:eastAsia="CIDFont+F3"/>
                    <w:b/>
                    <w:szCs w:val="24"/>
                  </w:rPr>
                </w:pPr>
              </w:p>
            </w:tc>
            <w:tc>
              <w:tcPr>
                <w:tcW w:w="3754" w:type="dxa"/>
              </w:tcPr>
              <w:p>
                <w:pPr>
                  <w:spacing w:line="276" w:lineRule="auto"/>
                  <w:rPr>
                    <w:rFonts w:eastAsia="CIDFont+F3"/>
                    <w:b/>
                    <w:szCs w:val="24"/>
                  </w:rPr>
                </w:pPr>
              </w:p>
            </w:tc>
          </w:tr>
          <w:tr>
            <w:tc>
              <w:tcPr>
                <w:tcW w:w="5132" w:type="dxa"/>
              </w:tcPr>
              <w:p>
                <w:pPr>
                  <w:ind w:left="720" w:hanging="360"/>
                  <w:rPr>
                    <w:rFonts w:eastAsia="CIDFont+F3"/>
                    <w:sz w:val="22"/>
                    <w:szCs w:val="22"/>
                  </w:rPr>
                </w:pPr>
                <w:r>
                  <w:rPr>
                    <w:color w:val="333333"/>
                    <w:sz w:val="22"/>
                    <w:szCs w:val="22"/>
                  </w:rPr>
                  <w:t>8.</w:t>
                  <w:tab/>
                </w:r>
                <w:r>
                  <w:rPr>
                    <w:rFonts w:eastAsia="Calibri"/>
                    <w:bCs/>
                    <w:color w:val="333333"/>
                    <w:sz w:val="22"/>
                    <w:szCs w:val="22"/>
                  </w:rPr>
                  <w:t>Ar partneris lieja pyktį ant daiktų jūsų akivaizdoje?</w:t>
                </w:r>
              </w:p>
            </w:tc>
            <w:tc>
              <w:tcPr>
                <w:tcW w:w="851" w:type="dxa"/>
              </w:tcPr>
              <w:p>
                <w:pPr>
                  <w:spacing w:line="276" w:lineRule="auto"/>
                  <w:jc w:val="center"/>
                  <w:rPr>
                    <w:rFonts w:eastAsia="CIDFont+F3"/>
                    <w:b/>
                    <w:szCs w:val="24"/>
                  </w:rPr>
                </w:pPr>
              </w:p>
            </w:tc>
            <w:tc>
              <w:tcPr>
                <w:tcW w:w="917" w:type="dxa"/>
              </w:tcPr>
              <w:p>
                <w:pPr>
                  <w:spacing w:line="276" w:lineRule="auto"/>
                  <w:jc w:val="center"/>
                  <w:rPr>
                    <w:rFonts w:eastAsia="CIDFont+F3"/>
                    <w:b/>
                    <w:szCs w:val="24"/>
                  </w:rPr>
                </w:pPr>
              </w:p>
            </w:tc>
            <w:tc>
              <w:tcPr>
                <w:tcW w:w="3754" w:type="dxa"/>
              </w:tcPr>
              <w:p>
                <w:pPr>
                  <w:spacing w:line="276" w:lineRule="auto"/>
                  <w:rPr>
                    <w:rFonts w:eastAsia="CIDFont+F3"/>
                    <w:b/>
                    <w:szCs w:val="24"/>
                  </w:rPr>
                </w:pPr>
              </w:p>
            </w:tc>
          </w:tr>
          <w:tr>
            <w:tc>
              <w:tcPr>
                <w:tcW w:w="5132" w:type="dxa"/>
              </w:tcPr>
              <w:p>
                <w:pPr>
                  <w:rPr>
                    <w:sz w:val="8"/>
                    <w:szCs w:val="8"/>
                  </w:rPr>
                </w:pPr>
              </w:p>
              <w:p>
                <w:pPr>
                  <w:shd w:val="clear" w:color="auto" w:fill="FFFFFF"/>
                  <w:ind w:left="720" w:hanging="360"/>
                  <w:jc w:val="both"/>
                  <w:rPr>
                    <w:color w:val="333333"/>
                    <w:sz w:val="22"/>
                    <w:szCs w:val="22"/>
                  </w:rPr>
                </w:pPr>
                <w:r>
                  <w:rPr>
                    <w:color w:val="333333"/>
                    <w:sz w:val="22"/>
                    <w:szCs w:val="22"/>
                  </w:rPr>
                  <w:t>9.</w:t>
                  <w:tab/>
                </w:r>
                <w:r>
                  <w:rPr>
                    <w:bCs/>
                    <w:color w:val="333333"/>
                    <w:sz w:val="22"/>
                    <w:szCs w:val="22"/>
                  </w:rPr>
                  <w:t>Ar partneris sukelia jums fizinį skausmą?</w:t>
                </w:r>
              </w:p>
            </w:tc>
            <w:tc>
              <w:tcPr>
                <w:tcW w:w="851" w:type="dxa"/>
              </w:tcPr>
              <w:p>
                <w:pPr>
                  <w:spacing w:line="276" w:lineRule="auto"/>
                  <w:jc w:val="center"/>
                  <w:rPr>
                    <w:rFonts w:eastAsia="CIDFont+F3"/>
                    <w:b/>
                    <w:szCs w:val="24"/>
                  </w:rPr>
                </w:pPr>
              </w:p>
            </w:tc>
            <w:tc>
              <w:tcPr>
                <w:tcW w:w="917" w:type="dxa"/>
              </w:tcPr>
              <w:p>
                <w:pPr>
                  <w:spacing w:line="276" w:lineRule="auto"/>
                  <w:jc w:val="center"/>
                  <w:rPr>
                    <w:rFonts w:eastAsia="CIDFont+F3"/>
                    <w:b/>
                    <w:szCs w:val="24"/>
                  </w:rPr>
                </w:pPr>
              </w:p>
            </w:tc>
            <w:tc>
              <w:tcPr>
                <w:tcW w:w="3754" w:type="dxa"/>
              </w:tcPr>
              <w:p>
                <w:pPr>
                  <w:spacing w:line="276" w:lineRule="auto"/>
                  <w:rPr>
                    <w:rFonts w:eastAsia="CIDFont+F3"/>
                    <w:b/>
                    <w:szCs w:val="24"/>
                  </w:rPr>
                </w:pPr>
              </w:p>
            </w:tc>
          </w:tr>
          <w:tr>
            <w:trPr>
              <w:trHeight w:val="640"/>
            </w:trPr>
            <w:tc>
              <w:tcPr>
                <w:tcW w:w="5132" w:type="dxa"/>
                <w:shd w:val="clear" w:color="auto" w:fill="auto"/>
              </w:tcPr>
              <w:p>
                <w:pPr>
                  <w:rPr>
                    <w:sz w:val="8"/>
                    <w:szCs w:val="8"/>
                  </w:rPr>
                </w:pPr>
              </w:p>
              <w:p>
                <w:pPr>
                  <w:shd w:val="clear" w:color="auto" w:fill="FFFFFF"/>
                  <w:ind w:left="720" w:hanging="360"/>
                  <w:jc w:val="both"/>
                  <w:rPr>
                    <w:color w:val="333333"/>
                    <w:sz w:val="22"/>
                    <w:szCs w:val="22"/>
                  </w:rPr>
                </w:pPr>
                <w:r>
                  <w:rPr>
                    <w:color w:val="333333"/>
                    <w:sz w:val="22"/>
                    <w:szCs w:val="22"/>
                  </w:rPr>
                  <w:t>10.</w:t>
                  <w:tab/>
                </w:r>
                <w:r>
                  <w:rPr>
                    <w:bCs/>
                    <w:color w:val="333333"/>
                    <w:sz w:val="22"/>
                    <w:szCs w:val="22"/>
                  </w:rPr>
                  <w:t>Ar partneris verčia lytiškai santykiauti prieš jūsų valią?</w:t>
                </w:r>
              </w:p>
            </w:tc>
            <w:tc>
              <w:tcPr>
                <w:tcW w:w="851" w:type="dxa"/>
                <w:shd w:val="clear" w:color="auto" w:fill="auto"/>
              </w:tcPr>
              <w:p>
                <w:pPr>
                  <w:spacing w:line="276" w:lineRule="auto"/>
                  <w:jc w:val="center"/>
                  <w:rPr>
                    <w:rFonts w:eastAsia="CIDFont+F3"/>
                    <w:b/>
                    <w:szCs w:val="24"/>
                  </w:rPr>
                </w:pPr>
              </w:p>
            </w:tc>
            <w:tc>
              <w:tcPr>
                <w:tcW w:w="917" w:type="dxa"/>
                <w:shd w:val="clear" w:color="auto" w:fill="auto"/>
              </w:tcPr>
              <w:p>
                <w:pPr>
                  <w:spacing w:line="276" w:lineRule="auto"/>
                  <w:jc w:val="center"/>
                  <w:rPr>
                    <w:rFonts w:eastAsia="CIDFont+F3"/>
                    <w:b/>
                    <w:szCs w:val="24"/>
                  </w:rPr>
                </w:pPr>
              </w:p>
            </w:tc>
            <w:tc>
              <w:tcPr>
                <w:tcW w:w="3754" w:type="dxa"/>
                <w:shd w:val="clear" w:color="auto" w:fill="auto"/>
              </w:tcPr>
              <w:p>
                <w:pPr>
                  <w:spacing w:line="276" w:lineRule="auto"/>
                  <w:rPr>
                    <w:rFonts w:eastAsia="CIDFont+F3"/>
                    <w:b/>
                    <w:szCs w:val="24"/>
                  </w:rPr>
                </w:pPr>
              </w:p>
            </w:tc>
          </w:tr>
        </w:tbl>
        <w:p>
          <w:pPr>
            <w:spacing w:line="276" w:lineRule="auto"/>
            <w:rPr>
              <w:rFonts w:ascii="Calibri" w:eastAsia="Calibri" w:hAnsi="Calibri"/>
              <w:sz w:val="22"/>
              <w:szCs w:val="22"/>
            </w:rPr>
          </w:pPr>
        </w:p>
        <w:p>
          <w:pPr>
            <w:spacing w:line="276" w:lineRule="auto"/>
            <w:rPr>
              <w:rFonts w:eastAsia="Calibri"/>
              <w:color w:val="000000"/>
              <w:szCs w:val="24"/>
            </w:rPr>
          </w:pPr>
          <w:r>
            <w:rPr>
              <w:rFonts w:eastAsia="Calibri"/>
              <w:color w:val="000000"/>
              <w:szCs w:val="24"/>
            </w:rPr>
            <w:t xml:space="preserve">RIZIKOS LYGIAI: </w:t>
          </w:r>
        </w:p>
        <w:tbl>
          <w:tblPr>
            <w:tblW w:w="10653"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5"/>
            <w:gridCol w:w="9288"/>
          </w:tblGrid>
          <w:tr>
            <w:trPr>
              <w:trHeight w:val="1729"/>
            </w:trPr>
            <w:tc>
              <w:tcPr>
                <w:tcW w:w="1365" w:type="dxa"/>
                <w:vAlign w:val="center"/>
              </w:tcPr>
              <w:p>
                <w:pPr>
                  <w:jc w:val="center"/>
                  <w:rPr>
                    <w:rFonts w:eastAsia="Calibri"/>
                    <w:sz w:val="28"/>
                    <w:szCs w:val="28"/>
                  </w:rPr>
                </w:pPr>
                <w:r>
                  <w:rPr>
                    <w:rFonts w:eastAsia="Calibri"/>
                    <w:sz w:val="28"/>
                    <w:szCs w:val="28"/>
                  </w:rPr>
                  <w:t>0</w:t>
                </w:r>
              </w:p>
            </w:tc>
            <w:tc>
              <w:tcPr>
                <w:tcW w:w="9288" w:type="dxa"/>
              </w:tcPr>
              <w:p>
                <w:pPr>
                  <w:rPr>
                    <w:rFonts w:eastAsia="Calibri"/>
                    <w:szCs w:val="24"/>
                  </w:rPr>
                </w:pPr>
                <w:r>
                  <w:rPr>
                    <w:rFonts w:eastAsia="Calibri"/>
                    <w:szCs w:val="24"/>
                  </w:rPr>
                  <w:sym w:font="Symbol" w:char="F0B7"/>
                  <w:t xml:space="preserve"> Nėščioji pasitiki savimi ir savo partneriu, jaučiasi lygiaverte partnere santykiuose, nejaučia įtampos esant jos partneriui šalia.</w:t>
                </w:r>
              </w:p>
              <w:p>
                <w:pPr>
                  <w:rPr>
                    <w:rFonts w:eastAsia="Calibri"/>
                    <w:szCs w:val="24"/>
                  </w:rPr>
                </w:pPr>
                <w:r>
                  <w:rPr>
                    <w:rFonts w:eastAsia="Calibri"/>
                    <w:szCs w:val="24"/>
                  </w:rPr>
                  <w:sym w:font="Symbol" w:char="F0B7"/>
                  <w:t xml:space="preserve"> Nėščioji jaučiasi saugi finansine prasme, nes pati gali save išlaikyti ir kontroliuoja savo pajamas.</w:t>
                </w:r>
              </w:p>
              <w:p>
                <w:pPr>
                  <w:rPr>
                    <w:rFonts w:eastAsia="Calibri"/>
                    <w:szCs w:val="24"/>
                  </w:rPr>
                </w:pPr>
                <w:r>
                  <w:rPr>
                    <w:rFonts w:eastAsia="Calibri"/>
                    <w:szCs w:val="24"/>
                  </w:rPr>
                  <w:sym w:font="Symbol" w:char="F0B7"/>
                  <w:t xml:space="preserve"> Nėščioji nepatiria, nei fizinio, nei seksualinio smurto šeimoje, tiek žodžių, tiek veiksmų pavidalu.</w:t>
                </w:r>
              </w:p>
            </w:tc>
          </w:tr>
          <w:tr>
            <w:trPr>
              <w:trHeight w:val="2018"/>
            </w:trPr>
            <w:tc>
              <w:tcPr>
                <w:tcW w:w="1365" w:type="dxa"/>
                <w:vAlign w:val="center"/>
              </w:tcPr>
              <w:p>
                <w:pPr>
                  <w:jc w:val="center"/>
                  <w:rPr>
                    <w:rFonts w:eastAsia="Calibri"/>
                    <w:sz w:val="28"/>
                    <w:szCs w:val="28"/>
                  </w:rPr>
                </w:pPr>
                <w:r>
                  <w:rPr>
                    <w:rFonts w:eastAsia="Calibri"/>
                    <w:sz w:val="28"/>
                    <w:szCs w:val="28"/>
                  </w:rPr>
                  <w:t>1</w:t>
                </w:r>
              </w:p>
            </w:tc>
            <w:tc>
              <w:tcPr>
                <w:tcW w:w="9288" w:type="dxa"/>
              </w:tcPr>
              <w:p>
                <w:pPr>
                  <w:widowControl w:val="0"/>
                  <w:rPr>
                    <w:szCs w:val="24"/>
                  </w:rPr>
                </w:pPr>
                <w:r>
                  <w:rPr>
                    <w:szCs w:val="24"/>
                  </w:rPr>
                  <w:sym w:font="Symbol" w:char="F0B7"/>
                  <w:t xml:space="preserve"> Nėščioji pasitiki savimi, tačiau jos partneris kartais ja manipuliuoja, norėdamas nepripažinti savo klaidų ir visą kaltę suversti nėščiajai.</w:t>
                </w:r>
              </w:p>
              <w:p>
                <w:pPr>
                  <w:widowControl w:val="0"/>
                  <w:rPr>
                    <w:szCs w:val="24"/>
                  </w:rPr>
                </w:pPr>
                <w:r>
                  <w:rPr>
                    <w:szCs w:val="24"/>
                  </w:rPr>
                  <w:sym w:font="Symbol" w:char="F0B7"/>
                  <w:t xml:space="preserve"> Nėščioji kartais jaučiasi nepasitikinti savimi, prastesnė už savo partnerį, nes iš jo nesulaukia padrąsinimo žodžių, kartais sulaukia pašaipų.</w:t>
                </w:r>
              </w:p>
              <w:p>
                <w:pPr>
                  <w:rPr>
                    <w:rFonts w:eastAsia="Calibri"/>
                    <w:szCs w:val="24"/>
                  </w:rPr>
                </w:pPr>
                <w:r>
                  <w:rPr>
                    <w:rFonts w:eastAsia="Calibri"/>
                    <w:szCs w:val="24"/>
                  </w:rPr>
                  <w:sym w:font="Symbol" w:char="F0B7"/>
                  <w:t xml:space="preserve"> Nėščioji jaučiasi saugi finansine prasme, nes pati gali save išlaikyti ir kontroliuoja savo pajamas.</w:t>
                </w:r>
              </w:p>
              <w:p>
                <w:pPr>
                  <w:rPr>
                    <w:rFonts w:eastAsia="Calibri"/>
                    <w:szCs w:val="24"/>
                  </w:rPr>
                </w:pPr>
                <w:r>
                  <w:rPr>
                    <w:rFonts w:eastAsia="Calibri"/>
                    <w:szCs w:val="24"/>
                  </w:rPr>
                  <w:sym w:font="Symbol" w:char="F0B7"/>
                  <w:t xml:space="preserve"> Nėščioji niekada nepatiria, nei fizinio, nei seksualinio smurto šeimoje.</w:t>
                </w:r>
              </w:p>
            </w:tc>
          </w:tr>
          <w:tr>
            <w:trPr>
              <w:trHeight w:val="1729"/>
            </w:trPr>
            <w:tc>
              <w:tcPr>
                <w:tcW w:w="1365" w:type="dxa"/>
                <w:vAlign w:val="center"/>
              </w:tcPr>
              <w:p>
                <w:pPr>
                  <w:jc w:val="center"/>
                  <w:rPr>
                    <w:rFonts w:eastAsia="Calibri"/>
                    <w:sz w:val="28"/>
                    <w:szCs w:val="28"/>
                  </w:rPr>
                </w:pPr>
                <w:r>
                  <w:rPr>
                    <w:rFonts w:eastAsia="Calibri"/>
                    <w:sz w:val="28"/>
                    <w:szCs w:val="28"/>
                  </w:rPr>
                  <w:t>2</w:t>
                </w:r>
              </w:p>
            </w:tc>
            <w:tc>
              <w:tcPr>
                <w:tcW w:w="9288" w:type="dxa"/>
              </w:tcPr>
              <w:p>
                <w:pPr>
                  <w:widowControl w:val="0"/>
                  <w:rPr>
                    <w:szCs w:val="24"/>
                  </w:rPr>
                </w:pPr>
                <w:r>
                  <w:rPr>
                    <w:szCs w:val="24"/>
                  </w:rPr>
                  <w:sym w:font="Symbol" w:char="F0B7"/>
                  <w:t xml:space="preserve"> Nėščioji pastebi, kad partneris yra pavydus, dėl šios priežasties kartais linkęs priekaištauti dėl nėščiosios išvaizdos, neva ji taip provokuoja aplinkinius. </w:t>
                </w:r>
              </w:p>
              <w:p>
                <w:pPr>
                  <w:widowControl w:val="0"/>
                  <w:rPr>
                    <w:szCs w:val="24"/>
                  </w:rPr>
                </w:pPr>
                <w:r>
                  <w:rPr>
                    <w:szCs w:val="24"/>
                  </w:rPr>
                  <w:sym w:font="Symbol" w:char="F0B7"/>
                  <w:t xml:space="preserve"> Nors nėščioji nepatiria nei fizinio, nei seksualinio smurto, tačiau partneris demonstruoja savo jėgą ir išlieja pyktį ant aplinkinių daiktų, sukeldamas nėščiosios baimę.</w:t>
                </w:r>
              </w:p>
              <w:p>
                <w:pPr>
                  <w:widowControl w:val="0"/>
                  <w:rPr>
                    <w:szCs w:val="24"/>
                  </w:rPr>
                </w:pPr>
                <w:r>
                  <w:rPr>
                    <w:szCs w:val="24"/>
                  </w:rPr>
                  <w:sym w:font="Symbol" w:char="F0B7"/>
                  <w:t xml:space="preserve"> Partneris naudoja psichologinį smurtą. Norėdamas įbauginti savo partnerę dažnai jai sako, kad ji nepilnavertė, taip pat nesugebės savęs išlaikyti finansiškai.</w:t>
                </w:r>
              </w:p>
            </w:tc>
          </w:tr>
          <w:tr>
            <w:trPr>
              <w:trHeight w:val="2306"/>
            </w:trPr>
            <w:tc>
              <w:tcPr>
                <w:tcW w:w="1365" w:type="dxa"/>
                <w:vAlign w:val="center"/>
              </w:tcPr>
              <w:p>
                <w:pPr>
                  <w:jc w:val="center"/>
                  <w:rPr>
                    <w:rFonts w:eastAsia="Calibri"/>
                    <w:sz w:val="28"/>
                    <w:szCs w:val="28"/>
                  </w:rPr>
                </w:pPr>
                <w:r>
                  <w:rPr>
                    <w:rFonts w:eastAsia="Calibri"/>
                    <w:sz w:val="28"/>
                    <w:szCs w:val="28"/>
                  </w:rPr>
                  <w:t>3</w:t>
                </w:r>
              </w:p>
            </w:tc>
            <w:tc>
              <w:tcPr>
                <w:tcW w:w="9288" w:type="dxa"/>
              </w:tcPr>
              <w:p>
                <w:pPr>
                  <w:widowControl w:val="0"/>
                  <w:rPr>
                    <w:szCs w:val="24"/>
                  </w:rPr>
                </w:pPr>
                <w:r>
                  <w:rPr>
                    <w:szCs w:val="24"/>
                  </w:rPr>
                  <w:sym w:font="Symbol" w:char="F0B7"/>
                  <w:t xml:space="preserve"> Nėščioji visiškai nepasitiki savimi, bijo savo partnerio dėl nuolat patiriamų įžeidinėjimų, negali išsakyti savo nuomonės dėl namuose tvyrančios įtampos, taikstosi prie partnerio. Partneris nuolat manipuliuoja priversdamas nėščiąją jaustis kalta.</w:t>
                </w:r>
              </w:p>
              <w:p>
                <w:pPr>
                  <w:widowControl w:val="0"/>
                  <w:rPr>
                    <w:szCs w:val="24"/>
                  </w:rPr>
                </w:pPr>
                <w:r>
                  <w:rPr>
                    <w:szCs w:val="24"/>
                  </w:rPr>
                  <w:sym w:font="Symbol" w:char="F0B7"/>
                  <w:t xml:space="preserve"> Partneris nebūtai nuolat priekaištauja, kad nėščioji elgiasi provokuojančiai prie aplinkinių. </w:t>
                </w:r>
              </w:p>
              <w:p>
                <w:pPr>
                  <w:widowControl w:val="0"/>
                  <w:rPr>
                    <w:szCs w:val="24"/>
                  </w:rPr>
                </w:pPr>
                <w:r>
                  <w:rPr>
                    <w:szCs w:val="24"/>
                  </w:rPr>
                  <w:sym w:font="Symbol" w:char="F0B7"/>
                  <w:t xml:space="preserve"> Nėščioji nuolat patiria fizinį smurtą, partneris ją gąsdina išliedamas savo pyktį ir rodydamas savo fizinį pranašumą prieš ją. </w:t>
                </w:r>
              </w:p>
              <w:p>
                <w:pPr>
                  <w:widowControl w:val="0"/>
                  <w:rPr>
                    <w:szCs w:val="24"/>
                  </w:rPr>
                </w:pPr>
                <w:r>
                  <w:rPr>
                    <w:szCs w:val="24"/>
                  </w:rPr>
                  <w:sym w:font="Symbol" w:char="F0B7"/>
                  <w:t xml:space="preserve"> Lytiniai santykiai poroje paremti tik smurto pagrindu, vieno žmogaus iniciatyva prieš kito valią.</w:t>
                </w:r>
              </w:p>
              <w:p>
                <w:pPr>
                  <w:widowControl w:val="0"/>
                  <w:rPr>
                    <w:szCs w:val="24"/>
                  </w:rPr>
                </w:pPr>
                <w:r>
                  <w:rPr>
                    <w:szCs w:val="24"/>
                  </w:rPr>
                  <w:sym w:font="Symbol" w:char="F0B7"/>
                  <w:t xml:space="preserve"> Nėščioji bijo imtis veiksmų, nes visos šeimos pajamos priklauso nuo jos parnerio.</w:t>
                </w:r>
              </w:p>
            </w:tc>
          </w:tr>
        </w:tbl>
        <w:p>
          <w:pPr>
            <w:jc w:val="both"/>
            <w:rPr>
              <w:color w:val="000000"/>
              <w:szCs w:val="24"/>
            </w:rPr>
          </w:pPr>
          <w:r>
            <w:rPr>
              <w:color w:val="000000"/>
              <w:szCs w:val="24"/>
            </w:rPr>
            <w:t>Pastabos: klausimyną pildo šeimų lankymo specialistas.</w:t>
          </w:r>
        </w:p>
        <w:sdt>
          <w:sdtPr>
            <w:alias w:val="pabaiga"/>
            <w:tag w:val="part_de08de729b954d5dac9b0dbdd827b87d"/>
            <w:lock w:val="sdtLocked"/>
            <w:richText/>
          </w:sdtPr>
          <w:sdtContent>
            <w:p>
              <w:pPr>
                <w:suppressAutoHyphens/>
                <w:ind w:firstLine="720"/>
                <w:jc w:val="center"/>
                <w:rPr>
                  <w:szCs w:val="24"/>
                </w:rPr>
              </w:pPr>
              <w:r>
                <w:rPr>
                  <w:color w:val="000000"/>
                  <w:szCs w:val="24"/>
                </w:rPr>
                <w:t>________________</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255"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ind w:firstLine="720"/>
        <w:rPr>
          <w:rFonts w:ascii="Arial" w:hAnsi="Arial"/>
          <w:sz w:val="20"/>
        </w:rPr>
      </w:pPr>
      <w:r>
        <w:rPr>
          <w:rFonts w:ascii="Arial" w:hAnsi="Arial"/>
          <w:sz w:val="20"/>
        </w:rPr>
        <w:separator/>
      </w:r>
    </w:p>
  </w:endnote>
  <w:endnote w:type="continuationSeparator" w:id="0">
    <w:p>
      <w:pPr>
        <w:ind w:firstLine="720"/>
        <w:rPr>
          <w:rFonts w:ascii="Arial" w:hAnsi="Arial"/>
          <w:sz w:val="20"/>
        </w:rPr>
      </w:pPr>
      <w:r>
        <w:rPr>
          <w:rFonts w:ascii="Arial" w:hAnsi="Arial"/>
          <w:sz w:val="20"/>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IDFont+F3">
    <w:altName w:val="Yu Gothic UI"/>
    <w:panose1 w:val="00000000000000000000"/>
    <w:charset w:val="80"/>
    <w:family w:val="auto"/>
    <w:notTrueType/>
    <w:pitch w:val="default"/>
    <w:sig w:usb0="00000001"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ind w:firstLine="720"/>
        <w:rPr>
          <w:rFonts w:ascii="Arial" w:hAnsi="Arial"/>
          <w:sz w:val="20"/>
        </w:rPr>
      </w:pPr>
      <w:r>
        <w:rPr>
          <w:rFonts w:ascii="Arial" w:hAnsi="Arial"/>
          <w:sz w:val="20"/>
        </w:rPr>
        <w:separator/>
      </w:r>
    </w:p>
  </w:footnote>
  <w:footnote w:type="continuationSeparator" w:id="0">
    <w:p>
      <w:pPr>
        <w:ind w:firstLine="720"/>
        <w:rPr>
          <w:rFonts w:ascii="Arial" w:hAnsi="Arial"/>
          <w:sz w:val="20"/>
        </w:rPr>
      </w:pPr>
      <w:r>
        <w:rPr>
          <w:rFonts w:ascii="Arial" w:hAnsi="Arial"/>
          <w:sz w:val="20"/>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2</w:t>
    </w:r>
    <w:r>
      <w:rPr>
        <w:rFonts w:ascii="Arial" w:hAnsi="Arial"/>
        <w:sz w:val="20"/>
      </w:rPr>
      <w:fldChar w:fldCharType="end"/>
    </w:r>
  </w:p>
  <w:p>
    <w:pPr>
      <w:tabs>
        <w:tab w:val="center" w:pos="4819"/>
        <w:tab w:val="right" w:pos="9638"/>
      </w:tabs>
      <w:ind w:firstLine="720"/>
      <w:jc w:val="cente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4E45"/>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BE219299-CD11-4845-8B84-0130C513745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235883">
      <w:bodyDiv w:val="1"/>
      <w:marLeft w:val="0"/>
      <w:marRight w:val="0"/>
      <w:marTop w:val="0"/>
      <w:marBottom w:val="0"/>
      <w:divBdr>
        <w:top w:val="none" w:sz="0" w:space="0" w:color="auto"/>
        <w:left w:val="none" w:sz="0" w:space="0" w:color="auto"/>
        <w:bottom w:val="none" w:sz="0" w:space="0" w:color="auto"/>
        <w:right w:val="none" w:sz="0" w:space="0" w:color="auto"/>
      </w:divBdr>
    </w:div>
    <w:div w:id="44524569">
      <w:bodyDiv w:val="1"/>
      <w:marLeft w:val="0"/>
      <w:marRight w:val="0"/>
      <w:marTop w:val="0"/>
      <w:marBottom w:val="0"/>
      <w:divBdr>
        <w:top w:val="none" w:sz="0" w:space="0" w:color="auto"/>
        <w:left w:val="none" w:sz="0" w:space="0" w:color="auto"/>
        <w:bottom w:val="none" w:sz="0" w:space="0" w:color="auto"/>
        <w:right w:val="none" w:sz="0" w:space="0" w:color="auto"/>
      </w:divBdr>
    </w:div>
    <w:div w:id="120926656">
      <w:bodyDiv w:val="1"/>
      <w:marLeft w:val="0"/>
      <w:marRight w:val="0"/>
      <w:marTop w:val="0"/>
      <w:marBottom w:val="0"/>
      <w:divBdr>
        <w:top w:val="none" w:sz="0" w:space="0" w:color="auto"/>
        <w:left w:val="none" w:sz="0" w:space="0" w:color="auto"/>
        <w:bottom w:val="none" w:sz="0" w:space="0" w:color="auto"/>
        <w:right w:val="none" w:sz="0" w:space="0" w:color="auto"/>
      </w:divBdr>
      <w:divsChild>
        <w:div w:id="1314719851">
          <w:marLeft w:val="0"/>
          <w:marRight w:val="0"/>
          <w:marTop w:val="0"/>
          <w:marBottom w:val="0"/>
          <w:divBdr>
            <w:top w:val="none" w:sz="0" w:space="0" w:color="auto"/>
            <w:left w:val="none" w:sz="0" w:space="0" w:color="auto"/>
            <w:bottom w:val="none" w:sz="0" w:space="0" w:color="auto"/>
            <w:right w:val="none" w:sz="0" w:space="0" w:color="auto"/>
          </w:divBdr>
          <w:divsChild>
            <w:div w:id="1721981019">
              <w:marLeft w:val="0"/>
              <w:marRight w:val="0"/>
              <w:marTop w:val="0"/>
              <w:marBottom w:val="0"/>
              <w:divBdr>
                <w:top w:val="none" w:sz="0" w:space="0" w:color="auto"/>
                <w:left w:val="none" w:sz="0" w:space="0" w:color="auto"/>
                <w:bottom w:val="none" w:sz="0" w:space="0" w:color="auto"/>
                <w:right w:val="none" w:sz="0" w:space="0" w:color="auto"/>
              </w:divBdr>
              <w:divsChild>
                <w:div w:id="737093621">
                  <w:marLeft w:val="0"/>
                  <w:marRight w:val="0"/>
                  <w:marTop w:val="0"/>
                  <w:marBottom w:val="0"/>
                  <w:divBdr>
                    <w:top w:val="none" w:sz="0" w:space="0" w:color="auto"/>
                    <w:left w:val="none" w:sz="0" w:space="0" w:color="auto"/>
                    <w:bottom w:val="none" w:sz="0" w:space="0" w:color="auto"/>
                    <w:right w:val="none" w:sz="0" w:space="0" w:color="auto"/>
                  </w:divBdr>
                </w:div>
                <w:div w:id="1851602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004606">
      <w:bodyDiv w:val="1"/>
      <w:marLeft w:val="0"/>
      <w:marRight w:val="0"/>
      <w:marTop w:val="0"/>
      <w:marBottom w:val="0"/>
      <w:divBdr>
        <w:top w:val="none" w:sz="0" w:space="0" w:color="auto"/>
        <w:left w:val="none" w:sz="0" w:space="0" w:color="auto"/>
        <w:bottom w:val="none" w:sz="0" w:space="0" w:color="auto"/>
        <w:right w:val="none" w:sz="0" w:space="0" w:color="auto"/>
      </w:divBdr>
    </w:div>
    <w:div w:id="253245178">
      <w:bodyDiv w:val="1"/>
      <w:marLeft w:val="0"/>
      <w:marRight w:val="0"/>
      <w:marTop w:val="0"/>
      <w:marBottom w:val="0"/>
      <w:divBdr>
        <w:top w:val="none" w:sz="0" w:space="0" w:color="auto"/>
        <w:left w:val="none" w:sz="0" w:space="0" w:color="auto"/>
        <w:bottom w:val="none" w:sz="0" w:space="0" w:color="auto"/>
        <w:right w:val="none" w:sz="0" w:space="0" w:color="auto"/>
      </w:divBdr>
    </w:div>
    <w:div w:id="329991400">
      <w:bodyDiv w:val="1"/>
      <w:marLeft w:val="0"/>
      <w:marRight w:val="0"/>
      <w:marTop w:val="0"/>
      <w:marBottom w:val="0"/>
      <w:divBdr>
        <w:top w:val="none" w:sz="0" w:space="0" w:color="auto"/>
        <w:left w:val="none" w:sz="0" w:space="0" w:color="auto"/>
        <w:bottom w:val="none" w:sz="0" w:space="0" w:color="auto"/>
        <w:right w:val="none" w:sz="0" w:space="0" w:color="auto"/>
      </w:divBdr>
    </w:div>
    <w:div w:id="349378245">
      <w:bodyDiv w:val="1"/>
      <w:marLeft w:val="0"/>
      <w:marRight w:val="0"/>
      <w:marTop w:val="0"/>
      <w:marBottom w:val="0"/>
      <w:divBdr>
        <w:top w:val="none" w:sz="0" w:space="0" w:color="auto"/>
        <w:left w:val="none" w:sz="0" w:space="0" w:color="auto"/>
        <w:bottom w:val="none" w:sz="0" w:space="0" w:color="auto"/>
        <w:right w:val="none" w:sz="0" w:space="0" w:color="auto"/>
      </w:divBdr>
    </w:div>
    <w:div w:id="527136677">
      <w:bodyDiv w:val="1"/>
      <w:marLeft w:val="0"/>
      <w:marRight w:val="0"/>
      <w:marTop w:val="0"/>
      <w:marBottom w:val="0"/>
      <w:divBdr>
        <w:top w:val="none" w:sz="0" w:space="0" w:color="auto"/>
        <w:left w:val="none" w:sz="0" w:space="0" w:color="auto"/>
        <w:bottom w:val="none" w:sz="0" w:space="0" w:color="auto"/>
        <w:right w:val="none" w:sz="0" w:space="0" w:color="auto"/>
      </w:divBdr>
    </w:div>
    <w:div w:id="549728912">
      <w:bodyDiv w:val="1"/>
      <w:marLeft w:val="0"/>
      <w:marRight w:val="0"/>
      <w:marTop w:val="0"/>
      <w:marBottom w:val="0"/>
      <w:divBdr>
        <w:top w:val="none" w:sz="0" w:space="0" w:color="auto"/>
        <w:left w:val="none" w:sz="0" w:space="0" w:color="auto"/>
        <w:bottom w:val="none" w:sz="0" w:space="0" w:color="auto"/>
        <w:right w:val="none" w:sz="0" w:space="0" w:color="auto"/>
      </w:divBdr>
    </w:div>
    <w:div w:id="773138046">
      <w:bodyDiv w:val="1"/>
      <w:marLeft w:val="0"/>
      <w:marRight w:val="0"/>
      <w:marTop w:val="0"/>
      <w:marBottom w:val="0"/>
      <w:divBdr>
        <w:top w:val="none" w:sz="0" w:space="0" w:color="auto"/>
        <w:left w:val="none" w:sz="0" w:space="0" w:color="auto"/>
        <w:bottom w:val="none" w:sz="0" w:space="0" w:color="auto"/>
        <w:right w:val="none" w:sz="0" w:space="0" w:color="auto"/>
      </w:divBdr>
    </w:div>
    <w:div w:id="867835784">
      <w:bodyDiv w:val="1"/>
      <w:marLeft w:val="0"/>
      <w:marRight w:val="0"/>
      <w:marTop w:val="0"/>
      <w:marBottom w:val="0"/>
      <w:divBdr>
        <w:top w:val="none" w:sz="0" w:space="0" w:color="auto"/>
        <w:left w:val="none" w:sz="0" w:space="0" w:color="auto"/>
        <w:bottom w:val="none" w:sz="0" w:space="0" w:color="auto"/>
        <w:right w:val="none" w:sz="0" w:space="0" w:color="auto"/>
      </w:divBdr>
    </w:div>
    <w:div w:id="893195353">
      <w:bodyDiv w:val="1"/>
      <w:marLeft w:val="0"/>
      <w:marRight w:val="0"/>
      <w:marTop w:val="0"/>
      <w:marBottom w:val="0"/>
      <w:divBdr>
        <w:top w:val="none" w:sz="0" w:space="0" w:color="auto"/>
        <w:left w:val="none" w:sz="0" w:space="0" w:color="auto"/>
        <w:bottom w:val="none" w:sz="0" w:space="0" w:color="auto"/>
        <w:right w:val="none" w:sz="0" w:space="0" w:color="auto"/>
      </w:divBdr>
    </w:div>
    <w:div w:id="924917457">
      <w:bodyDiv w:val="1"/>
      <w:marLeft w:val="0"/>
      <w:marRight w:val="0"/>
      <w:marTop w:val="0"/>
      <w:marBottom w:val="0"/>
      <w:divBdr>
        <w:top w:val="none" w:sz="0" w:space="0" w:color="auto"/>
        <w:left w:val="none" w:sz="0" w:space="0" w:color="auto"/>
        <w:bottom w:val="none" w:sz="0" w:space="0" w:color="auto"/>
        <w:right w:val="none" w:sz="0" w:space="0" w:color="auto"/>
      </w:divBdr>
    </w:div>
    <w:div w:id="926379439">
      <w:bodyDiv w:val="1"/>
      <w:marLeft w:val="0"/>
      <w:marRight w:val="0"/>
      <w:marTop w:val="0"/>
      <w:marBottom w:val="0"/>
      <w:divBdr>
        <w:top w:val="none" w:sz="0" w:space="0" w:color="auto"/>
        <w:left w:val="none" w:sz="0" w:space="0" w:color="auto"/>
        <w:bottom w:val="none" w:sz="0" w:space="0" w:color="auto"/>
        <w:right w:val="none" w:sz="0" w:space="0" w:color="auto"/>
      </w:divBdr>
    </w:div>
    <w:div w:id="988438102">
      <w:bodyDiv w:val="1"/>
      <w:marLeft w:val="0"/>
      <w:marRight w:val="0"/>
      <w:marTop w:val="0"/>
      <w:marBottom w:val="0"/>
      <w:divBdr>
        <w:top w:val="none" w:sz="0" w:space="0" w:color="auto"/>
        <w:left w:val="none" w:sz="0" w:space="0" w:color="auto"/>
        <w:bottom w:val="none" w:sz="0" w:space="0" w:color="auto"/>
        <w:right w:val="none" w:sz="0" w:space="0" w:color="auto"/>
      </w:divBdr>
    </w:div>
    <w:div w:id="1050421854">
      <w:bodyDiv w:val="1"/>
      <w:marLeft w:val="0"/>
      <w:marRight w:val="0"/>
      <w:marTop w:val="0"/>
      <w:marBottom w:val="0"/>
      <w:divBdr>
        <w:top w:val="none" w:sz="0" w:space="0" w:color="auto"/>
        <w:left w:val="none" w:sz="0" w:space="0" w:color="auto"/>
        <w:bottom w:val="none" w:sz="0" w:space="0" w:color="auto"/>
        <w:right w:val="none" w:sz="0" w:space="0" w:color="auto"/>
      </w:divBdr>
      <w:divsChild>
        <w:div w:id="122432957">
          <w:marLeft w:val="0"/>
          <w:marRight w:val="0"/>
          <w:marTop w:val="0"/>
          <w:marBottom w:val="0"/>
          <w:divBdr>
            <w:top w:val="none" w:sz="0" w:space="0" w:color="auto"/>
            <w:left w:val="none" w:sz="0" w:space="0" w:color="auto"/>
            <w:bottom w:val="none" w:sz="0" w:space="0" w:color="auto"/>
            <w:right w:val="none" w:sz="0" w:space="0" w:color="auto"/>
          </w:divBdr>
          <w:divsChild>
            <w:div w:id="1104496248">
              <w:marLeft w:val="0"/>
              <w:marRight w:val="0"/>
              <w:marTop w:val="0"/>
              <w:marBottom w:val="0"/>
              <w:divBdr>
                <w:top w:val="none" w:sz="0" w:space="0" w:color="auto"/>
                <w:left w:val="none" w:sz="0" w:space="0" w:color="auto"/>
                <w:bottom w:val="none" w:sz="0" w:space="0" w:color="auto"/>
                <w:right w:val="none" w:sz="0" w:space="0" w:color="auto"/>
              </w:divBdr>
              <w:divsChild>
                <w:div w:id="1933203927">
                  <w:marLeft w:val="0"/>
                  <w:marRight w:val="0"/>
                  <w:marTop w:val="0"/>
                  <w:marBottom w:val="0"/>
                  <w:divBdr>
                    <w:top w:val="none" w:sz="0" w:space="0" w:color="auto"/>
                    <w:left w:val="none" w:sz="0" w:space="0" w:color="auto"/>
                    <w:bottom w:val="none" w:sz="0" w:space="0" w:color="auto"/>
                    <w:right w:val="none" w:sz="0" w:space="0" w:color="auto"/>
                  </w:divBdr>
                  <w:divsChild>
                    <w:div w:id="995185606">
                      <w:marLeft w:val="0"/>
                      <w:marRight w:val="0"/>
                      <w:marTop w:val="0"/>
                      <w:marBottom w:val="0"/>
                      <w:divBdr>
                        <w:top w:val="none" w:sz="0" w:space="0" w:color="auto"/>
                        <w:left w:val="none" w:sz="0" w:space="0" w:color="auto"/>
                        <w:bottom w:val="none" w:sz="0" w:space="0" w:color="auto"/>
                        <w:right w:val="none" w:sz="0" w:space="0" w:color="auto"/>
                      </w:divBdr>
                      <w:divsChild>
                        <w:div w:id="488375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2367855">
      <w:bodyDiv w:val="1"/>
      <w:marLeft w:val="0"/>
      <w:marRight w:val="0"/>
      <w:marTop w:val="0"/>
      <w:marBottom w:val="0"/>
      <w:divBdr>
        <w:top w:val="none" w:sz="0" w:space="0" w:color="auto"/>
        <w:left w:val="none" w:sz="0" w:space="0" w:color="auto"/>
        <w:bottom w:val="none" w:sz="0" w:space="0" w:color="auto"/>
        <w:right w:val="none" w:sz="0" w:space="0" w:color="auto"/>
      </w:divBdr>
    </w:div>
    <w:div w:id="1069618394">
      <w:bodyDiv w:val="1"/>
      <w:marLeft w:val="0"/>
      <w:marRight w:val="0"/>
      <w:marTop w:val="0"/>
      <w:marBottom w:val="0"/>
      <w:divBdr>
        <w:top w:val="none" w:sz="0" w:space="0" w:color="auto"/>
        <w:left w:val="none" w:sz="0" w:space="0" w:color="auto"/>
        <w:bottom w:val="none" w:sz="0" w:space="0" w:color="auto"/>
        <w:right w:val="none" w:sz="0" w:space="0" w:color="auto"/>
      </w:divBdr>
    </w:div>
    <w:div w:id="1087460107">
      <w:bodyDiv w:val="1"/>
      <w:marLeft w:val="0"/>
      <w:marRight w:val="0"/>
      <w:marTop w:val="0"/>
      <w:marBottom w:val="0"/>
      <w:divBdr>
        <w:top w:val="none" w:sz="0" w:space="0" w:color="auto"/>
        <w:left w:val="none" w:sz="0" w:space="0" w:color="auto"/>
        <w:bottom w:val="none" w:sz="0" w:space="0" w:color="auto"/>
        <w:right w:val="none" w:sz="0" w:space="0" w:color="auto"/>
      </w:divBdr>
      <w:divsChild>
        <w:div w:id="1320689679">
          <w:marLeft w:val="0"/>
          <w:marRight w:val="0"/>
          <w:marTop w:val="0"/>
          <w:marBottom w:val="0"/>
          <w:divBdr>
            <w:top w:val="none" w:sz="0" w:space="0" w:color="auto"/>
            <w:left w:val="none" w:sz="0" w:space="0" w:color="auto"/>
            <w:bottom w:val="none" w:sz="0" w:space="0" w:color="auto"/>
            <w:right w:val="none" w:sz="0" w:space="0" w:color="auto"/>
          </w:divBdr>
        </w:div>
        <w:div w:id="1975481843">
          <w:marLeft w:val="0"/>
          <w:marRight w:val="0"/>
          <w:marTop w:val="0"/>
          <w:marBottom w:val="0"/>
          <w:divBdr>
            <w:top w:val="none" w:sz="0" w:space="0" w:color="auto"/>
            <w:left w:val="none" w:sz="0" w:space="0" w:color="auto"/>
            <w:bottom w:val="none" w:sz="0" w:space="0" w:color="auto"/>
            <w:right w:val="none" w:sz="0" w:space="0" w:color="auto"/>
          </w:divBdr>
        </w:div>
        <w:div w:id="599527629">
          <w:marLeft w:val="0"/>
          <w:marRight w:val="0"/>
          <w:marTop w:val="0"/>
          <w:marBottom w:val="0"/>
          <w:divBdr>
            <w:top w:val="none" w:sz="0" w:space="0" w:color="auto"/>
            <w:left w:val="none" w:sz="0" w:space="0" w:color="auto"/>
            <w:bottom w:val="none" w:sz="0" w:space="0" w:color="auto"/>
            <w:right w:val="none" w:sz="0" w:space="0" w:color="auto"/>
          </w:divBdr>
        </w:div>
        <w:div w:id="267929378">
          <w:marLeft w:val="0"/>
          <w:marRight w:val="0"/>
          <w:marTop w:val="0"/>
          <w:marBottom w:val="0"/>
          <w:divBdr>
            <w:top w:val="none" w:sz="0" w:space="0" w:color="auto"/>
            <w:left w:val="none" w:sz="0" w:space="0" w:color="auto"/>
            <w:bottom w:val="none" w:sz="0" w:space="0" w:color="auto"/>
            <w:right w:val="none" w:sz="0" w:space="0" w:color="auto"/>
          </w:divBdr>
        </w:div>
        <w:div w:id="228077518">
          <w:marLeft w:val="0"/>
          <w:marRight w:val="0"/>
          <w:marTop w:val="0"/>
          <w:marBottom w:val="0"/>
          <w:divBdr>
            <w:top w:val="none" w:sz="0" w:space="0" w:color="auto"/>
            <w:left w:val="none" w:sz="0" w:space="0" w:color="auto"/>
            <w:bottom w:val="none" w:sz="0" w:space="0" w:color="auto"/>
            <w:right w:val="none" w:sz="0" w:space="0" w:color="auto"/>
          </w:divBdr>
        </w:div>
        <w:div w:id="324403879">
          <w:marLeft w:val="0"/>
          <w:marRight w:val="0"/>
          <w:marTop w:val="0"/>
          <w:marBottom w:val="0"/>
          <w:divBdr>
            <w:top w:val="none" w:sz="0" w:space="0" w:color="auto"/>
            <w:left w:val="none" w:sz="0" w:space="0" w:color="auto"/>
            <w:bottom w:val="none" w:sz="0" w:space="0" w:color="auto"/>
            <w:right w:val="none" w:sz="0" w:space="0" w:color="auto"/>
          </w:divBdr>
        </w:div>
      </w:divsChild>
    </w:div>
    <w:div w:id="1103381991">
      <w:bodyDiv w:val="1"/>
      <w:marLeft w:val="0"/>
      <w:marRight w:val="0"/>
      <w:marTop w:val="0"/>
      <w:marBottom w:val="0"/>
      <w:divBdr>
        <w:top w:val="none" w:sz="0" w:space="0" w:color="auto"/>
        <w:left w:val="none" w:sz="0" w:space="0" w:color="auto"/>
        <w:bottom w:val="none" w:sz="0" w:space="0" w:color="auto"/>
        <w:right w:val="none" w:sz="0" w:space="0" w:color="auto"/>
      </w:divBdr>
    </w:div>
    <w:div w:id="1106773918">
      <w:bodyDiv w:val="1"/>
      <w:marLeft w:val="0"/>
      <w:marRight w:val="0"/>
      <w:marTop w:val="0"/>
      <w:marBottom w:val="0"/>
      <w:divBdr>
        <w:top w:val="none" w:sz="0" w:space="0" w:color="auto"/>
        <w:left w:val="none" w:sz="0" w:space="0" w:color="auto"/>
        <w:bottom w:val="none" w:sz="0" w:space="0" w:color="auto"/>
        <w:right w:val="none" w:sz="0" w:space="0" w:color="auto"/>
      </w:divBdr>
    </w:div>
    <w:div w:id="1268658358">
      <w:bodyDiv w:val="1"/>
      <w:marLeft w:val="0"/>
      <w:marRight w:val="0"/>
      <w:marTop w:val="0"/>
      <w:marBottom w:val="0"/>
      <w:divBdr>
        <w:top w:val="none" w:sz="0" w:space="0" w:color="auto"/>
        <w:left w:val="none" w:sz="0" w:space="0" w:color="auto"/>
        <w:bottom w:val="none" w:sz="0" w:space="0" w:color="auto"/>
        <w:right w:val="none" w:sz="0" w:space="0" w:color="auto"/>
      </w:divBdr>
    </w:div>
    <w:div w:id="1325205208">
      <w:bodyDiv w:val="1"/>
      <w:marLeft w:val="0"/>
      <w:marRight w:val="0"/>
      <w:marTop w:val="0"/>
      <w:marBottom w:val="0"/>
      <w:divBdr>
        <w:top w:val="none" w:sz="0" w:space="0" w:color="auto"/>
        <w:left w:val="none" w:sz="0" w:space="0" w:color="auto"/>
        <w:bottom w:val="none" w:sz="0" w:space="0" w:color="auto"/>
        <w:right w:val="none" w:sz="0" w:space="0" w:color="auto"/>
      </w:divBdr>
    </w:div>
    <w:div w:id="1422945570">
      <w:bodyDiv w:val="1"/>
      <w:marLeft w:val="0"/>
      <w:marRight w:val="0"/>
      <w:marTop w:val="0"/>
      <w:marBottom w:val="0"/>
      <w:divBdr>
        <w:top w:val="none" w:sz="0" w:space="0" w:color="auto"/>
        <w:left w:val="none" w:sz="0" w:space="0" w:color="auto"/>
        <w:bottom w:val="none" w:sz="0" w:space="0" w:color="auto"/>
        <w:right w:val="none" w:sz="0" w:space="0" w:color="auto"/>
      </w:divBdr>
    </w:div>
    <w:div w:id="1454327711">
      <w:bodyDiv w:val="1"/>
      <w:marLeft w:val="0"/>
      <w:marRight w:val="0"/>
      <w:marTop w:val="0"/>
      <w:marBottom w:val="0"/>
      <w:divBdr>
        <w:top w:val="none" w:sz="0" w:space="0" w:color="auto"/>
        <w:left w:val="none" w:sz="0" w:space="0" w:color="auto"/>
        <w:bottom w:val="none" w:sz="0" w:space="0" w:color="auto"/>
        <w:right w:val="none" w:sz="0" w:space="0" w:color="auto"/>
      </w:divBdr>
    </w:div>
    <w:div w:id="1492863920">
      <w:bodyDiv w:val="1"/>
      <w:marLeft w:val="0"/>
      <w:marRight w:val="0"/>
      <w:marTop w:val="0"/>
      <w:marBottom w:val="0"/>
      <w:divBdr>
        <w:top w:val="none" w:sz="0" w:space="0" w:color="auto"/>
        <w:left w:val="none" w:sz="0" w:space="0" w:color="auto"/>
        <w:bottom w:val="none" w:sz="0" w:space="0" w:color="auto"/>
        <w:right w:val="none" w:sz="0" w:space="0" w:color="auto"/>
      </w:divBdr>
    </w:div>
    <w:div w:id="1566641010">
      <w:bodyDiv w:val="1"/>
      <w:marLeft w:val="0"/>
      <w:marRight w:val="0"/>
      <w:marTop w:val="0"/>
      <w:marBottom w:val="0"/>
      <w:divBdr>
        <w:top w:val="none" w:sz="0" w:space="0" w:color="auto"/>
        <w:left w:val="none" w:sz="0" w:space="0" w:color="auto"/>
        <w:bottom w:val="none" w:sz="0" w:space="0" w:color="auto"/>
        <w:right w:val="none" w:sz="0" w:space="0" w:color="auto"/>
      </w:divBdr>
    </w:div>
    <w:div w:id="1574242188">
      <w:bodyDiv w:val="1"/>
      <w:marLeft w:val="0"/>
      <w:marRight w:val="0"/>
      <w:marTop w:val="0"/>
      <w:marBottom w:val="0"/>
      <w:divBdr>
        <w:top w:val="none" w:sz="0" w:space="0" w:color="auto"/>
        <w:left w:val="none" w:sz="0" w:space="0" w:color="auto"/>
        <w:bottom w:val="none" w:sz="0" w:space="0" w:color="auto"/>
        <w:right w:val="none" w:sz="0" w:space="0" w:color="auto"/>
      </w:divBdr>
    </w:div>
    <w:div w:id="1648239942">
      <w:bodyDiv w:val="1"/>
      <w:marLeft w:val="0"/>
      <w:marRight w:val="0"/>
      <w:marTop w:val="0"/>
      <w:marBottom w:val="0"/>
      <w:divBdr>
        <w:top w:val="none" w:sz="0" w:space="0" w:color="auto"/>
        <w:left w:val="none" w:sz="0" w:space="0" w:color="auto"/>
        <w:bottom w:val="none" w:sz="0" w:space="0" w:color="auto"/>
        <w:right w:val="none" w:sz="0" w:space="0" w:color="auto"/>
      </w:divBdr>
    </w:div>
    <w:div w:id="1655573148">
      <w:bodyDiv w:val="1"/>
      <w:marLeft w:val="0"/>
      <w:marRight w:val="0"/>
      <w:marTop w:val="0"/>
      <w:marBottom w:val="0"/>
      <w:divBdr>
        <w:top w:val="none" w:sz="0" w:space="0" w:color="auto"/>
        <w:left w:val="none" w:sz="0" w:space="0" w:color="auto"/>
        <w:bottom w:val="none" w:sz="0" w:space="0" w:color="auto"/>
        <w:right w:val="none" w:sz="0" w:space="0" w:color="auto"/>
      </w:divBdr>
    </w:div>
    <w:div w:id="1677802933">
      <w:bodyDiv w:val="1"/>
      <w:marLeft w:val="0"/>
      <w:marRight w:val="0"/>
      <w:marTop w:val="0"/>
      <w:marBottom w:val="0"/>
      <w:divBdr>
        <w:top w:val="none" w:sz="0" w:space="0" w:color="auto"/>
        <w:left w:val="none" w:sz="0" w:space="0" w:color="auto"/>
        <w:bottom w:val="none" w:sz="0" w:space="0" w:color="auto"/>
        <w:right w:val="none" w:sz="0" w:space="0" w:color="auto"/>
      </w:divBdr>
    </w:div>
    <w:div w:id="1708021394">
      <w:bodyDiv w:val="1"/>
      <w:marLeft w:val="0"/>
      <w:marRight w:val="0"/>
      <w:marTop w:val="0"/>
      <w:marBottom w:val="0"/>
      <w:divBdr>
        <w:top w:val="none" w:sz="0" w:space="0" w:color="auto"/>
        <w:left w:val="none" w:sz="0" w:space="0" w:color="auto"/>
        <w:bottom w:val="none" w:sz="0" w:space="0" w:color="auto"/>
        <w:right w:val="none" w:sz="0" w:space="0" w:color="auto"/>
      </w:divBdr>
    </w:div>
    <w:div w:id="1719011114">
      <w:bodyDiv w:val="1"/>
      <w:marLeft w:val="0"/>
      <w:marRight w:val="0"/>
      <w:marTop w:val="0"/>
      <w:marBottom w:val="0"/>
      <w:divBdr>
        <w:top w:val="none" w:sz="0" w:space="0" w:color="auto"/>
        <w:left w:val="none" w:sz="0" w:space="0" w:color="auto"/>
        <w:bottom w:val="none" w:sz="0" w:space="0" w:color="auto"/>
        <w:right w:val="none" w:sz="0" w:space="0" w:color="auto"/>
      </w:divBdr>
    </w:div>
    <w:div w:id="1746410681">
      <w:bodyDiv w:val="1"/>
      <w:marLeft w:val="0"/>
      <w:marRight w:val="0"/>
      <w:marTop w:val="0"/>
      <w:marBottom w:val="0"/>
      <w:divBdr>
        <w:top w:val="none" w:sz="0" w:space="0" w:color="auto"/>
        <w:left w:val="none" w:sz="0" w:space="0" w:color="auto"/>
        <w:bottom w:val="none" w:sz="0" w:space="0" w:color="auto"/>
        <w:right w:val="none" w:sz="0" w:space="0" w:color="auto"/>
      </w:divBdr>
    </w:div>
    <w:div w:id="1772429177">
      <w:bodyDiv w:val="1"/>
      <w:marLeft w:val="0"/>
      <w:marRight w:val="0"/>
      <w:marTop w:val="0"/>
      <w:marBottom w:val="0"/>
      <w:divBdr>
        <w:top w:val="none" w:sz="0" w:space="0" w:color="auto"/>
        <w:left w:val="none" w:sz="0" w:space="0" w:color="auto"/>
        <w:bottom w:val="none" w:sz="0" w:space="0" w:color="auto"/>
        <w:right w:val="none" w:sz="0" w:space="0" w:color="auto"/>
      </w:divBdr>
    </w:div>
    <w:div w:id="1929921918">
      <w:bodyDiv w:val="1"/>
      <w:marLeft w:val="0"/>
      <w:marRight w:val="0"/>
      <w:marTop w:val="0"/>
      <w:marBottom w:val="0"/>
      <w:divBdr>
        <w:top w:val="none" w:sz="0" w:space="0" w:color="auto"/>
        <w:left w:val="none" w:sz="0" w:space="0" w:color="auto"/>
        <w:bottom w:val="none" w:sz="0" w:space="0" w:color="auto"/>
        <w:right w:val="none" w:sz="0" w:space="0" w:color="auto"/>
      </w:divBdr>
    </w:div>
    <w:div w:id="1933471509">
      <w:bodyDiv w:val="1"/>
      <w:marLeft w:val="0"/>
      <w:marRight w:val="0"/>
      <w:marTop w:val="0"/>
      <w:marBottom w:val="0"/>
      <w:divBdr>
        <w:top w:val="none" w:sz="0" w:space="0" w:color="auto"/>
        <w:left w:val="none" w:sz="0" w:space="0" w:color="auto"/>
        <w:bottom w:val="none" w:sz="0" w:space="0" w:color="auto"/>
        <w:right w:val="none" w:sz="0" w:space="0" w:color="auto"/>
      </w:divBdr>
    </w:div>
    <w:div w:id="1976719410">
      <w:bodyDiv w:val="1"/>
      <w:marLeft w:val="0"/>
      <w:marRight w:val="0"/>
      <w:marTop w:val="0"/>
      <w:marBottom w:val="0"/>
      <w:divBdr>
        <w:top w:val="none" w:sz="0" w:space="0" w:color="auto"/>
        <w:left w:val="none" w:sz="0" w:space="0" w:color="auto"/>
        <w:bottom w:val="none" w:sz="0" w:space="0" w:color="auto"/>
        <w:right w:val="none" w:sz="0" w:space="0" w:color="auto"/>
      </w:divBdr>
    </w:div>
    <w:div w:id="2030720446">
      <w:bodyDiv w:val="1"/>
      <w:marLeft w:val="0"/>
      <w:marRight w:val="0"/>
      <w:marTop w:val="0"/>
      <w:marBottom w:val="0"/>
      <w:divBdr>
        <w:top w:val="none" w:sz="0" w:space="0" w:color="auto"/>
        <w:left w:val="none" w:sz="0" w:space="0" w:color="auto"/>
        <w:bottom w:val="none" w:sz="0" w:space="0" w:color="auto"/>
        <w:right w:val="none" w:sz="0" w:space="0" w:color="auto"/>
      </w:divBdr>
    </w:div>
    <w:div w:id="2045252572">
      <w:bodyDiv w:val="1"/>
      <w:marLeft w:val="0"/>
      <w:marRight w:val="0"/>
      <w:marTop w:val="0"/>
      <w:marBottom w:val="0"/>
      <w:divBdr>
        <w:top w:val="none" w:sz="0" w:space="0" w:color="auto"/>
        <w:left w:val="none" w:sz="0" w:space="0" w:color="auto"/>
        <w:bottom w:val="none" w:sz="0" w:space="0" w:color="auto"/>
        <w:right w:val="none" w:sz="0" w:space="0" w:color="auto"/>
      </w:divBdr>
    </w:div>
    <w:div w:id="2073892206">
      <w:bodyDiv w:val="1"/>
      <w:marLeft w:val="0"/>
      <w:marRight w:val="0"/>
      <w:marTop w:val="0"/>
      <w:marBottom w:val="0"/>
      <w:divBdr>
        <w:top w:val="none" w:sz="0" w:space="0" w:color="auto"/>
        <w:left w:val="none" w:sz="0" w:space="0" w:color="auto"/>
        <w:bottom w:val="none" w:sz="0" w:space="0" w:color="auto"/>
        <w:right w:val="none" w:sz="0" w:space="0" w:color="auto"/>
      </w:divBdr>
    </w:div>
    <w:div w:id="2097288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o2cc8c89477e456eb48e61b1cb42a2c0 xmlns="7ddbcf87-b050-43a2-b7ff-65d83e78af57" xsi:nil="true"/>
    <DmsDocPrepListOrderNo xmlns="4b2e9d09-07c5-42d4-ad0a-92e216c40b99">2</DmsDocPrepListOrderNo>
  </documentManagement>
</p:properti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686DA73B51BDAE499A8C5C19CB59598B" ma:contentTypeVersion="1" ma:contentTypeDescription="" ma:contentTypeScope="" ma:versionID="17e0f298a61a194f68c0739e60e142b3">
  <xsd:schema xmlns:xsd="http://www.w3.org/2001/XMLSchema" xmlns:xs="http://www.w3.org/2001/XMLSchema" xmlns:p="http://schemas.microsoft.com/office/2006/metadata/properties" xmlns:ns2="4b2e9d09-07c5-42d4-ad0a-92e216c40b99" xmlns:ns3="7ddbcf87-b050-43a2-b7ff-65d83e78af57" targetNamespace="http://schemas.microsoft.com/office/2006/metadata/properties" ma:root="true" ma:fieldsID="d0aa26ecac8558f5a019f19a99f1449f" ns2:_="" ns3:_="">
    <xsd:import namespace="4b2e9d09-07c5-42d4-ad0a-92e216c40b99"/>
    <xsd:import namespace="7ddbcf87-b050-43a2-b7ff-65d83e78af57"/>
    <xsd:element name="properties">
      <xsd:complexType>
        <xsd:sequence>
          <xsd:element name="documentManagement">
            <xsd:complexType>
              <xsd:all>
                <xsd:element ref="ns2:DmsDocPrepListOrderNo" minOccurs="0"/>
                <xsd:element ref="ns3:o2cc8c89477e456eb48e61b1cb42a2c0"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ddbcf87-b050-43a2-b7ff-65d83e78af57" elementFormDefault="qualified">
    <xsd:import namespace="http://schemas.microsoft.com/office/2006/documentManagement/types"/>
    <xsd:import namespace="http://schemas.microsoft.com/office/infopath/2007/PartnerControls"/>
    <xsd:element name="o2cc8c89477e456eb48e61b1cb42a2c0" ma:index="9" nillable="true" ma:displayName="DmsPermissionsDivisions_0" ma:hidden="true" ma:internalName="o2cc8c89477e456eb48e61b1cb42a2c0">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9" Abbr="9 pr." Title="SMURTAS ŠEIMOJE" DocPartId="867ec8fb2c3245a79b5e1ebe2984c0ba" PartId="ccd892b21abd4d65b86fc4744840eda5">
    <Part Type="pabaiga" DocPartId="9dd94a0491624ce597a556026e364d85" PartId="de08de729b954d5dac9b0dbdd827b87d"/>
  </Part>
</Parts>
</file>

<file path=customXml/itemProps1.xml><?xml version="1.0" encoding="utf-8"?>
<ds:datastoreItem xmlns:ds="http://schemas.openxmlformats.org/officeDocument/2006/customXml" ds:itemID="{CD7F4EF3-17A1-4261-AEF9-50E84698442F}">
  <ds:schemaRefs>
    <ds:schemaRef ds:uri="http://schemas.microsoft.com/office/2006/metadata/properties"/>
    <ds:schemaRef ds:uri="http://schemas.microsoft.com/office/infopath/2007/PartnerControls"/>
    <ds:schemaRef ds:uri="7ddbcf87-b050-43a2-b7ff-65d83e78af57"/>
    <ds:schemaRef ds:uri="4b2e9d09-07c5-42d4-ad0a-92e216c40b99"/>
  </ds:schemaRefs>
</ds:datastoreItem>
</file>

<file path=customXml/itemProps2.xml><?xml version="1.0" encoding="utf-8"?>
<ds:datastoreItem xmlns:ds="http://schemas.openxmlformats.org/officeDocument/2006/customXml" ds:itemID="{47D3ED2B-A950-4D41-B11A-F8F77BB470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7ddbcf87-b050-43a2-b7ff-65d83e78af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E71E839-16F2-4F76-9521-247F7E44E918}">
  <ds:schemaRefs>
    <ds:schemaRef ds:uri="http://schemas.microsoft.com/sharepoint/v3/contenttype/forms"/>
  </ds:schemaRefs>
</ds:datastoreItem>
</file>

<file path=customXml/itemProps4.xml><?xml version="1.0" encoding="utf-8"?>
<ds:datastoreItem xmlns:ds="http://schemas.openxmlformats.org/officeDocument/2006/customXml" ds:itemID="{1AE920F6-BD7B-49B5-BDFF-7C9E184B8C6D}">
  <ds:schemaRefs>
    <ds:schemaRef ds:uri="http://schemas.openxmlformats.org/officeDocument/2006/bibliography"/>
  </ds:schemaRefs>
</ds:datastoreItem>
</file>

<file path=customXml/itemProps5.xml><?xml version="1.0" encoding="utf-8"?>
<ds:datastoreItem xmlns:ds="http://schemas.openxmlformats.org/officeDocument/2006/customXml" ds:itemID="{375606D3-9BBB-44D9-B15A-45A562D7147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470</Words>
  <Characters>3160</Characters>
  <Application>Microsoft Office Word</Application>
  <DocSecurity>4</DocSecurity>
  <Lines>117</Lines>
  <Paragraphs>54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vector>
  </TitlesOfParts>
  <Company/>
  <LinksUpToDate>false</LinksUpToDate>
  <CharactersWithSpaces>3576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2024-05-14T17:40:00Z</dcterms:created>
  <dc:creator>Oksana Burokienė</dc:creator>
  <lastModifiedBy>adlibuser</lastModifiedBy>
  <lastPrinted>2023-02-28T12:49:00Z</lastPrinted>
  <dcterms:modified xsi:type="dcterms:W3CDTF">2024-05-14T17:40:00Z</dcterms:modified>
  <revision>2</revision>
  <dc:title>DĖL LIETUVOS RESPUBLIKOS SVEIKATOS APSAUGOS MINISTRO 2005 M. GRUODŽIO 5 D. ĮSAKYMO NR. V-943 ,,DĖL PIRMINĖS AMBULATORINĖS ASMENS SVEIKATOS PRIEŽIŪROS PASLAUGŲ ORGANIZAVIMO IR APMOKĖJIMO TVARKOS APRAŠO BEI PIRMINĖS AMBULATORINĖS ASMENS SVEIKATOS PRIEŽIŪROS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0x010100D76F90AF19434866994CD715ED8FEE4200686DA73B51BDAE499A8C5C19CB59598B</vt:lpwstr>
  </property>
  <property fmtid="{D5CDD505-2E9C-101B-9397-08002B2CF9AE}" pid="3" name="TaxCatchAll">
    <vt:lpwstr>
    </vt:lpwstr>
  </property>
  <property fmtid="{D5CDD505-2E9C-101B-9397-08002B2CF9AE}" pid="4" name="GrammarlyDocumentId">
    <vt:lpwstr>b9f3a0defe6b699674b4274dde92874c5a692f569ab0fe1a770980a2d7fe55ee</vt:lpwstr>
  </property>
</Properties>
</file>