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8 pr."/>
        <w:tag w:val="part_57c14f9decb34be184a3c8f1862d75c8"/>
        <w:lock w:val="sdtLocked"/>
        <w:richText/>
      </w:sdtPr>
      <w:sdtContent>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57c14f9decb34be184a3c8f1862d75c8"/>
              <w:lock w:val="sdtLocked"/>
              <w:richText/>
            </w:sdtPr>
            <w:sdtContent>
              <w:r>
                <w:rPr>
                  <w:color w:val="242424"/>
                  <w:szCs w:val="24"/>
                  <w:lang w:eastAsia="lt-LT"/>
                </w:rPr>
                <w:t>8</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57c14f9decb34be184a3c8f1862d75c8"/>
              <w:lock w:val="sdtLocked"/>
              <w:richText/>
            </w:sdtPr>
            <w:sdtContent>
              <w:r>
                <w:rPr>
                  <w:szCs w:val="24"/>
                  <w:lang w:eastAsia="lt-LT"/>
                </w:rPr>
                <w:t>NĖŠČIOSIOS AUKLĖJIMO ĮGŪDŽIAI IR VAIKYSTĖS PATIRTYS</w:t>
              </w:r>
            </w:sdtContent>
          </w:sdt>
        </w:p>
        <w:p>
          <w:pPr>
            <w:jc w:val="center"/>
            <w:rPr>
              <w:color w:val="000000"/>
              <w:szCs w:val="24"/>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0"/>
            <w:gridCol w:w="3004"/>
          </w:tblGrid>
          <w:tr>
            <w:tc>
              <w:tcPr>
                <w:tcW w:w="7650" w:type="dxa"/>
              </w:tcPr>
              <w:p>
                <w:pPr>
                  <w:rPr>
                    <w:szCs w:val="24"/>
                  </w:rPr>
                </w:pPr>
                <w:r>
                  <w:rPr>
                    <w:szCs w:val="24"/>
                  </w:rPr>
                  <w:t>VIZITO DATA:</w:t>
                </w:r>
              </w:p>
            </w:tc>
            <w:tc>
              <w:tcPr>
                <w:tcW w:w="3004" w:type="dxa"/>
              </w:tcPr>
              <w:p>
                <w:pPr>
                  <w:rPr>
                    <w:szCs w:val="24"/>
                  </w:rPr>
                </w:pPr>
                <w:r>
                  <w:rPr>
                    <w:szCs w:val="24"/>
                  </w:rPr>
                  <w:t>Nustatytas rizikos lygis:</w:t>
                </w:r>
              </w:p>
            </w:tc>
          </w:tr>
          <w:tr>
            <w:tc>
              <w:tcPr>
                <w:tcW w:w="7650" w:type="dxa"/>
              </w:tcPr>
              <w:p>
                <w:pPr>
                  <w:rPr>
                    <w:szCs w:val="24"/>
                  </w:rPr>
                </w:pPr>
                <w:r>
                  <w:rPr>
                    <w:szCs w:val="24"/>
                  </w:rPr>
                  <w:t>VIZITO NR. :</w:t>
                </w:r>
              </w:p>
            </w:tc>
            <w:tc>
              <w:tcPr>
                <w:tcW w:w="3004" w:type="dxa"/>
                <w:vMerge w:val="restart"/>
              </w:tcPr>
              <w:p>
                <w:pPr>
                  <w:rPr>
                    <w:szCs w:val="24"/>
                  </w:rPr>
                </w:pPr>
              </w:p>
            </w:tc>
          </w:tr>
          <w:tr>
            <w:tc>
              <w:tcPr>
                <w:tcW w:w="7650" w:type="dxa"/>
              </w:tcPr>
              <w:p>
                <w:pPr>
                  <w:rPr>
                    <w:szCs w:val="24"/>
                  </w:rPr>
                </w:pPr>
                <w:r>
                  <w:rPr>
                    <w:szCs w:val="24"/>
                  </w:rPr>
                  <w:t>ŠLS VARDAS PAVARDĖ:</w:t>
                </w:r>
              </w:p>
            </w:tc>
            <w:tc>
              <w:tcPr>
                <w:tcW w:w="3004" w:type="dxa"/>
                <w:vMerge/>
              </w:tcPr>
              <w:p>
                <w:pPr>
                  <w:rPr>
                    <w:szCs w:val="24"/>
                  </w:rPr>
                </w:pPr>
              </w:p>
            </w:tc>
          </w:tr>
          <w:tr>
            <w:tc>
              <w:tcPr>
                <w:tcW w:w="7650" w:type="dxa"/>
              </w:tcPr>
              <w:p>
                <w:pPr>
                  <w:rPr>
                    <w:szCs w:val="24"/>
                  </w:rPr>
                </w:pPr>
                <w:r>
                  <w:rPr>
                    <w:szCs w:val="24"/>
                  </w:rPr>
                  <w:t>NĖŠČIOSIOS VARDAS PAVARDĖ:</w:t>
                </w:r>
              </w:p>
            </w:tc>
            <w:tc>
              <w:tcPr>
                <w:tcW w:w="3004" w:type="dxa"/>
                <w:vMerge/>
              </w:tcPr>
              <w:p>
                <w:pPr>
                  <w:rPr>
                    <w:szCs w:val="24"/>
                  </w:rPr>
                </w:pPr>
              </w:p>
            </w:tc>
          </w:tr>
          <w:tr>
            <w:tc>
              <w:tcPr>
                <w:tcW w:w="10654" w:type="dxa"/>
                <w:gridSpan w:val="2"/>
              </w:tcPr>
              <w:p>
                <w:pPr>
                  <w:rPr>
                    <w:rFonts w:eastAsia="Calibri"/>
                    <w:szCs w:val="24"/>
                  </w:rPr>
                </w:pPr>
                <w:r>
                  <w:rPr>
                    <w:rFonts w:eastAsia="Calibri"/>
                    <w:szCs w:val="24"/>
                  </w:rPr>
                  <w:t>Vertinant nėščiosios gebėjimą tinkamai auklėti vaiką, nustatyti elgesio ribas, rinktis amžiaus tarpsniui adekvačius auklėjimo metodus, būtina surinkti kuo daugiau informacijos apie pačios nėščiosios gyvenimo patirtį, ypatingai apie jos vaikystę ir tai, kokius auklėjimo būdus taikė nėščiosios tėvai (globėjai), tai, ar jie taikė fizines ir kitas žeminančias bausmes. Jei nėščiajai nėštumas ne pirmas ir ji turi kitų vaikų, informacijos apie jos auklėjimo įgūdžius gali suteikti šeimos stebėjimas, santykių tarp nėščiosios ir jos vaikų stebėjimas, informacija apie tai, ar nėščioji turėjo problemų su vaikų auklėjimu. Tais atvejais, kai nėščiajai tai pirmas nėštumas, informacijos gali suteikti pokalbiai su nėščiąja, kurių metu atsiskleidžia jos požiūris į auklėjimą, fizinių ir kitų žeminančių bausmių taikymą, jos šeimos istorijos tyrimas.</w:t>
                </w:r>
              </w:p>
              <w:p>
                <w:pPr>
                  <w:rPr>
                    <w:rFonts w:eastAsia="Calibri"/>
                    <w:szCs w:val="24"/>
                  </w:rPr>
                </w:pPr>
                <w:r>
                  <w:rPr>
                    <w:rFonts w:eastAsia="Calibri"/>
                    <w:szCs w:val="24"/>
                  </w:rPr>
                  <w:t xml:space="preserve">Rizikos faktoriai: </w:t>
                </w:r>
              </w:p>
              <w:p>
                <w:pPr>
                  <w:rPr>
                    <w:rFonts w:eastAsia="Calibri"/>
                    <w:szCs w:val="24"/>
                  </w:rPr>
                </w:pPr>
                <w:r>
                  <w:rPr>
                    <w:rFonts w:eastAsia="Calibri"/>
                    <w:szCs w:val="24"/>
                  </w:rPr>
                  <w:t xml:space="preserve">1. Pozityvios tėvystės įgūdžiai ir požiūris į auklėjimą. </w:t>
                </w:r>
              </w:p>
              <w:p>
                <w:pPr>
                  <w:rPr>
                    <w:rFonts w:eastAsia="CIDFont+F3"/>
                    <w:szCs w:val="24"/>
                  </w:rPr>
                </w:pPr>
                <w:r>
                  <w:rPr>
                    <w:rFonts w:eastAsia="Calibri"/>
                    <w:szCs w:val="24"/>
                  </w:rPr>
                  <w:t>2. Patirtys nėščiosios vaikystėje.</w:t>
                </w:r>
              </w:p>
            </w:tc>
          </w:tr>
        </w:tbl>
        <w:p>
          <w:pPr>
            <w:spacing w:line="276" w:lineRule="auto"/>
            <w:rPr>
              <w:rFonts w:eastAsia="Calibri"/>
              <w:szCs w:val="24"/>
            </w:rPr>
          </w:pPr>
        </w:p>
        <w:p>
          <w:pPr>
            <w:rPr>
              <w:sz w:val="18"/>
              <w:szCs w:val="18"/>
            </w:rPr>
          </w:pPr>
        </w:p>
        <w:tbl>
          <w:tblPr>
            <w:tblW w:w="10660"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850"/>
            <w:gridCol w:w="851"/>
            <w:gridCol w:w="4706"/>
          </w:tblGrid>
          <w:tr>
            <w:tc>
              <w:tcPr>
                <w:tcW w:w="4253" w:type="dxa"/>
              </w:tcPr>
              <w:p>
                <w:pPr>
                  <w:spacing w:line="276" w:lineRule="auto"/>
                  <w:rPr>
                    <w:rFonts w:eastAsia="CIDFont+F3"/>
                    <w:b/>
                    <w:szCs w:val="24"/>
                    <w:lang w:eastAsia="lt-LT"/>
                  </w:rPr>
                </w:pPr>
                <w:r>
                  <w:rPr>
                    <w:rFonts w:eastAsia="CIDFont+F3"/>
                    <w:b/>
                    <w:szCs w:val="24"/>
                    <w:lang w:eastAsia="lt-LT"/>
                  </w:rPr>
                  <w:t>Per pirmuosius 18 gyvenimo metų, kol augote:</w:t>
                </w:r>
              </w:p>
            </w:tc>
            <w:tc>
              <w:tcPr>
                <w:tcW w:w="850" w:type="dxa"/>
              </w:tcPr>
              <w:p>
                <w:pPr>
                  <w:spacing w:line="276" w:lineRule="auto"/>
                  <w:jc w:val="center"/>
                  <w:rPr>
                    <w:rFonts w:eastAsia="CIDFont+F3"/>
                    <w:b/>
                    <w:szCs w:val="24"/>
                    <w:lang w:eastAsia="lt-LT"/>
                  </w:rPr>
                </w:pPr>
                <w:r>
                  <w:rPr>
                    <w:rFonts w:eastAsia="CIDFont+F3"/>
                    <w:b/>
                    <w:szCs w:val="24"/>
                    <w:lang w:eastAsia="lt-LT"/>
                  </w:rPr>
                  <w:t>Ne</w:t>
                </w:r>
              </w:p>
            </w:tc>
            <w:tc>
              <w:tcPr>
                <w:tcW w:w="851" w:type="dxa"/>
              </w:tcPr>
              <w:p>
                <w:pPr>
                  <w:spacing w:line="276" w:lineRule="auto"/>
                  <w:jc w:val="center"/>
                  <w:rPr>
                    <w:rFonts w:eastAsia="CIDFont+F3"/>
                    <w:b/>
                    <w:szCs w:val="24"/>
                    <w:lang w:eastAsia="lt-LT"/>
                  </w:rPr>
                </w:pPr>
                <w:r>
                  <w:rPr>
                    <w:rFonts w:eastAsia="CIDFont+F3"/>
                    <w:b/>
                    <w:szCs w:val="24"/>
                    <w:lang w:eastAsia="lt-LT"/>
                  </w:rPr>
                  <w:t>Taip</w:t>
                </w:r>
              </w:p>
            </w:tc>
            <w:tc>
              <w:tcPr>
                <w:tcW w:w="4706" w:type="dxa"/>
              </w:tcPr>
              <w:p>
                <w:pPr>
                  <w:spacing w:line="276" w:lineRule="auto"/>
                  <w:rPr>
                    <w:rFonts w:eastAsia="CIDFont+F3"/>
                    <w:b/>
                    <w:szCs w:val="24"/>
                    <w:lang w:eastAsia="lt-LT"/>
                  </w:rPr>
                </w:pPr>
                <w:r>
                  <w:rPr>
                    <w:rFonts w:eastAsia="CIDFont+F3"/>
                    <w:b/>
                    <w:szCs w:val="24"/>
                    <w:lang w:eastAsia="lt-LT"/>
                  </w:rPr>
                  <w:t xml:space="preserve">Komentaras, aplinkybės </w:t>
                </w:r>
              </w:p>
              <w:p>
                <w:pPr>
                  <w:spacing w:line="276" w:lineRule="auto"/>
                  <w:rPr>
                    <w:rFonts w:eastAsia="CIDFont+F3"/>
                    <w:i/>
                    <w:szCs w:val="24"/>
                    <w:lang w:eastAsia="lt-LT"/>
                  </w:rPr>
                </w:pPr>
                <w:r>
                  <w:rPr>
                    <w:rFonts w:eastAsia="CIDFont+F3"/>
                    <w:i/>
                    <w:szCs w:val="24"/>
                    <w:lang w:eastAsia="lt-LT"/>
                  </w:rPr>
                  <w:t>(Įrašyti)</w:t>
                </w:r>
              </w:p>
            </w:tc>
          </w:tr>
          <w:tr>
            <w:tc>
              <w:tcPr>
                <w:tcW w:w="4253" w:type="dxa"/>
              </w:tcPr>
              <w:p>
                <w:pPr>
                  <w:spacing w:line="276" w:lineRule="auto"/>
                  <w:rPr>
                    <w:rFonts w:eastAsia="CIDFont+F3"/>
                    <w:bCs/>
                    <w:szCs w:val="24"/>
                    <w:lang w:eastAsia="lt-LT"/>
                  </w:rPr>
                </w:pPr>
                <w:r>
                  <w:rPr>
                    <w:rFonts w:eastAsia="CIDFont+F3"/>
                    <w:bCs/>
                    <w:szCs w:val="24"/>
                    <w:lang w:eastAsia="lt-LT"/>
                  </w:rPr>
                  <w:t xml:space="preserve">Ar tėvai ar kitas suaugęs asmuo šeimoje dažnai jus įžeidinėjo, žemino? </w:t>
                </w:r>
              </w:p>
            </w:tc>
            <w:tc>
              <w:tcPr>
                <w:tcW w:w="850" w:type="dxa"/>
              </w:tcPr>
              <w:p>
                <w:pPr>
                  <w:spacing w:line="276" w:lineRule="auto"/>
                  <w:jc w:val="center"/>
                  <w:rPr>
                    <w:rFonts w:eastAsia="CIDFont+F3"/>
                    <w:b/>
                    <w:szCs w:val="24"/>
                    <w:lang w:eastAsia="lt-LT"/>
                  </w:rPr>
                </w:pPr>
              </w:p>
            </w:tc>
            <w:tc>
              <w:tcPr>
                <w:tcW w:w="851" w:type="dxa"/>
              </w:tcPr>
              <w:p>
                <w:pPr>
                  <w:spacing w:line="276" w:lineRule="auto"/>
                  <w:jc w:val="center"/>
                  <w:rPr>
                    <w:rFonts w:eastAsia="CIDFont+F3"/>
                    <w:b/>
                    <w:szCs w:val="24"/>
                    <w:lang w:eastAsia="lt-LT"/>
                  </w:rPr>
                </w:pPr>
              </w:p>
            </w:tc>
            <w:tc>
              <w:tcPr>
                <w:tcW w:w="4706" w:type="dxa"/>
              </w:tcPr>
              <w:p>
                <w:pPr>
                  <w:spacing w:line="276" w:lineRule="auto"/>
                  <w:rPr>
                    <w:rFonts w:eastAsia="CIDFont+F3"/>
                    <w:b/>
                    <w:szCs w:val="24"/>
                    <w:lang w:eastAsia="lt-LT"/>
                  </w:rPr>
                </w:pPr>
              </w:p>
            </w:tc>
          </w:tr>
          <w:tr>
            <w:tc>
              <w:tcPr>
                <w:tcW w:w="4253" w:type="dxa"/>
              </w:tcPr>
              <w:p>
                <w:pPr>
                  <w:rPr>
                    <w:rFonts w:eastAsia="CIDFont+F3"/>
                    <w:bCs/>
                    <w:szCs w:val="24"/>
                    <w:lang w:eastAsia="lt-LT"/>
                  </w:rPr>
                </w:pPr>
                <w:r>
                  <w:rPr>
                    <w:rFonts w:eastAsia="CIDFont+F3"/>
                    <w:bCs/>
                    <w:szCs w:val="24"/>
                    <w:lang w:eastAsia="lt-LT"/>
                  </w:rPr>
                  <w:t>Ar jūsų šeimoje tėvai ar kiti suaugę asmenys smurtavo?</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4253" w:type="dxa"/>
              </w:tcPr>
              <w:p>
                <w:pPr>
                  <w:rPr>
                    <w:rFonts w:eastAsia="CIDFont+F3"/>
                    <w:bCs/>
                    <w:szCs w:val="24"/>
                    <w:lang w:eastAsia="lt-LT"/>
                  </w:rPr>
                </w:pPr>
                <w:r>
                  <w:rPr>
                    <w:rFonts w:eastAsia="CIDFont+F3"/>
                    <w:bCs/>
                    <w:szCs w:val="24"/>
                    <w:lang w:eastAsia="lt-LT"/>
                  </w:rPr>
                  <w:t>Ar tėvai jums kėlė fizinį pavojų?</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4253" w:type="dxa"/>
              </w:tcPr>
              <w:p>
                <w:pPr>
                  <w:rPr>
                    <w:rFonts w:eastAsia="CIDFont+F3"/>
                    <w:szCs w:val="24"/>
                    <w:lang w:eastAsia="lt-LT"/>
                  </w:rPr>
                </w:pPr>
                <w:r>
                  <w:rPr>
                    <w:rFonts w:eastAsia="CIDFont+F3"/>
                    <w:szCs w:val="24"/>
                    <w:lang w:eastAsia="lt-LT"/>
                  </w:rPr>
                  <w:t xml:space="preserve">Ar tėvai ar kitas suaugęs asmuo šeimoje dažnai stumtelėdavo, sugriebdavo, pliaukštelėdavo ar mesdavo ką nors į jus? </w:t>
                </w:r>
              </w:p>
            </w:tc>
            <w:tc>
              <w:tcPr>
                <w:tcW w:w="850" w:type="dxa"/>
              </w:tcPr>
              <w:p>
                <w:pPr>
                  <w:spacing w:line="276" w:lineRule="auto"/>
                  <w:jc w:val="center"/>
                  <w:rPr>
                    <w:rFonts w:eastAsia="CIDFont+F3"/>
                    <w:b/>
                    <w:szCs w:val="24"/>
                    <w:lang w:eastAsia="lt-LT"/>
                  </w:rPr>
                </w:pPr>
              </w:p>
            </w:tc>
            <w:tc>
              <w:tcPr>
                <w:tcW w:w="851" w:type="dxa"/>
              </w:tcPr>
              <w:p>
                <w:pPr>
                  <w:spacing w:line="276" w:lineRule="auto"/>
                  <w:jc w:val="center"/>
                  <w:rPr>
                    <w:rFonts w:eastAsia="CIDFont+F3"/>
                    <w:b/>
                    <w:szCs w:val="24"/>
                    <w:lang w:eastAsia="lt-LT"/>
                  </w:rPr>
                </w:pPr>
              </w:p>
            </w:tc>
            <w:tc>
              <w:tcPr>
                <w:tcW w:w="4706" w:type="dxa"/>
              </w:tcPr>
              <w:p>
                <w:pPr>
                  <w:spacing w:line="276" w:lineRule="auto"/>
                  <w:rPr>
                    <w:rFonts w:eastAsia="CIDFont+F3"/>
                    <w:b/>
                    <w:szCs w:val="24"/>
                    <w:lang w:eastAsia="lt-LT"/>
                  </w:rPr>
                </w:pPr>
              </w:p>
            </w:tc>
          </w:tr>
          <w:tr>
            <w:tc>
              <w:tcPr>
                <w:tcW w:w="4253" w:type="dxa"/>
              </w:tcPr>
              <w:p>
                <w:pPr>
                  <w:rPr>
                    <w:rFonts w:eastAsia="CIDFont+F3"/>
                    <w:szCs w:val="24"/>
                    <w:lang w:eastAsia="lt-LT"/>
                  </w:rPr>
                </w:pPr>
                <w:r>
                  <w:rPr>
                    <w:rFonts w:eastAsia="CIDFont+F3"/>
                    <w:szCs w:val="24"/>
                    <w:lang w:eastAsia="lt-LT"/>
                  </w:rPr>
                  <w:t>Ar jus kada nors taip sumušė, kad turėjote žymių/mėlynių?</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4253" w:type="dxa"/>
              </w:tcPr>
              <w:p>
                <w:pPr>
                  <w:tabs>
                    <w:tab w:val="left" w:pos="1065"/>
                  </w:tabs>
                  <w:rPr>
                    <w:rFonts w:eastAsia="CIDFont+F3"/>
                    <w:bCs/>
                    <w:szCs w:val="24"/>
                    <w:lang w:eastAsia="lt-LT"/>
                  </w:rPr>
                </w:pPr>
                <w:r>
                  <w:rPr>
                    <w:rFonts w:eastAsia="CIDFont+F3"/>
                    <w:bCs/>
                    <w:szCs w:val="24"/>
                    <w:lang w:eastAsia="lt-LT"/>
                  </w:rPr>
                  <w:t xml:space="preserve">Ar suaugęs arba bent 5 metais už jus vyresnis asmuo yra seksualiai jus lietęs, glamonėjęs, vertęs seksualiai liesti jų kūną? </w:t>
                </w:r>
              </w:p>
            </w:tc>
            <w:tc>
              <w:tcPr>
                <w:tcW w:w="850" w:type="dxa"/>
              </w:tcPr>
              <w:p>
                <w:pPr>
                  <w:spacing w:line="276" w:lineRule="auto"/>
                  <w:jc w:val="center"/>
                  <w:rPr>
                    <w:rFonts w:eastAsia="CIDFont+F3"/>
                    <w:b/>
                    <w:szCs w:val="24"/>
                    <w:lang w:eastAsia="lt-LT"/>
                  </w:rPr>
                </w:pPr>
              </w:p>
            </w:tc>
            <w:tc>
              <w:tcPr>
                <w:tcW w:w="851" w:type="dxa"/>
              </w:tcPr>
              <w:p>
                <w:pPr>
                  <w:spacing w:line="276" w:lineRule="auto"/>
                  <w:jc w:val="center"/>
                  <w:rPr>
                    <w:rFonts w:eastAsia="CIDFont+F3"/>
                    <w:b/>
                    <w:szCs w:val="24"/>
                    <w:lang w:eastAsia="lt-LT"/>
                  </w:rPr>
                </w:pPr>
              </w:p>
            </w:tc>
            <w:tc>
              <w:tcPr>
                <w:tcW w:w="4706" w:type="dxa"/>
              </w:tcPr>
              <w:p>
                <w:pPr>
                  <w:spacing w:line="276" w:lineRule="auto"/>
                  <w:rPr>
                    <w:rFonts w:eastAsia="CIDFont+F3"/>
                    <w:b/>
                    <w:szCs w:val="24"/>
                    <w:lang w:eastAsia="lt-LT"/>
                  </w:rPr>
                </w:pPr>
              </w:p>
            </w:tc>
          </w:tr>
          <w:tr>
            <w:tc>
              <w:tcPr>
                <w:tcW w:w="4253" w:type="dxa"/>
              </w:tcPr>
              <w:p>
                <w:pPr>
                  <w:rPr>
                    <w:rFonts w:eastAsia="CIDFont+F3"/>
                    <w:b/>
                    <w:szCs w:val="24"/>
                    <w:lang w:eastAsia="lt-LT"/>
                  </w:rPr>
                </w:pPr>
                <w:r>
                  <w:rPr>
                    <w:rFonts w:eastAsia="CIDFont+F3"/>
                    <w:bCs/>
                    <w:szCs w:val="24"/>
                    <w:lang w:eastAsia="lt-LT"/>
                  </w:rPr>
                  <w:t xml:space="preserve">Ar dažnai jautėte, kad šeimoje niekas jūsų nemylėjo ir nemanė, kad esate svarbi ar ypatinga? </w:t>
                </w:r>
              </w:p>
            </w:tc>
            <w:tc>
              <w:tcPr>
                <w:tcW w:w="850" w:type="dxa"/>
              </w:tcPr>
              <w:p>
                <w:pPr>
                  <w:spacing w:line="276" w:lineRule="auto"/>
                  <w:jc w:val="center"/>
                  <w:rPr>
                    <w:rFonts w:eastAsia="CIDFont+F3"/>
                    <w:b/>
                    <w:szCs w:val="24"/>
                    <w:lang w:eastAsia="lt-LT"/>
                  </w:rPr>
                </w:pPr>
              </w:p>
            </w:tc>
            <w:tc>
              <w:tcPr>
                <w:tcW w:w="851" w:type="dxa"/>
              </w:tcPr>
              <w:p>
                <w:pPr>
                  <w:spacing w:line="276" w:lineRule="auto"/>
                  <w:jc w:val="center"/>
                  <w:rPr>
                    <w:rFonts w:eastAsia="CIDFont+F3"/>
                    <w:b/>
                    <w:szCs w:val="24"/>
                    <w:lang w:eastAsia="lt-LT"/>
                  </w:rPr>
                </w:pPr>
              </w:p>
            </w:tc>
            <w:tc>
              <w:tcPr>
                <w:tcW w:w="4706" w:type="dxa"/>
              </w:tcPr>
              <w:p>
                <w:pPr>
                  <w:spacing w:line="276" w:lineRule="auto"/>
                  <w:rPr>
                    <w:rFonts w:eastAsia="CIDFont+F3"/>
                    <w:b/>
                    <w:szCs w:val="24"/>
                    <w:lang w:eastAsia="lt-LT"/>
                  </w:rPr>
                </w:pPr>
              </w:p>
            </w:tc>
          </w:tr>
          <w:tr>
            <w:tc>
              <w:tcPr>
                <w:tcW w:w="4253" w:type="dxa"/>
              </w:tcPr>
              <w:p>
                <w:pPr>
                  <w:rPr>
                    <w:rFonts w:eastAsia="CIDFont+F3"/>
                    <w:bCs/>
                    <w:szCs w:val="24"/>
                    <w:lang w:eastAsia="lt-LT"/>
                  </w:rPr>
                </w:pPr>
                <w:r>
                  <w:rPr>
                    <w:rFonts w:eastAsia="CIDFont+F3"/>
                    <w:bCs/>
                    <w:szCs w:val="24"/>
                    <w:lang w:eastAsia="lt-LT"/>
                  </w:rPr>
                  <w:t>Ar jūsų šeima buvo artima, palaikanti, kūrė saugumo ir pasitikėjimo jausmą?</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4253" w:type="dxa"/>
              </w:tcPr>
              <w:p>
                <w:pPr>
                  <w:rPr>
                    <w:rFonts w:eastAsia="CIDFont+F3"/>
                    <w:szCs w:val="24"/>
                    <w:lang w:eastAsia="lt-LT"/>
                  </w:rPr>
                </w:pPr>
                <w:r>
                  <w:rPr>
                    <w:rFonts w:eastAsia="CIDFont+F3"/>
                    <w:szCs w:val="24"/>
                    <w:lang w:eastAsia="lt-LT"/>
                  </w:rPr>
                  <w:t xml:space="preserve">Ar dažnai neturėjote pakankamai valgyti? </w:t>
                </w:r>
              </w:p>
            </w:tc>
            <w:tc>
              <w:tcPr>
                <w:tcW w:w="850" w:type="dxa"/>
              </w:tcPr>
              <w:p>
                <w:pPr>
                  <w:spacing w:line="276" w:lineRule="auto"/>
                  <w:jc w:val="center"/>
                  <w:rPr>
                    <w:rFonts w:eastAsia="CIDFont+F3"/>
                    <w:b/>
                    <w:szCs w:val="24"/>
                    <w:lang w:eastAsia="lt-LT"/>
                  </w:rPr>
                </w:pPr>
              </w:p>
            </w:tc>
            <w:tc>
              <w:tcPr>
                <w:tcW w:w="851" w:type="dxa"/>
              </w:tcPr>
              <w:p>
                <w:pPr>
                  <w:spacing w:line="276" w:lineRule="auto"/>
                  <w:jc w:val="center"/>
                  <w:rPr>
                    <w:rFonts w:eastAsia="CIDFont+F3"/>
                    <w:b/>
                    <w:szCs w:val="24"/>
                    <w:lang w:eastAsia="lt-LT"/>
                  </w:rPr>
                </w:pPr>
              </w:p>
            </w:tc>
            <w:tc>
              <w:tcPr>
                <w:tcW w:w="4706" w:type="dxa"/>
              </w:tcPr>
              <w:p>
                <w:pPr>
                  <w:spacing w:line="276" w:lineRule="auto"/>
                  <w:rPr>
                    <w:rFonts w:eastAsia="CIDFont+F3"/>
                    <w:b/>
                    <w:szCs w:val="24"/>
                    <w:lang w:eastAsia="lt-LT"/>
                  </w:rPr>
                </w:pPr>
              </w:p>
            </w:tc>
          </w:tr>
          <w:tr>
            <w:tc>
              <w:tcPr>
                <w:tcW w:w="4253" w:type="dxa"/>
              </w:tcPr>
              <w:p>
                <w:pPr>
                  <w:rPr>
                    <w:rFonts w:eastAsia="CIDFont+F3"/>
                    <w:szCs w:val="24"/>
                    <w:lang w:eastAsia="lt-LT"/>
                  </w:rPr>
                </w:pPr>
                <w:r>
                  <w:rPr>
                    <w:rFonts w:eastAsia="CIDFont+F3"/>
                    <w:szCs w:val="24"/>
                    <w:lang w:eastAsia="lt-LT"/>
                  </w:rPr>
                  <w:t>Ar dažnai turėjote dėvėti nešvarius drabužius?</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4253" w:type="dxa"/>
              </w:tcPr>
              <w:p>
                <w:pPr>
                  <w:rPr>
                    <w:rFonts w:eastAsia="CIDFont+F3"/>
                    <w:szCs w:val="24"/>
                    <w:lang w:eastAsia="lt-LT"/>
                  </w:rPr>
                </w:pPr>
                <w:r>
                  <w:rPr>
                    <w:rFonts w:eastAsia="CIDFont+F3"/>
                    <w:szCs w:val="24"/>
                    <w:lang w:eastAsia="lt-LT"/>
                  </w:rPr>
                  <w:t>Ar šeimoje jautėtės saugi?</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4253" w:type="dxa"/>
              </w:tcPr>
              <w:p>
                <w:pPr>
                  <w:rPr>
                    <w:rFonts w:eastAsia="CIDFont+F3"/>
                    <w:szCs w:val="24"/>
                    <w:lang w:eastAsia="lt-LT"/>
                  </w:rPr>
                </w:pPr>
                <w:r>
                  <w:rPr>
                    <w:rFonts w:eastAsia="CIDFont+F3"/>
                    <w:szCs w:val="24"/>
                    <w:lang w:eastAsia="lt-LT"/>
                  </w:rPr>
                  <w:t>Ar tėvai kada nors buvo per daug girti ar apsvaigę nuo narkotikų, kad galėtų jumis pasirūpinti (pvz.: nuvesti pas gydytoją), jei to prireiktų?</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4253" w:type="dxa"/>
              </w:tcPr>
              <w:p>
                <w:pPr>
                  <w:rPr>
                    <w:rFonts w:eastAsia="CIDFont+F3"/>
                    <w:bCs/>
                    <w:szCs w:val="24"/>
                    <w:lang w:eastAsia="lt-LT"/>
                  </w:rPr>
                </w:pPr>
                <w:r>
                  <w:rPr>
                    <w:rFonts w:eastAsia="CIDFont+F3"/>
                    <w:bCs/>
                    <w:szCs w:val="24"/>
                    <w:lang w:eastAsia="lt-LT"/>
                  </w:rPr>
                  <w:t>Ar jūsų tėvai buvo išsiskyrę ar gyveno atskirai?</w:t>
                </w:r>
              </w:p>
            </w:tc>
            <w:tc>
              <w:tcPr>
                <w:tcW w:w="850" w:type="dxa"/>
              </w:tcPr>
              <w:p>
                <w:pPr>
                  <w:spacing w:line="276" w:lineRule="auto"/>
                  <w:jc w:val="center"/>
                  <w:rPr>
                    <w:rFonts w:eastAsia="CIDFont+F3"/>
                    <w:b/>
                    <w:szCs w:val="24"/>
                    <w:lang w:eastAsia="lt-LT"/>
                  </w:rPr>
                </w:pPr>
              </w:p>
            </w:tc>
            <w:tc>
              <w:tcPr>
                <w:tcW w:w="851" w:type="dxa"/>
              </w:tcPr>
              <w:p>
                <w:pPr>
                  <w:spacing w:line="276" w:lineRule="auto"/>
                  <w:jc w:val="center"/>
                  <w:rPr>
                    <w:rFonts w:eastAsia="CIDFont+F3"/>
                    <w:b/>
                    <w:szCs w:val="24"/>
                    <w:lang w:eastAsia="lt-LT"/>
                  </w:rPr>
                </w:pPr>
              </w:p>
            </w:tc>
            <w:tc>
              <w:tcPr>
                <w:tcW w:w="4706" w:type="dxa"/>
              </w:tcPr>
              <w:p>
                <w:pPr>
                  <w:spacing w:line="276" w:lineRule="auto"/>
                  <w:rPr>
                    <w:rFonts w:eastAsia="CIDFont+F3"/>
                    <w:b/>
                    <w:szCs w:val="24"/>
                    <w:lang w:eastAsia="lt-LT"/>
                  </w:rPr>
                </w:pPr>
              </w:p>
            </w:tc>
          </w:tr>
          <w:tr>
            <w:tc>
              <w:tcPr>
                <w:tcW w:w="4253" w:type="dxa"/>
              </w:tcPr>
              <w:p>
                <w:pPr>
                  <w:rPr>
                    <w:rFonts w:eastAsia="CIDFont+F3"/>
                    <w:bCs/>
                    <w:szCs w:val="24"/>
                    <w:lang w:eastAsia="lt-LT"/>
                  </w:rPr>
                </w:pPr>
                <w:r>
                  <w:rPr>
                    <w:rFonts w:eastAsia="CIDFont+F3"/>
                    <w:bCs/>
                    <w:szCs w:val="24"/>
                    <w:lang w:eastAsia="lt-LT"/>
                  </w:rPr>
                  <w:t xml:space="preserve">Ar jūsų mamą ar pamotę: </w:t>
                </w:r>
              </w:p>
              <w:p>
                <w:pPr>
                  <w:rPr>
                    <w:rFonts w:eastAsia="CIDFont+F3"/>
                    <w:b/>
                    <w:szCs w:val="24"/>
                    <w:lang w:eastAsia="lt-LT"/>
                  </w:rPr>
                </w:pPr>
                <w:r>
                  <w:rPr>
                    <w:rFonts w:eastAsia="CIDFont+F3"/>
                    <w:bCs/>
                    <w:szCs w:val="24"/>
                    <w:lang w:eastAsia="lt-LT"/>
                  </w:rPr>
                  <w:t xml:space="preserve">dažnai stumdydavo, sugriebdavo, pliaukštelėdavo ar ką nors mesdavo į ją? </w:t>
                </w:r>
              </w:p>
            </w:tc>
            <w:tc>
              <w:tcPr>
                <w:tcW w:w="850" w:type="dxa"/>
              </w:tcPr>
              <w:p>
                <w:pPr>
                  <w:spacing w:line="276" w:lineRule="auto"/>
                  <w:jc w:val="center"/>
                  <w:rPr>
                    <w:rFonts w:eastAsia="CIDFont+F3"/>
                    <w:b/>
                    <w:szCs w:val="24"/>
                    <w:lang w:eastAsia="lt-LT"/>
                  </w:rPr>
                </w:pPr>
              </w:p>
            </w:tc>
            <w:tc>
              <w:tcPr>
                <w:tcW w:w="851" w:type="dxa"/>
              </w:tcPr>
              <w:p>
                <w:pPr>
                  <w:spacing w:line="276" w:lineRule="auto"/>
                  <w:jc w:val="center"/>
                  <w:rPr>
                    <w:rFonts w:eastAsia="CIDFont+F3"/>
                    <w:b/>
                    <w:szCs w:val="24"/>
                    <w:lang w:eastAsia="lt-LT"/>
                  </w:rPr>
                </w:pPr>
              </w:p>
            </w:tc>
            <w:tc>
              <w:tcPr>
                <w:tcW w:w="4706" w:type="dxa"/>
              </w:tcPr>
              <w:p>
                <w:pPr>
                  <w:spacing w:line="276" w:lineRule="auto"/>
                  <w:rPr>
                    <w:rFonts w:eastAsia="CIDFont+F3"/>
                    <w:b/>
                    <w:szCs w:val="24"/>
                    <w:lang w:eastAsia="lt-LT"/>
                  </w:rPr>
                </w:pPr>
              </w:p>
            </w:tc>
          </w:tr>
          <w:tr>
            <w:tc>
              <w:tcPr>
                <w:tcW w:w="4253" w:type="dxa"/>
              </w:tcPr>
              <w:p>
                <w:pPr>
                  <w:rPr>
                    <w:rFonts w:eastAsia="CIDFont+F3"/>
                    <w:szCs w:val="24"/>
                    <w:lang w:eastAsia="lt-LT"/>
                  </w:rPr>
                </w:pPr>
                <w:r>
                  <w:rPr>
                    <w:rFonts w:eastAsia="CIDFont+F3"/>
                    <w:szCs w:val="24"/>
                    <w:lang w:eastAsia="lt-LT"/>
                  </w:rPr>
                  <w:t>Ar jūs gyvenote su kuo nors, kas turėjo problemų dėl alkoholio vartojimo ar vartojo narkotikus?</w:t>
                </w:r>
              </w:p>
            </w:tc>
            <w:tc>
              <w:tcPr>
                <w:tcW w:w="850" w:type="dxa"/>
              </w:tcPr>
              <w:p>
                <w:pPr>
                  <w:spacing w:line="276" w:lineRule="auto"/>
                  <w:jc w:val="center"/>
                  <w:rPr>
                    <w:rFonts w:eastAsia="CIDFont+F3"/>
                    <w:b/>
                    <w:szCs w:val="24"/>
                    <w:lang w:eastAsia="lt-LT"/>
                  </w:rPr>
                </w:pPr>
              </w:p>
            </w:tc>
            <w:tc>
              <w:tcPr>
                <w:tcW w:w="851" w:type="dxa"/>
              </w:tcPr>
              <w:p>
                <w:pPr>
                  <w:spacing w:line="276" w:lineRule="auto"/>
                  <w:jc w:val="center"/>
                  <w:rPr>
                    <w:rFonts w:eastAsia="CIDFont+F3"/>
                    <w:b/>
                    <w:szCs w:val="24"/>
                    <w:lang w:eastAsia="lt-LT"/>
                  </w:rPr>
                </w:pPr>
              </w:p>
            </w:tc>
            <w:tc>
              <w:tcPr>
                <w:tcW w:w="4706" w:type="dxa"/>
              </w:tcPr>
              <w:p>
                <w:pPr>
                  <w:spacing w:line="276" w:lineRule="auto"/>
                  <w:rPr>
                    <w:rFonts w:eastAsia="CIDFont+F3"/>
                    <w:b/>
                    <w:szCs w:val="24"/>
                    <w:lang w:eastAsia="lt-LT"/>
                  </w:rPr>
                </w:pPr>
              </w:p>
            </w:tc>
          </w:tr>
          <w:tr>
            <w:tc>
              <w:tcPr>
                <w:tcW w:w="4253" w:type="dxa"/>
              </w:tcPr>
              <w:p>
                <w:pPr>
                  <w:rPr>
                    <w:rFonts w:eastAsia="CIDFont+F3"/>
                    <w:szCs w:val="24"/>
                    <w:lang w:eastAsia="lt-LT"/>
                  </w:rPr>
                </w:pPr>
                <w:r>
                  <w:rPr>
                    <w:rFonts w:eastAsia="CIDFont+F3"/>
                    <w:szCs w:val="24"/>
                    <w:lang w:eastAsia="lt-LT"/>
                  </w:rPr>
                  <w:t>Ar šeimos narys sirgo depresija ar turėjo kitą psichinę ligą?</w:t>
                </w:r>
              </w:p>
            </w:tc>
            <w:tc>
              <w:tcPr>
                <w:tcW w:w="850" w:type="dxa"/>
              </w:tcPr>
              <w:p>
                <w:pPr>
                  <w:spacing w:line="276" w:lineRule="auto"/>
                  <w:jc w:val="center"/>
                  <w:rPr>
                    <w:rFonts w:eastAsia="CIDFont+F3"/>
                    <w:b/>
                    <w:szCs w:val="24"/>
                    <w:lang w:eastAsia="lt-LT"/>
                  </w:rPr>
                </w:pPr>
              </w:p>
            </w:tc>
            <w:tc>
              <w:tcPr>
                <w:tcW w:w="851" w:type="dxa"/>
              </w:tcPr>
              <w:p>
                <w:pPr>
                  <w:spacing w:line="276" w:lineRule="auto"/>
                  <w:jc w:val="center"/>
                  <w:rPr>
                    <w:rFonts w:eastAsia="CIDFont+F3"/>
                    <w:b/>
                    <w:szCs w:val="24"/>
                    <w:lang w:eastAsia="lt-LT"/>
                  </w:rPr>
                </w:pPr>
              </w:p>
            </w:tc>
            <w:tc>
              <w:tcPr>
                <w:tcW w:w="4706" w:type="dxa"/>
              </w:tcPr>
              <w:p>
                <w:pPr>
                  <w:spacing w:line="276" w:lineRule="auto"/>
                  <w:rPr>
                    <w:rFonts w:eastAsia="CIDFont+F3"/>
                    <w:b/>
                    <w:szCs w:val="24"/>
                    <w:lang w:eastAsia="lt-LT"/>
                  </w:rPr>
                </w:pPr>
              </w:p>
            </w:tc>
          </w:tr>
          <w:tr>
            <w:tc>
              <w:tcPr>
                <w:tcW w:w="4253" w:type="dxa"/>
              </w:tcPr>
              <w:p>
                <w:pPr>
                  <w:rPr>
                    <w:rFonts w:eastAsia="CIDFont+F3"/>
                    <w:szCs w:val="24"/>
                    <w:lang w:eastAsia="lt-LT"/>
                  </w:rPr>
                </w:pPr>
                <w:r>
                  <w:rPr>
                    <w:rFonts w:eastAsia="CIDFont+F3"/>
                    <w:szCs w:val="24"/>
                    <w:lang w:eastAsia="lt-LT"/>
                  </w:rPr>
                  <w:t>Ar šeimos narys bandė nusižudyti?</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10660" w:type="dxa"/>
                <w:gridSpan w:val="4"/>
              </w:tcPr>
              <w:p>
                <w:pPr>
                  <w:rPr>
                    <w:rFonts w:eastAsia="CIDFont+F3"/>
                    <w:b/>
                    <w:szCs w:val="24"/>
                    <w:lang w:eastAsia="lt-LT"/>
                  </w:rPr>
                </w:pPr>
              </w:p>
            </w:tc>
          </w:tr>
          <w:tr>
            <w:tc>
              <w:tcPr>
                <w:tcW w:w="4253" w:type="dxa"/>
              </w:tcPr>
              <w:p>
                <w:pPr>
                  <w:rPr>
                    <w:rFonts w:eastAsia="CIDFont+F3"/>
                    <w:szCs w:val="24"/>
                    <w:lang w:eastAsia="lt-LT"/>
                  </w:rPr>
                </w:pPr>
                <w:r>
                  <w:rPr>
                    <w:rFonts w:eastAsia="CIDFont+F3"/>
                    <w:b/>
                    <w:bCs/>
                    <w:szCs w:val="24"/>
                    <w:lang w:eastAsia="lt-LT"/>
                  </w:rPr>
                  <w:t>Ar šiuo metu jūs:</w:t>
                </w:r>
              </w:p>
            </w:tc>
            <w:tc>
              <w:tcPr>
                <w:tcW w:w="850" w:type="dxa"/>
              </w:tcPr>
              <w:p>
                <w:pPr>
                  <w:jc w:val="center"/>
                  <w:rPr>
                    <w:rFonts w:eastAsia="CIDFont+F3"/>
                    <w:b/>
                    <w:szCs w:val="24"/>
                    <w:lang w:eastAsia="lt-LT"/>
                  </w:rPr>
                </w:pPr>
                <w:r>
                  <w:rPr>
                    <w:rFonts w:eastAsia="CIDFont+F3"/>
                    <w:b/>
                    <w:szCs w:val="24"/>
                    <w:lang w:eastAsia="lt-LT"/>
                  </w:rPr>
                  <w:t>Taip</w:t>
                </w:r>
              </w:p>
            </w:tc>
            <w:tc>
              <w:tcPr>
                <w:tcW w:w="851" w:type="dxa"/>
              </w:tcPr>
              <w:p>
                <w:pPr>
                  <w:jc w:val="center"/>
                  <w:rPr>
                    <w:rFonts w:eastAsia="CIDFont+F3"/>
                    <w:b/>
                    <w:szCs w:val="24"/>
                    <w:lang w:eastAsia="lt-LT"/>
                  </w:rPr>
                </w:pPr>
                <w:r>
                  <w:rPr>
                    <w:rFonts w:eastAsia="CIDFont+F3"/>
                    <w:b/>
                    <w:szCs w:val="24"/>
                    <w:lang w:eastAsia="lt-LT"/>
                  </w:rPr>
                  <w:t>Ne</w:t>
                </w:r>
              </w:p>
            </w:tc>
            <w:tc>
              <w:tcPr>
                <w:tcW w:w="4706" w:type="dxa"/>
              </w:tcPr>
              <w:p>
                <w:pPr>
                  <w:rPr>
                    <w:rFonts w:eastAsia="CIDFont+F3"/>
                    <w:b/>
                    <w:szCs w:val="24"/>
                    <w:lang w:eastAsia="lt-LT"/>
                  </w:rPr>
                </w:pPr>
                <w:r>
                  <w:rPr>
                    <w:rFonts w:eastAsia="CIDFont+F3"/>
                    <w:b/>
                    <w:szCs w:val="24"/>
                    <w:lang w:eastAsia="lt-LT"/>
                  </w:rPr>
                  <w:t xml:space="preserve">Komentaras, aplinkybės </w:t>
                </w:r>
              </w:p>
              <w:p>
                <w:pPr>
                  <w:rPr>
                    <w:rFonts w:eastAsia="CIDFont+F3"/>
                    <w:b/>
                    <w:szCs w:val="24"/>
                    <w:lang w:eastAsia="lt-LT"/>
                  </w:rPr>
                </w:pPr>
                <w:r>
                  <w:rPr>
                    <w:rFonts w:eastAsia="CIDFont+F3"/>
                    <w:b/>
                    <w:szCs w:val="24"/>
                    <w:lang w:eastAsia="lt-LT"/>
                  </w:rPr>
                  <w:t>(Įrašyti)</w:t>
                </w:r>
              </w:p>
            </w:tc>
          </w:tr>
          <w:tr>
            <w:tc>
              <w:tcPr>
                <w:tcW w:w="4253" w:type="dxa"/>
              </w:tcPr>
              <w:p>
                <w:pPr>
                  <w:spacing w:line="276" w:lineRule="auto"/>
                  <w:rPr>
                    <w:szCs w:val="24"/>
                    <w:lang w:eastAsia="lt-LT"/>
                  </w:rPr>
                </w:pPr>
                <w:r>
                  <w:rPr>
                    <w:szCs w:val="24"/>
                    <w:lang w:eastAsia="lt-LT"/>
                  </w:rPr>
                  <w:t>Domitės pozityviais vaiko auklėjimo būdais?</w:t>
                </w:r>
              </w:p>
            </w:tc>
            <w:tc>
              <w:tcPr>
                <w:tcW w:w="850" w:type="dxa"/>
              </w:tcPr>
              <w:p>
                <w:pPr>
                  <w:spacing w:line="276" w:lineRule="auto"/>
                  <w:jc w:val="center"/>
                  <w:rPr>
                    <w:rFonts w:eastAsia="CIDFont+F3"/>
                    <w:b/>
                    <w:szCs w:val="24"/>
                    <w:lang w:eastAsia="lt-LT"/>
                  </w:rPr>
                </w:pPr>
              </w:p>
            </w:tc>
            <w:tc>
              <w:tcPr>
                <w:tcW w:w="851" w:type="dxa"/>
              </w:tcPr>
              <w:p>
                <w:pPr>
                  <w:spacing w:line="276" w:lineRule="auto"/>
                  <w:jc w:val="center"/>
                  <w:rPr>
                    <w:rFonts w:eastAsia="CIDFont+F3"/>
                    <w:b/>
                    <w:szCs w:val="24"/>
                    <w:lang w:eastAsia="lt-LT"/>
                  </w:rPr>
                </w:pPr>
              </w:p>
            </w:tc>
            <w:tc>
              <w:tcPr>
                <w:tcW w:w="4706" w:type="dxa"/>
              </w:tcPr>
              <w:p>
                <w:pPr>
                  <w:spacing w:line="276" w:lineRule="auto"/>
                  <w:rPr>
                    <w:rFonts w:eastAsia="CIDFont+F3"/>
                    <w:b/>
                    <w:szCs w:val="24"/>
                    <w:lang w:eastAsia="lt-LT"/>
                  </w:rPr>
                </w:pPr>
              </w:p>
            </w:tc>
          </w:tr>
          <w:tr>
            <w:tc>
              <w:tcPr>
                <w:tcW w:w="4253" w:type="dxa"/>
              </w:tcPr>
              <w:p>
                <w:pPr>
                  <w:rPr>
                    <w:szCs w:val="24"/>
                    <w:lang w:eastAsia="lt-LT"/>
                  </w:rPr>
                </w:pPr>
                <w:r>
                  <w:rPr>
                    <w:szCs w:val="24"/>
                    <w:lang w:eastAsia="lt-LT"/>
                  </w:rPr>
                  <w:t>Lankote pozityvios tėvystės “mokyklėles”, klausote kursus internetu ar skaitote knygas apie tai?</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4253" w:type="dxa"/>
              </w:tcPr>
              <w:p>
                <w:pPr>
                  <w:rPr>
                    <w:szCs w:val="24"/>
                    <w:lang w:eastAsia="lt-LT"/>
                  </w:rPr>
                </w:pPr>
                <w:r>
                  <w:rPr>
                    <w:szCs w:val="24"/>
                    <w:lang w:eastAsia="lt-LT"/>
                  </w:rPr>
                  <w:t>Manote, kad žeminančios bausmės gali padėti vaiko ugdymo procese?</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4253" w:type="dxa"/>
              </w:tcPr>
              <w:p>
                <w:pPr>
                  <w:rPr>
                    <w:szCs w:val="24"/>
                    <w:lang w:eastAsia="lt-LT"/>
                  </w:rPr>
                </w:pPr>
                <w:r>
                  <w:rPr>
                    <w:szCs w:val="24"/>
                    <w:lang w:eastAsia="lt-LT"/>
                  </w:rPr>
                  <w:t>Pritariate, kad tam tikrais atvejais fizinės bausmės yra vienintelis būdas auklėti vaiką?</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4253" w:type="dxa"/>
              </w:tcPr>
              <w:p>
                <w:pPr>
                  <w:rPr>
                    <w:szCs w:val="24"/>
                    <w:lang w:eastAsia="lt-LT"/>
                  </w:rPr>
                </w:pPr>
                <w:r>
                  <w:rPr>
                    <w:szCs w:val="24"/>
                    <w:lang w:eastAsia="lt-LT"/>
                  </w:rPr>
                  <w:t>Manote, kad fizinės bausmės gali sutrikdyti vaiko raidos vystymąsi?</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r>
            <w:tc>
              <w:tcPr>
                <w:tcW w:w="4253" w:type="dxa"/>
              </w:tcPr>
              <w:p>
                <w:pPr>
                  <w:rPr>
                    <w:szCs w:val="24"/>
                    <w:lang w:eastAsia="lt-LT"/>
                  </w:rPr>
                </w:pPr>
                <w:r>
                  <w:rPr>
                    <w:szCs w:val="24"/>
                    <w:lang w:eastAsia="lt-LT"/>
                  </w:rPr>
                  <w:t>Pykstatės su savo vyru/sugyventiniu dėl vaiko auklėjimo būdų?</w:t>
                </w:r>
              </w:p>
            </w:tc>
            <w:tc>
              <w:tcPr>
                <w:tcW w:w="850" w:type="dxa"/>
              </w:tcPr>
              <w:p>
                <w:pPr>
                  <w:jc w:val="center"/>
                  <w:rPr>
                    <w:rFonts w:eastAsia="CIDFont+F3"/>
                    <w:b/>
                    <w:szCs w:val="24"/>
                    <w:lang w:eastAsia="lt-LT"/>
                  </w:rPr>
                </w:pPr>
              </w:p>
            </w:tc>
            <w:tc>
              <w:tcPr>
                <w:tcW w:w="851" w:type="dxa"/>
              </w:tcPr>
              <w:p>
                <w:pPr>
                  <w:jc w:val="center"/>
                  <w:rPr>
                    <w:rFonts w:eastAsia="CIDFont+F3"/>
                    <w:b/>
                    <w:szCs w:val="24"/>
                    <w:lang w:eastAsia="lt-LT"/>
                  </w:rPr>
                </w:pPr>
              </w:p>
            </w:tc>
            <w:tc>
              <w:tcPr>
                <w:tcW w:w="4706" w:type="dxa"/>
              </w:tcPr>
              <w:p>
                <w:pPr>
                  <w:rPr>
                    <w:rFonts w:eastAsia="CIDFont+F3"/>
                    <w:b/>
                    <w:szCs w:val="24"/>
                    <w:lang w:eastAsia="lt-LT"/>
                  </w:rPr>
                </w:pPr>
              </w:p>
            </w:tc>
          </w:tr>
        </w:tbl>
        <w:p>
          <w:pPr>
            <w:widowControl w:val="0"/>
            <w:rPr>
              <w:rFonts w:ascii="Calibri" w:hAnsi="Calibri"/>
              <w:sz w:val="22"/>
              <w:szCs w:val="22"/>
              <w:lang w:eastAsia="lt-LT"/>
            </w:rPr>
          </w:pPr>
        </w:p>
        <w:p>
          <w:pPr>
            <w:widowControl w:val="0"/>
            <w:rPr>
              <w:szCs w:val="24"/>
              <w:lang w:eastAsia="lt-LT"/>
            </w:rPr>
          </w:pPr>
          <w:r>
            <w:rPr>
              <w:szCs w:val="24"/>
              <w:lang w:eastAsia="lt-LT"/>
            </w:rPr>
            <w:t>RIZIKOS LYGIAI:</w:t>
          </w:r>
        </w:p>
        <w:tbl>
          <w:tblPr>
            <w:tblW w:w="0" w:type="auto"/>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0"/>
            <w:gridCol w:w="9223"/>
          </w:tblGrid>
          <w:tr>
            <w:tc>
              <w:tcPr>
                <w:tcW w:w="1440" w:type="dxa"/>
                <w:vAlign w:val="center"/>
              </w:tcPr>
              <w:p>
                <w:pPr>
                  <w:widowControl w:val="0"/>
                  <w:jc w:val="center"/>
                  <w:rPr>
                    <w:sz w:val="32"/>
                    <w:szCs w:val="32"/>
                    <w:lang w:eastAsia="lt-LT"/>
                  </w:rPr>
                </w:pPr>
                <w:r>
                  <w:rPr>
                    <w:sz w:val="32"/>
                    <w:szCs w:val="32"/>
                    <w:lang w:eastAsia="lt-LT"/>
                  </w:rPr>
                  <w:t>0</w:t>
                </w:r>
              </w:p>
            </w:tc>
            <w:tc>
              <w:tcPr>
                <w:tcW w:w="9517" w:type="dxa"/>
              </w:tcPr>
              <w:p>
                <w:pPr>
                  <w:widowControl w:val="0"/>
                  <w:rPr>
                    <w:szCs w:val="24"/>
                    <w:lang w:eastAsia="lt-LT"/>
                  </w:rPr>
                </w:pPr>
                <w:r>
                  <w:rPr>
                    <w:szCs w:val="24"/>
                    <w:lang w:eastAsia="lt-LT"/>
                  </w:rPr>
                  <w:sym w:font="Symbol" w:char="F0B7"/>
                  <w:t xml:space="preserve"> Nėščioji turi žinių apie pozityvius vaiko auklėjimo būdus, aktyviai domisi auklėjimu ir (ar) lanko pozityvios tėvystės programas ar panašias veiklas. Nėščiosios požiūris į žeminančias bausmes neigiamas, ji supranta tokių bausmių žalą vaikui ir jo raidai. </w:t>
                </w:r>
              </w:p>
              <w:p>
                <w:pPr>
                  <w:widowControl w:val="0"/>
                  <w:rPr>
                    <w:szCs w:val="24"/>
                    <w:highlight w:val="cyan"/>
                    <w:lang w:eastAsia="lt-LT"/>
                  </w:rPr>
                </w:pPr>
                <w:r>
                  <w:rPr>
                    <w:szCs w:val="24"/>
                    <w:lang w:eastAsia="lt-LT"/>
                  </w:rPr>
                  <w:sym w:font="Symbol" w:char="F0B7"/>
                  <w:t xml:space="preserve"> Nėščiosios vaikystės patirtys teigiamos, jos tėvai (globėjai) taikė pozityvius auklėjimo būdus. Auklėjimas buvo nuoseklus, tėvai (globėjai) nenaudojo jokių žeminančių bausmių.</w:t>
                </w:r>
              </w:p>
            </w:tc>
          </w:tr>
          <w:tr>
            <w:tc>
              <w:tcPr>
                <w:tcW w:w="1440" w:type="dxa"/>
                <w:vAlign w:val="center"/>
              </w:tcPr>
              <w:p>
                <w:pPr>
                  <w:widowControl w:val="0"/>
                  <w:jc w:val="center"/>
                  <w:rPr>
                    <w:sz w:val="32"/>
                    <w:szCs w:val="32"/>
                    <w:lang w:eastAsia="lt-LT"/>
                  </w:rPr>
                </w:pPr>
                <w:r>
                  <w:rPr>
                    <w:sz w:val="32"/>
                    <w:szCs w:val="32"/>
                    <w:lang w:eastAsia="lt-LT"/>
                  </w:rPr>
                  <w:t>1</w:t>
                </w:r>
              </w:p>
            </w:tc>
            <w:tc>
              <w:tcPr>
                <w:tcW w:w="9517" w:type="dxa"/>
              </w:tcPr>
              <w:p>
                <w:pPr>
                  <w:widowControl w:val="0"/>
                  <w:rPr>
                    <w:szCs w:val="24"/>
                    <w:lang w:eastAsia="lt-LT"/>
                  </w:rPr>
                </w:pPr>
                <w:r>
                  <w:rPr>
                    <w:szCs w:val="24"/>
                    <w:lang w:eastAsia="lt-LT"/>
                  </w:rPr>
                  <w:sym w:font="Symbol" w:char="F0B7"/>
                  <w:t xml:space="preserve"> Nėščioji atpažįsta situacijas ar vaiko auklėjimo klausimus, kuriems pasirengti jai reikia pagalbos. </w:t>
                </w:r>
              </w:p>
              <w:p>
                <w:pPr>
                  <w:widowControl w:val="0"/>
                  <w:rPr>
                    <w:szCs w:val="24"/>
                    <w:lang w:eastAsia="lt-LT"/>
                  </w:rPr>
                </w:pPr>
                <w:r>
                  <w:rPr>
                    <w:szCs w:val="24"/>
                    <w:lang w:eastAsia="lt-LT"/>
                  </w:rPr>
                  <w:sym w:font="Symbol" w:char="F0B7"/>
                  <w:t xml:space="preserve"> Nėščiosios požiūris į žeminančias bausmes neigiamas, tačiau pastebimos dvejonės, ar tokios bausmės kartais negali būti pateisinamos. </w:t>
                </w:r>
              </w:p>
              <w:p>
                <w:pPr>
                  <w:widowControl w:val="0"/>
                  <w:rPr>
                    <w:szCs w:val="24"/>
                    <w:highlight w:val="cyan"/>
                    <w:lang w:eastAsia="lt-LT"/>
                  </w:rPr>
                </w:pPr>
                <w:r>
                  <w:rPr>
                    <w:szCs w:val="24"/>
                    <w:lang w:eastAsia="lt-LT"/>
                  </w:rPr>
                  <w:sym w:font="Symbol" w:char="F0B7"/>
                  <w:t xml:space="preserve"> Nėščiosios vaikystės patirtys iš esmės teigiamos, jos tėvai (globėjai) stengėsi taikyti pozityvius auklėjimo būdus, nuoseklų auklėjimą, tačiau buvo atvejų, kai tėvai (globėjai) naudojo žeminančias ar fizines bausmes.</w:t>
                </w:r>
              </w:p>
            </w:tc>
          </w:tr>
          <w:tr>
            <w:tc>
              <w:tcPr>
                <w:tcW w:w="1440" w:type="dxa"/>
                <w:vAlign w:val="center"/>
              </w:tcPr>
              <w:p>
                <w:pPr>
                  <w:widowControl w:val="0"/>
                  <w:jc w:val="center"/>
                  <w:rPr>
                    <w:sz w:val="32"/>
                    <w:szCs w:val="32"/>
                    <w:lang w:eastAsia="lt-LT"/>
                  </w:rPr>
                </w:pPr>
                <w:r>
                  <w:rPr>
                    <w:sz w:val="32"/>
                    <w:szCs w:val="32"/>
                    <w:lang w:eastAsia="lt-LT"/>
                  </w:rPr>
                  <w:t>2</w:t>
                </w:r>
              </w:p>
            </w:tc>
            <w:tc>
              <w:tcPr>
                <w:tcW w:w="9517" w:type="dxa"/>
              </w:tcPr>
              <w:p>
                <w:pPr>
                  <w:widowControl w:val="0"/>
                  <w:rPr>
                    <w:szCs w:val="24"/>
                    <w:lang w:eastAsia="lt-LT"/>
                  </w:rPr>
                </w:pPr>
                <w:r>
                  <w:rPr>
                    <w:szCs w:val="24"/>
                    <w:lang w:eastAsia="lt-LT"/>
                  </w:rPr>
                  <w:sym w:font="Symbol" w:char="F0B7"/>
                  <w:t xml:space="preserve"> Nėščioji stokoja žinių, kaip pozityviai, nesmurtiniais būdais auklėti vaiką. Nėščiosios požiūris į žeminančias bausmes teigiamas – ji laikosi nuomonės, kad tam tikrais atvejais tokios bausmės yra vienintelis būdas auklėti vaiką. Nėščioji nesupranta ir nepripažįsta fizinių ir kitų žeminančių bausmių neigiamo poveikio vaikui ir jo raidai. </w:t>
                </w:r>
              </w:p>
              <w:p>
                <w:pPr>
                  <w:widowControl w:val="0"/>
                  <w:rPr>
                    <w:szCs w:val="24"/>
                    <w:highlight w:val="cyan"/>
                    <w:lang w:eastAsia="lt-LT"/>
                  </w:rPr>
                </w:pPr>
                <w:r>
                  <w:rPr>
                    <w:szCs w:val="24"/>
                    <w:lang w:eastAsia="lt-LT"/>
                  </w:rPr>
                  <w:sym w:font="Symbol" w:char="F0B7"/>
                  <w:t xml:space="preserve"> Nėščiosios tėvai (globėjai) nevengė taikyti fizinių ir kitų žeminančių bausmių nėščiosios vaikystėje. Jų auklėjimas buvo nenuoseklus. </w:t>
                </w:r>
              </w:p>
            </w:tc>
          </w:tr>
          <w:tr>
            <w:tc>
              <w:tcPr>
                <w:tcW w:w="1440" w:type="dxa"/>
                <w:vAlign w:val="center"/>
              </w:tcPr>
              <w:p>
                <w:pPr>
                  <w:widowControl w:val="0"/>
                  <w:jc w:val="center"/>
                  <w:rPr>
                    <w:sz w:val="32"/>
                    <w:szCs w:val="32"/>
                    <w:lang w:eastAsia="lt-LT"/>
                  </w:rPr>
                </w:pPr>
                <w:r>
                  <w:rPr>
                    <w:sz w:val="32"/>
                    <w:szCs w:val="32"/>
                    <w:lang w:eastAsia="lt-LT"/>
                  </w:rPr>
                  <w:t>3</w:t>
                </w:r>
              </w:p>
            </w:tc>
            <w:tc>
              <w:tcPr>
                <w:tcW w:w="9517" w:type="dxa"/>
              </w:tcPr>
              <w:p>
                <w:pPr>
                  <w:widowControl w:val="0"/>
                  <w:rPr>
                    <w:szCs w:val="24"/>
                    <w:lang w:eastAsia="lt-LT"/>
                  </w:rPr>
                </w:pPr>
                <w:r>
                  <w:rPr>
                    <w:szCs w:val="24"/>
                    <w:lang w:eastAsia="lt-LT"/>
                  </w:rPr>
                  <w:sym w:font="Symbol" w:char="F0B7"/>
                  <w:t xml:space="preserve"> Nėščioji nesiruošia vaiko auklėjimui, jos aplinkoje nuolat konfliktuojama ir pastebimas smurtas. </w:t>
                </w:r>
              </w:p>
              <w:p>
                <w:pPr>
                  <w:widowControl w:val="0"/>
                  <w:rPr>
                    <w:szCs w:val="24"/>
                    <w:lang w:eastAsia="lt-LT"/>
                  </w:rPr>
                </w:pPr>
                <w:r>
                  <w:rPr>
                    <w:szCs w:val="24"/>
                    <w:lang w:eastAsia="lt-LT"/>
                  </w:rPr>
                  <w:sym w:font="Symbol" w:char="F0B7"/>
                  <w:t xml:space="preserve"> Nėščioji laiko fizines bausmes pagrindiniu ir labiausiai tinkamu vaiko auklėjimo būdu. </w:t>
                </w:r>
              </w:p>
              <w:p>
                <w:pPr>
                  <w:widowControl w:val="0"/>
                  <w:rPr>
                    <w:szCs w:val="24"/>
                    <w:highlight w:val="cyan"/>
                    <w:lang w:eastAsia="lt-LT"/>
                  </w:rPr>
                </w:pPr>
                <w:r>
                  <w:rPr>
                    <w:szCs w:val="24"/>
                    <w:lang w:eastAsia="lt-LT"/>
                  </w:rPr>
                  <w:sym w:font="Symbol" w:char="F0B7"/>
                  <w:t xml:space="preserve"> Nėščiosios tėvai (globėjai) naudojo fizinį ir / ar psichologinį smurtą. Nėščioji vaikystėje buvo nuolatinė smurto artimoje aplinkoje liudininkė. Tėvų (globėjų) auklėjimas buvo nenuoseklus, pastebimi hiperglobos ar hipoglobos nėščiosios atžvilgiu požymiai. Nėščiosios šeima buvo priskirta rizikos grupei dėl tėvų tėvystės įgūdžių stokos, smurto šeimoje.</w:t>
                </w:r>
              </w:p>
            </w:tc>
          </w:tr>
        </w:tbl>
        <w:p>
          <w:pPr>
            <w:jc w:val="both"/>
            <w:rPr>
              <w:color w:val="000000"/>
              <w:szCs w:val="24"/>
            </w:rPr>
          </w:pPr>
          <w:r>
            <w:rPr>
              <w:color w:val="000000"/>
              <w:szCs w:val="24"/>
            </w:rPr>
            <w:t>Pastabos: klausimyną pildo šeimų lankymo specialistas.</w:t>
          </w:r>
        </w:p>
        <w:sdt>
          <w:sdtPr>
            <w:alias w:val="pabaiga"/>
            <w:tag w:val="part_a997ac660cb146448398c9a97f42159b"/>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8" Abbr="8 pr." Title="NĖŠČIOSIOS AUKLĖJIMO ĮGŪDŽIAI IR VAIKYSTĖS PATIRTYS" DocPartId="2ea47b632097417aa3d27eddbe099d53" PartId="57c14f9decb34be184a3c8f1862d75c8">
    <Part Type="pabaiga" DocPartId="90d480abf0d742b885d7bf5cfb244693" PartId="a997ac660cb146448398c9a97f42159b"/>
  </Part>
</Parts>
</file>

<file path=customXml/itemProps1.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4.xml><?xml version="1.0" encoding="utf-8"?>
<ds:datastoreItem xmlns:ds="http://schemas.openxmlformats.org/officeDocument/2006/customXml" ds:itemID="{59C8FD3F-7FF3-485E-B40A-EF5065D9B9E6}">
  <ds:schemaRefs>
    <ds:schemaRef ds:uri="http://schemas.openxmlformats.org/officeDocument/2006/bibliography"/>
  </ds:schemaRefs>
</ds:datastoreItem>
</file>

<file path=customXml/itemProps5.xml><?xml version="1.0" encoding="utf-8"?>
<ds:datastoreItem xmlns:ds="http://schemas.openxmlformats.org/officeDocument/2006/customXml" ds:itemID="{20880E27-AB5F-46CB-B196-E559C9AA1D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694</Words>
  <Characters>4470</Characters>
  <Application>Microsoft Office Word</Application>
  <DocSecurity>4</DocSecurity>
  <Lines>203</Lines>
  <Paragraphs>73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5091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