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 pr."/>
        <w:tag w:val="part_e9b4f105791d414a9d93ddc9315555a7"/>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tvarkos</w:t>
          </w:r>
          <w:r>
            <w:rPr>
              <w:color w:val="242424"/>
              <w:szCs w:val="24"/>
              <w:lang w:eastAsia="lt-LT"/>
            </w:rPr>
            <w:t xml:space="preserve"> aprašo</w:t>
          </w:r>
        </w:p>
        <w:p>
          <w:pPr>
            <w:ind w:left="6521"/>
            <w:rPr>
              <w:color w:val="242424"/>
              <w:szCs w:val="24"/>
              <w:lang w:eastAsia="lt-LT"/>
            </w:rPr>
          </w:pPr>
          <w:sdt>
            <w:sdtPr>
              <w:alias w:val="Numeris"/>
              <w:tag w:val="nr_e9b4f105791d414a9d93ddc9315555a7"/>
              <w:lock w:val="sdtLocked"/>
              <w:richText/>
            </w:sdtPr>
            <w:sdtContent>
              <w:r>
                <w:rPr>
                  <w:color w:val="242424"/>
                  <w:szCs w:val="24"/>
                  <w:lang w:eastAsia="lt-LT"/>
                </w:rPr>
                <w:t>4</w:t>
              </w:r>
            </w:sdtContent>
          </w:sdt>
          <w:r>
            <w:rPr>
              <w:color w:val="242424"/>
              <w:szCs w:val="24"/>
              <w:lang w:eastAsia="lt-LT"/>
            </w:rPr>
            <w:t xml:space="preserve"> priedas </w:t>
          </w:r>
        </w:p>
        <w:p>
          <w:pPr>
            <w:rPr>
              <w:szCs w:val="24"/>
            </w:rPr>
          </w:pPr>
        </w:p>
        <w:p>
          <w:pPr>
            <w:jc w:val="center"/>
            <w:rPr>
              <w:szCs w:val="24"/>
              <w:lang w:eastAsia="lt-LT"/>
            </w:rPr>
          </w:pPr>
          <w:sdt>
            <w:sdtPr>
              <w:alias w:val="Pavadinimas"/>
              <w:tag w:val="title_e9b4f105791d414a9d93ddc9315555a7"/>
              <w:lock w:val="sdtLocked"/>
              <w:richText/>
            </w:sdtPr>
            <w:sdtContent>
              <w:r>
                <w:rPr>
                  <w:szCs w:val="24"/>
                  <w:lang w:eastAsia="lt-LT"/>
                </w:rPr>
                <w:t>GYVENIMO SĄLYGŲ VERTINIMAS</w:t>
              </w:r>
            </w:sdtContent>
          </w:sdt>
        </w:p>
        <w:p>
          <w:pPr>
            <w:jc w:val="center"/>
            <w:rPr>
              <w:color w:val="000000"/>
              <w:szCs w:val="24"/>
            </w:rPr>
          </w:pP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50"/>
            <w:gridCol w:w="3004"/>
          </w:tblGrid>
          <w:tr>
            <w:tc>
              <w:tcPr>
                <w:tcW w:w="7650" w:type="dxa"/>
              </w:tcPr>
              <w:p>
                <w:pPr>
                  <w:rPr>
                    <w:szCs w:val="24"/>
                  </w:rPr>
                </w:pPr>
                <w:r>
                  <w:rPr>
                    <w:szCs w:val="24"/>
                  </w:rPr>
                  <w:t>VIZITO DATA:</w:t>
                </w:r>
              </w:p>
            </w:tc>
            <w:tc>
              <w:tcPr>
                <w:tcW w:w="3004" w:type="dxa"/>
              </w:tcPr>
              <w:p>
                <w:pPr>
                  <w:rPr>
                    <w:szCs w:val="24"/>
                  </w:rPr>
                </w:pPr>
                <w:r>
                  <w:rPr>
                    <w:szCs w:val="24"/>
                  </w:rPr>
                  <w:t>Nustatytas rizikos lygis:</w:t>
                </w:r>
              </w:p>
            </w:tc>
          </w:tr>
          <w:tr>
            <w:tc>
              <w:tcPr>
                <w:tcW w:w="7650" w:type="dxa"/>
              </w:tcPr>
              <w:p>
                <w:pPr>
                  <w:rPr>
                    <w:szCs w:val="24"/>
                  </w:rPr>
                </w:pPr>
                <w:r>
                  <w:rPr>
                    <w:szCs w:val="24"/>
                  </w:rPr>
                  <w:t>VIZITO NR. :</w:t>
                </w:r>
              </w:p>
            </w:tc>
            <w:tc>
              <w:tcPr>
                <w:tcW w:w="3004" w:type="dxa"/>
                <w:vMerge w:val="restart"/>
              </w:tcPr>
              <w:p>
                <w:pPr>
                  <w:rPr>
                    <w:szCs w:val="24"/>
                  </w:rPr>
                </w:pPr>
              </w:p>
            </w:tc>
          </w:tr>
          <w:tr>
            <w:tc>
              <w:tcPr>
                <w:tcW w:w="7650" w:type="dxa"/>
              </w:tcPr>
              <w:p>
                <w:pPr>
                  <w:rPr>
                    <w:szCs w:val="24"/>
                  </w:rPr>
                </w:pPr>
                <w:r>
                  <w:rPr>
                    <w:szCs w:val="24"/>
                  </w:rPr>
                  <w:t>ŠLS VARDAS PAVARDĖ:</w:t>
                </w:r>
              </w:p>
            </w:tc>
            <w:tc>
              <w:tcPr>
                <w:tcW w:w="3004" w:type="dxa"/>
                <w:vMerge/>
              </w:tcPr>
              <w:p>
                <w:pPr>
                  <w:rPr>
                    <w:szCs w:val="24"/>
                  </w:rPr>
                </w:pPr>
              </w:p>
            </w:tc>
          </w:tr>
          <w:tr>
            <w:tc>
              <w:tcPr>
                <w:tcW w:w="7650" w:type="dxa"/>
              </w:tcPr>
              <w:p>
                <w:pPr>
                  <w:rPr>
                    <w:szCs w:val="24"/>
                  </w:rPr>
                </w:pPr>
                <w:r>
                  <w:rPr>
                    <w:szCs w:val="24"/>
                  </w:rPr>
                  <w:t>NĖŠČIOSIOS VARDAS PAVARDĖ:</w:t>
                </w:r>
              </w:p>
            </w:tc>
            <w:tc>
              <w:tcPr>
                <w:tcW w:w="3004" w:type="dxa"/>
                <w:vMerge/>
              </w:tcPr>
              <w:p>
                <w:pPr>
                  <w:rPr>
                    <w:szCs w:val="24"/>
                  </w:rPr>
                </w:pPr>
              </w:p>
            </w:tc>
          </w:tr>
          <w:tr>
            <w:tc>
              <w:tcPr>
                <w:tcW w:w="10654" w:type="dxa"/>
                <w:gridSpan w:val="2"/>
              </w:tcPr>
              <w:p>
                <w:pPr>
                  <w:rPr>
                    <w:rFonts w:eastAsia="Calibri"/>
                    <w:szCs w:val="24"/>
                  </w:rPr>
                </w:pPr>
                <w:r>
                  <w:rPr>
                    <w:rFonts w:eastAsia="Calibri"/>
                    <w:szCs w:val="24"/>
                  </w:rPr>
                  <w:t>Gyvenimo sąlygų vertinimas – tai gyvenamojo būsto ir fizinės aplinkos tinkamumo nustatymas. Įvertinama, ar nėščioji gyvena stabiliame būste, ar būstas ir aplinka saugi, ar pritaikyta jos ir gimsiančio vaiko poreikiams, kaip bus patenkinami baziniai gimsiančio vaiko poreikiai (drabužiai, higienos reikmenys, žaislai ir kt.). Taip pat vertinama aplinka, kokioje nėščioji gyvena, t.y. didelio miesto bendruomenėje ar miestelio (kaimo) bendruomenėje.</w:t>
                </w:r>
              </w:p>
              <w:p>
                <w:pPr>
                  <w:rPr>
                    <w:rFonts w:eastAsia="Calibri"/>
                    <w:szCs w:val="24"/>
                  </w:rPr>
                </w:pPr>
                <w:r>
                  <w:rPr>
                    <w:rFonts w:eastAsia="Calibri"/>
                    <w:szCs w:val="24"/>
                  </w:rPr>
                  <w:t>Rizikos faktoriai:</w:t>
                </w:r>
              </w:p>
              <w:p>
                <w:pPr>
                  <w:ind w:left="720" w:hanging="360"/>
                  <w:rPr>
                    <w:rFonts w:eastAsia="Calibri"/>
                    <w:szCs w:val="24"/>
                  </w:rPr>
                </w:pPr>
                <w:r>
                  <w:rPr>
                    <w:rFonts w:eastAsia="Calibri"/>
                    <w:szCs w:val="24"/>
                  </w:rPr>
                  <w:t>1.</w:t>
                  <w:tab/>
                  <w:t>Būsto stabilumas</w:t>
                </w:r>
              </w:p>
              <w:p>
                <w:pPr>
                  <w:ind w:left="720" w:hanging="360"/>
                  <w:rPr>
                    <w:rFonts w:eastAsia="Calibri"/>
                    <w:szCs w:val="24"/>
                  </w:rPr>
                </w:pPr>
                <w:r>
                  <w:rPr>
                    <w:rFonts w:eastAsia="Calibri"/>
                    <w:szCs w:val="24"/>
                  </w:rPr>
                  <w:t>2.</w:t>
                  <w:tab/>
                  <w:t>Būsto, aplinkos, reikalingų daiktų ir priemonių kūdikio priežiūrai neturėjimas</w:t>
                </w:r>
              </w:p>
              <w:p>
                <w:pPr>
                  <w:ind w:left="720" w:hanging="360"/>
                  <w:rPr>
                    <w:rFonts w:eastAsia="Calibri"/>
                    <w:szCs w:val="24"/>
                  </w:rPr>
                </w:pPr>
                <w:r>
                  <w:rPr>
                    <w:rFonts w:eastAsia="Calibri"/>
                    <w:szCs w:val="24"/>
                  </w:rPr>
                  <w:t>3.</w:t>
                  <w:tab/>
                  <w:t>Gyvenamoji aplinka</w:t>
                </w:r>
              </w:p>
            </w:tc>
          </w:tr>
        </w:tbl>
        <w:p>
          <w:pPr>
            <w:spacing w:line="276" w:lineRule="auto"/>
            <w:rPr>
              <w:rFonts w:eastAsia="Calibri"/>
              <w:szCs w:val="24"/>
            </w:rPr>
          </w:pPr>
        </w:p>
        <w:p>
          <w:pPr>
            <w:rPr>
              <w:sz w:val="18"/>
              <w:szCs w:val="18"/>
            </w:rPr>
          </w:pP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4"/>
            <w:gridCol w:w="1078"/>
            <w:gridCol w:w="1112"/>
            <w:gridCol w:w="4100"/>
          </w:tblGrid>
          <w:tr>
            <w:tc>
              <w:tcPr>
                <w:tcW w:w="4565" w:type="dxa"/>
              </w:tcPr>
              <w:p>
                <w:pPr>
                  <w:spacing w:line="276" w:lineRule="auto"/>
                  <w:rPr>
                    <w:rFonts w:eastAsia="CIDFont+F3"/>
                    <w:b/>
                    <w:szCs w:val="24"/>
                  </w:rPr>
                </w:pPr>
              </w:p>
            </w:tc>
            <w:tc>
              <w:tcPr>
                <w:tcW w:w="1134" w:type="dxa"/>
              </w:tcPr>
              <w:p>
                <w:pPr>
                  <w:jc w:val="center"/>
                  <w:rPr>
                    <w:rFonts w:eastAsia="CIDFont+F3"/>
                    <w:b/>
                    <w:szCs w:val="24"/>
                  </w:rPr>
                </w:pPr>
                <w:r>
                  <w:rPr>
                    <w:rFonts w:eastAsia="CIDFont+F3"/>
                    <w:b/>
                    <w:szCs w:val="24"/>
                  </w:rPr>
                  <w:t>Ne</w:t>
                </w:r>
              </w:p>
            </w:tc>
            <w:tc>
              <w:tcPr>
                <w:tcW w:w="1152" w:type="dxa"/>
              </w:tcPr>
              <w:p>
                <w:pPr>
                  <w:jc w:val="center"/>
                  <w:rPr>
                    <w:rFonts w:eastAsia="CIDFont+F3"/>
                    <w:b/>
                    <w:szCs w:val="24"/>
                  </w:rPr>
                </w:pPr>
                <w:r>
                  <w:rPr>
                    <w:rFonts w:eastAsia="CIDFont+F3"/>
                    <w:b/>
                    <w:szCs w:val="24"/>
                  </w:rPr>
                  <w:t>Taip</w:t>
                </w:r>
              </w:p>
            </w:tc>
            <w:tc>
              <w:tcPr>
                <w:tcW w:w="4348" w:type="dxa"/>
              </w:tcPr>
              <w:p>
                <w:pPr>
                  <w:rPr>
                    <w:rFonts w:eastAsia="CIDFont+F3"/>
                    <w:b/>
                    <w:szCs w:val="24"/>
                  </w:rPr>
                </w:pPr>
                <w:r>
                  <w:rPr>
                    <w:rFonts w:eastAsia="CIDFont+F3"/>
                    <w:b/>
                    <w:szCs w:val="24"/>
                  </w:rPr>
                  <w:t xml:space="preserve">Komentaras, aplinkybės </w:t>
                </w:r>
              </w:p>
              <w:p>
                <w:pPr>
                  <w:rPr>
                    <w:rFonts w:eastAsia="CIDFont+F3"/>
                    <w:b/>
                    <w:szCs w:val="24"/>
                  </w:rPr>
                </w:pPr>
                <w:r>
                  <w:rPr>
                    <w:rFonts w:eastAsia="CIDFont+F3"/>
                    <w:b/>
                    <w:szCs w:val="24"/>
                  </w:rPr>
                  <w:t>(</w:t>
                </w:r>
                <w:r>
                  <w:rPr>
                    <w:rFonts w:eastAsia="CIDFont+F3"/>
                    <w:i/>
                    <w:szCs w:val="24"/>
                  </w:rPr>
                  <w:t>Įrašyti</w:t>
                </w:r>
                <w:r>
                  <w:rPr>
                    <w:rFonts w:eastAsia="CIDFont+F3"/>
                    <w:b/>
                    <w:szCs w:val="24"/>
                  </w:rPr>
                  <w:t>)</w:t>
                </w:r>
              </w:p>
            </w:tc>
          </w:tr>
          <w:tr>
            <w:tc>
              <w:tcPr>
                <w:tcW w:w="11199" w:type="dxa"/>
                <w:gridSpan w:val="4"/>
              </w:tcPr>
              <w:p>
                <w:pPr>
                  <w:spacing w:line="276" w:lineRule="auto"/>
                  <w:rPr>
                    <w:rFonts w:eastAsia="CIDFont+F3"/>
                    <w:b/>
                    <w:szCs w:val="24"/>
                  </w:rPr>
                </w:pPr>
                <w:r>
                  <w:rPr>
                    <w:rFonts w:eastAsia="Calibri"/>
                    <w:b/>
                    <w:szCs w:val="24"/>
                  </w:rPr>
                  <w:t>Būsto stabilumas</w:t>
                </w:r>
              </w:p>
            </w:tc>
          </w:tr>
          <w:tr>
            <w:tc>
              <w:tcPr>
                <w:tcW w:w="4565" w:type="dxa"/>
              </w:tcPr>
              <w:p>
                <w:pPr>
                  <w:spacing w:line="276" w:lineRule="auto"/>
                  <w:rPr>
                    <w:rFonts w:eastAsia="Calibri"/>
                    <w:szCs w:val="24"/>
                  </w:rPr>
                </w:pPr>
                <w:r>
                  <w:rPr>
                    <w:rFonts w:eastAsia="Calibri"/>
                    <w:szCs w:val="24"/>
                  </w:rPr>
                  <w:t>Laikinas būstas</w:t>
                </w:r>
              </w:p>
            </w:tc>
            <w:tc>
              <w:tcPr>
                <w:tcW w:w="1134" w:type="dxa"/>
              </w:tcPr>
              <w:p>
                <w:pPr>
                  <w:spacing w:line="360" w:lineRule="auto"/>
                  <w:jc w:val="center"/>
                  <w:rPr>
                    <w:rFonts w:eastAsia="CIDFont+F3"/>
                    <w:b/>
                    <w:szCs w:val="24"/>
                  </w:rPr>
                </w:pPr>
              </w:p>
            </w:tc>
            <w:tc>
              <w:tcPr>
                <w:tcW w:w="1152" w:type="dxa"/>
              </w:tcPr>
              <w:p>
                <w:pPr>
                  <w:spacing w:line="360" w:lineRule="auto"/>
                  <w:jc w:val="center"/>
                  <w:rPr>
                    <w:rFonts w:eastAsia="CIDFont+F3"/>
                    <w:b/>
                    <w:szCs w:val="24"/>
                  </w:rPr>
                </w:pPr>
              </w:p>
            </w:tc>
            <w:tc>
              <w:tcPr>
                <w:tcW w:w="4348" w:type="dxa"/>
              </w:tcPr>
              <w:p>
                <w:pPr>
                  <w:spacing w:line="360" w:lineRule="auto"/>
                  <w:rPr>
                    <w:rFonts w:eastAsia="CIDFont+F3"/>
                    <w:b/>
                    <w:szCs w:val="24"/>
                  </w:rPr>
                </w:pPr>
              </w:p>
            </w:tc>
          </w:tr>
          <w:tr>
            <w:tc>
              <w:tcPr>
                <w:tcW w:w="4565" w:type="dxa"/>
              </w:tcPr>
              <w:p>
                <w:pPr>
                  <w:spacing w:line="276" w:lineRule="auto"/>
                  <w:rPr>
                    <w:rFonts w:eastAsia="Calibri"/>
                    <w:szCs w:val="24"/>
                  </w:rPr>
                </w:pPr>
                <w:r>
                  <w:rPr>
                    <w:rFonts w:eastAsia="Calibri"/>
                    <w:szCs w:val="24"/>
                  </w:rPr>
                  <w:t>Dažni persikraustymai</w:t>
                </w:r>
              </w:p>
            </w:tc>
            <w:tc>
              <w:tcPr>
                <w:tcW w:w="1134" w:type="dxa"/>
              </w:tcPr>
              <w:p>
                <w:pPr>
                  <w:spacing w:line="360" w:lineRule="auto"/>
                  <w:jc w:val="center"/>
                  <w:rPr>
                    <w:rFonts w:eastAsia="CIDFont+F3"/>
                    <w:b/>
                    <w:szCs w:val="24"/>
                  </w:rPr>
                </w:pPr>
              </w:p>
            </w:tc>
            <w:tc>
              <w:tcPr>
                <w:tcW w:w="1152" w:type="dxa"/>
              </w:tcPr>
              <w:p>
                <w:pPr>
                  <w:spacing w:line="360" w:lineRule="auto"/>
                  <w:jc w:val="center"/>
                  <w:rPr>
                    <w:rFonts w:eastAsia="CIDFont+F3"/>
                    <w:b/>
                    <w:szCs w:val="24"/>
                  </w:rPr>
                </w:pPr>
              </w:p>
            </w:tc>
            <w:tc>
              <w:tcPr>
                <w:tcW w:w="4348" w:type="dxa"/>
              </w:tcPr>
              <w:p>
                <w:pPr>
                  <w:spacing w:line="360" w:lineRule="auto"/>
                  <w:rPr>
                    <w:rFonts w:eastAsia="CIDFont+F3"/>
                    <w:b/>
                    <w:szCs w:val="24"/>
                  </w:rPr>
                </w:pPr>
              </w:p>
            </w:tc>
          </w:tr>
          <w:tr>
            <w:tc>
              <w:tcPr>
                <w:tcW w:w="4565" w:type="dxa"/>
              </w:tcPr>
              <w:p>
                <w:pPr>
                  <w:spacing w:line="276" w:lineRule="auto"/>
                  <w:rPr>
                    <w:rFonts w:eastAsia="Calibri"/>
                    <w:szCs w:val="24"/>
                  </w:rPr>
                </w:pPr>
                <w:r>
                  <w:rPr>
                    <w:rFonts w:eastAsia="Calibri"/>
                    <w:szCs w:val="24"/>
                  </w:rPr>
                  <w:t>Gresia būsto netekimas, iškeldinimas</w:t>
                </w:r>
              </w:p>
            </w:tc>
            <w:tc>
              <w:tcPr>
                <w:tcW w:w="1134" w:type="dxa"/>
              </w:tcPr>
              <w:p>
                <w:pPr>
                  <w:spacing w:line="360" w:lineRule="auto"/>
                  <w:jc w:val="center"/>
                  <w:rPr>
                    <w:rFonts w:eastAsia="CIDFont+F3"/>
                    <w:b/>
                    <w:szCs w:val="24"/>
                  </w:rPr>
                </w:pPr>
              </w:p>
            </w:tc>
            <w:tc>
              <w:tcPr>
                <w:tcW w:w="1152" w:type="dxa"/>
              </w:tcPr>
              <w:p>
                <w:pPr>
                  <w:spacing w:line="360" w:lineRule="auto"/>
                  <w:jc w:val="center"/>
                  <w:rPr>
                    <w:rFonts w:eastAsia="CIDFont+F3"/>
                    <w:b/>
                    <w:szCs w:val="24"/>
                  </w:rPr>
                </w:pPr>
              </w:p>
            </w:tc>
            <w:tc>
              <w:tcPr>
                <w:tcW w:w="4348" w:type="dxa"/>
              </w:tcPr>
              <w:p>
                <w:pPr>
                  <w:spacing w:line="360" w:lineRule="auto"/>
                  <w:rPr>
                    <w:rFonts w:eastAsia="CIDFont+F3"/>
                    <w:b/>
                    <w:szCs w:val="24"/>
                  </w:rPr>
                </w:pPr>
              </w:p>
            </w:tc>
          </w:tr>
          <w:tr>
            <w:tc>
              <w:tcPr>
                <w:tcW w:w="4565" w:type="dxa"/>
              </w:tcPr>
              <w:p>
                <w:pPr>
                  <w:spacing w:line="276" w:lineRule="auto"/>
                  <w:rPr>
                    <w:rFonts w:eastAsia="Calibri"/>
                    <w:szCs w:val="24"/>
                  </w:rPr>
                </w:pPr>
                <w:r>
                  <w:rPr>
                    <w:rFonts w:eastAsia="Calibri"/>
                    <w:szCs w:val="24"/>
                  </w:rPr>
                  <w:t>Benamystė</w:t>
                </w:r>
              </w:p>
            </w:tc>
            <w:tc>
              <w:tcPr>
                <w:tcW w:w="1134" w:type="dxa"/>
              </w:tcPr>
              <w:p>
                <w:pPr>
                  <w:spacing w:line="360" w:lineRule="auto"/>
                  <w:jc w:val="center"/>
                  <w:rPr>
                    <w:rFonts w:eastAsia="CIDFont+F3"/>
                    <w:b/>
                    <w:szCs w:val="24"/>
                  </w:rPr>
                </w:pPr>
              </w:p>
            </w:tc>
            <w:tc>
              <w:tcPr>
                <w:tcW w:w="1152" w:type="dxa"/>
              </w:tcPr>
              <w:p>
                <w:pPr>
                  <w:spacing w:line="360" w:lineRule="auto"/>
                  <w:jc w:val="center"/>
                  <w:rPr>
                    <w:rFonts w:eastAsia="CIDFont+F3"/>
                    <w:b/>
                    <w:szCs w:val="24"/>
                  </w:rPr>
                </w:pPr>
              </w:p>
            </w:tc>
            <w:tc>
              <w:tcPr>
                <w:tcW w:w="4348" w:type="dxa"/>
              </w:tcPr>
              <w:p>
                <w:pPr>
                  <w:spacing w:line="360" w:lineRule="auto"/>
                  <w:rPr>
                    <w:rFonts w:eastAsia="CIDFont+F3"/>
                    <w:b/>
                    <w:szCs w:val="24"/>
                  </w:rPr>
                </w:pPr>
              </w:p>
            </w:tc>
          </w:tr>
          <w:tr>
            <w:tc>
              <w:tcPr>
                <w:tcW w:w="11199" w:type="dxa"/>
                <w:gridSpan w:val="4"/>
              </w:tcPr>
              <w:p>
                <w:pPr>
                  <w:spacing w:line="276" w:lineRule="auto"/>
                  <w:rPr>
                    <w:rFonts w:eastAsia="CIDFont+F3"/>
                    <w:b/>
                    <w:szCs w:val="24"/>
                  </w:rPr>
                </w:pPr>
                <w:r>
                  <w:rPr>
                    <w:rFonts w:eastAsia="Calibri"/>
                    <w:b/>
                    <w:szCs w:val="24"/>
                  </w:rPr>
                  <w:t>Būsto ir aplinkos pritaikymas</w:t>
                </w:r>
              </w:p>
            </w:tc>
          </w:tr>
          <w:tr>
            <w:tc>
              <w:tcPr>
                <w:tcW w:w="4565" w:type="dxa"/>
              </w:tcPr>
              <w:p>
                <w:pPr>
                  <w:spacing w:line="276" w:lineRule="auto"/>
                  <w:rPr>
                    <w:rFonts w:eastAsia="Calibri"/>
                    <w:szCs w:val="24"/>
                  </w:rPr>
                </w:pPr>
                <w:r>
                  <w:rPr>
                    <w:rFonts w:eastAsia="Calibri"/>
                    <w:szCs w:val="24"/>
                  </w:rPr>
                  <w:t>Netvarkinga elektros instaliacija</w:t>
                </w:r>
              </w:p>
            </w:tc>
            <w:tc>
              <w:tcPr>
                <w:tcW w:w="1134" w:type="dxa"/>
              </w:tcPr>
              <w:p>
                <w:pPr>
                  <w:spacing w:line="360" w:lineRule="auto"/>
                  <w:jc w:val="center"/>
                  <w:rPr>
                    <w:rFonts w:eastAsia="CIDFont+F3"/>
                    <w:b/>
                    <w:szCs w:val="24"/>
                  </w:rPr>
                </w:pPr>
              </w:p>
            </w:tc>
            <w:tc>
              <w:tcPr>
                <w:tcW w:w="1152" w:type="dxa"/>
              </w:tcPr>
              <w:p>
                <w:pPr>
                  <w:spacing w:line="360" w:lineRule="auto"/>
                  <w:jc w:val="center"/>
                  <w:rPr>
                    <w:rFonts w:eastAsia="CIDFont+F3"/>
                    <w:b/>
                    <w:szCs w:val="24"/>
                  </w:rPr>
                </w:pPr>
              </w:p>
            </w:tc>
            <w:tc>
              <w:tcPr>
                <w:tcW w:w="4348" w:type="dxa"/>
              </w:tcPr>
              <w:p>
                <w:pPr>
                  <w:spacing w:line="360" w:lineRule="auto"/>
                  <w:rPr>
                    <w:rFonts w:eastAsia="CIDFont+F3"/>
                    <w:b/>
                    <w:szCs w:val="24"/>
                  </w:rPr>
                </w:pPr>
              </w:p>
            </w:tc>
          </w:tr>
          <w:tr>
            <w:tc>
              <w:tcPr>
                <w:tcW w:w="4565" w:type="dxa"/>
              </w:tcPr>
              <w:p>
                <w:pPr>
                  <w:spacing w:line="276" w:lineRule="auto"/>
                  <w:rPr>
                    <w:rFonts w:eastAsia="Calibri"/>
                    <w:szCs w:val="24"/>
                  </w:rPr>
                </w:pPr>
                <w:r>
                  <w:rPr>
                    <w:rFonts w:eastAsia="Calibri"/>
                    <w:szCs w:val="24"/>
                  </w:rPr>
                  <w:t>Netvarkinga šildymo / kūrenimo sistema</w:t>
                </w:r>
              </w:p>
            </w:tc>
            <w:tc>
              <w:tcPr>
                <w:tcW w:w="1134" w:type="dxa"/>
              </w:tcPr>
              <w:p>
                <w:pPr>
                  <w:spacing w:line="360" w:lineRule="auto"/>
                  <w:jc w:val="center"/>
                  <w:rPr>
                    <w:rFonts w:eastAsia="CIDFont+F3"/>
                    <w:b/>
                    <w:szCs w:val="24"/>
                  </w:rPr>
                </w:pPr>
              </w:p>
            </w:tc>
            <w:tc>
              <w:tcPr>
                <w:tcW w:w="1152" w:type="dxa"/>
              </w:tcPr>
              <w:p>
                <w:pPr>
                  <w:spacing w:line="360" w:lineRule="auto"/>
                  <w:jc w:val="center"/>
                  <w:rPr>
                    <w:rFonts w:eastAsia="CIDFont+F3"/>
                    <w:b/>
                    <w:szCs w:val="24"/>
                  </w:rPr>
                </w:pPr>
              </w:p>
            </w:tc>
            <w:tc>
              <w:tcPr>
                <w:tcW w:w="4348" w:type="dxa"/>
              </w:tcPr>
              <w:p>
                <w:pPr>
                  <w:spacing w:line="360" w:lineRule="auto"/>
                  <w:rPr>
                    <w:rFonts w:eastAsia="CIDFont+F3"/>
                    <w:b/>
                    <w:szCs w:val="24"/>
                  </w:rPr>
                </w:pPr>
              </w:p>
            </w:tc>
          </w:tr>
          <w:tr>
            <w:tc>
              <w:tcPr>
                <w:tcW w:w="4565" w:type="dxa"/>
              </w:tcPr>
              <w:p>
                <w:pPr>
                  <w:spacing w:line="276" w:lineRule="auto"/>
                  <w:rPr>
                    <w:rFonts w:eastAsia="CIDFont+F3"/>
                    <w:b/>
                    <w:szCs w:val="24"/>
                  </w:rPr>
                </w:pPr>
                <w:r>
                  <w:rPr>
                    <w:rFonts w:eastAsia="CIDFont+F3"/>
                    <w:szCs w:val="24"/>
                  </w:rPr>
                  <w:t>Būste trūksta elementarios švaros</w:t>
                </w:r>
              </w:p>
            </w:tc>
            <w:tc>
              <w:tcPr>
                <w:tcW w:w="1134" w:type="dxa"/>
              </w:tcPr>
              <w:p>
                <w:pPr>
                  <w:spacing w:line="360" w:lineRule="auto"/>
                  <w:jc w:val="center"/>
                  <w:rPr>
                    <w:rFonts w:eastAsia="CIDFont+F3"/>
                    <w:b/>
                    <w:szCs w:val="24"/>
                  </w:rPr>
                </w:pPr>
              </w:p>
            </w:tc>
            <w:tc>
              <w:tcPr>
                <w:tcW w:w="1152" w:type="dxa"/>
              </w:tcPr>
              <w:p>
                <w:pPr>
                  <w:spacing w:line="360" w:lineRule="auto"/>
                  <w:jc w:val="center"/>
                  <w:rPr>
                    <w:rFonts w:eastAsia="CIDFont+F3"/>
                    <w:b/>
                    <w:szCs w:val="24"/>
                  </w:rPr>
                </w:pPr>
              </w:p>
            </w:tc>
            <w:tc>
              <w:tcPr>
                <w:tcW w:w="4348" w:type="dxa"/>
              </w:tcPr>
              <w:p>
                <w:pPr>
                  <w:spacing w:line="360" w:lineRule="auto"/>
                  <w:rPr>
                    <w:rFonts w:eastAsia="CIDFont+F3"/>
                    <w:b/>
                    <w:szCs w:val="24"/>
                  </w:rPr>
                </w:pPr>
              </w:p>
            </w:tc>
          </w:tr>
          <w:tr>
            <w:tc>
              <w:tcPr>
                <w:tcW w:w="4565" w:type="dxa"/>
              </w:tcPr>
              <w:p>
                <w:pPr>
                  <w:spacing w:line="276" w:lineRule="auto"/>
                  <w:rPr>
                    <w:rFonts w:eastAsia="CIDFont+F3"/>
                    <w:szCs w:val="24"/>
                  </w:rPr>
                </w:pPr>
                <w:r>
                  <w:rPr>
                    <w:rFonts w:eastAsia="CIDFont+F3"/>
                    <w:szCs w:val="24"/>
                  </w:rPr>
                  <w:t>Būsto erdvė maža</w:t>
                </w:r>
              </w:p>
            </w:tc>
            <w:tc>
              <w:tcPr>
                <w:tcW w:w="1134" w:type="dxa"/>
              </w:tcPr>
              <w:p>
                <w:pPr>
                  <w:spacing w:line="360" w:lineRule="auto"/>
                  <w:jc w:val="center"/>
                  <w:rPr>
                    <w:rFonts w:eastAsia="CIDFont+F3"/>
                    <w:b/>
                    <w:szCs w:val="24"/>
                  </w:rPr>
                </w:pPr>
              </w:p>
            </w:tc>
            <w:tc>
              <w:tcPr>
                <w:tcW w:w="1152" w:type="dxa"/>
              </w:tcPr>
              <w:p>
                <w:pPr>
                  <w:spacing w:line="360" w:lineRule="auto"/>
                  <w:jc w:val="center"/>
                  <w:rPr>
                    <w:rFonts w:eastAsia="CIDFont+F3"/>
                    <w:b/>
                    <w:szCs w:val="24"/>
                  </w:rPr>
                </w:pPr>
              </w:p>
            </w:tc>
            <w:tc>
              <w:tcPr>
                <w:tcW w:w="4348" w:type="dxa"/>
              </w:tcPr>
              <w:p>
                <w:pPr>
                  <w:spacing w:line="360" w:lineRule="auto"/>
                  <w:rPr>
                    <w:rFonts w:eastAsia="CIDFont+F3"/>
                    <w:b/>
                    <w:szCs w:val="24"/>
                  </w:rPr>
                </w:pPr>
              </w:p>
            </w:tc>
          </w:tr>
          <w:tr>
            <w:tc>
              <w:tcPr>
                <w:tcW w:w="4565" w:type="dxa"/>
              </w:tcPr>
              <w:p>
                <w:pPr>
                  <w:spacing w:line="276" w:lineRule="auto"/>
                  <w:rPr>
                    <w:rFonts w:eastAsia="CIDFont+F3"/>
                    <w:b/>
                    <w:szCs w:val="24"/>
                  </w:rPr>
                </w:pPr>
                <w:r>
                  <w:rPr>
                    <w:rFonts w:eastAsia="CIDFont+F3"/>
                    <w:szCs w:val="24"/>
                  </w:rPr>
                  <w:t>Nėra sanitarinių mazgų</w:t>
                </w:r>
              </w:p>
            </w:tc>
            <w:tc>
              <w:tcPr>
                <w:tcW w:w="1134" w:type="dxa"/>
              </w:tcPr>
              <w:p>
                <w:pPr>
                  <w:spacing w:line="360" w:lineRule="auto"/>
                  <w:jc w:val="center"/>
                  <w:rPr>
                    <w:rFonts w:eastAsia="CIDFont+F3"/>
                    <w:b/>
                    <w:szCs w:val="24"/>
                  </w:rPr>
                </w:pPr>
              </w:p>
            </w:tc>
            <w:tc>
              <w:tcPr>
                <w:tcW w:w="1152" w:type="dxa"/>
              </w:tcPr>
              <w:p>
                <w:pPr>
                  <w:spacing w:line="360" w:lineRule="auto"/>
                  <w:jc w:val="center"/>
                  <w:rPr>
                    <w:rFonts w:eastAsia="CIDFont+F3"/>
                    <w:b/>
                    <w:szCs w:val="24"/>
                  </w:rPr>
                </w:pPr>
              </w:p>
            </w:tc>
            <w:tc>
              <w:tcPr>
                <w:tcW w:w="4348" w:type="dxa"/>
              </w:tcPr>
              <w:p>
                <w:pPr>
                  <w:spacing w:line="360" w:lineRule="auto"/>
                  <w:rPr>
                    <w:rFonts w:eastAsia="CIDFont+F3"/>
                    <w:b/>
                    <w:szCs w:val="24"/>
                  </w:rPr>
                </w:pPr>
              </w:p>
            </w:tc>
          </w:tr>
          <w:tr>
            <w:tc>
              <w:tcPr>
                <w:tcW w:w="4565" w:type="dxa"/>
              </w:tcPr>
              <w:p>
                <w:pPr>
                  <w:spacing w:line="276" w:lineRule="auto"/>
                  <w:rPr>
                    <w:rFonts w:eastAsia="CIDFont+F3"/>
                    <w:b/>
                    <w:szCs w:val="24"/>
                  </w:rPr>
                </w:pPr>
                <w:r>
                  <w:rPr>
                    <w:rFonts w:eastAsia="CIDFont+F3"/>
                    <w:szCs w:val="24"/>
                  </w:rPr>
                  <w:t>Bloga vandens kokybė</w:t>
                </w:r>
              </w:p>
            </w:tc>
            <w:tc>
              <w:tcPr>
                <w:tcW w:w="1134" w:type="dxa"/>
              </w:tcPr>
              <w:p>
                <w:pPr>
                  <w:spacing w:line="360" w:lineRule="auto"/>
                  <w:jc w:val="center"/>
                  <w:rPr>
                    <w:rFonts w:eastAsia="CIDFont+F3"/>
                    <w:b/>
                    <w:szCs w:val="24"/>
                  </w:rPr>
                </w:pPr>
              </w:p>
            </w:tc>
            <w:tc>
              <w:tcPr>
                <w:tcW w:w="1152" w:type="dxa"/>
              </w:tcPr>
              <w:p>
                <w:pPr>
                  <w:spacing w:line="360" w:lineRule="auto"/>
                  <w:jc w:val="center"/>
                  <w:rPr>
                    <w:rFonts w:eastAsia="CIDFont+F3"/>
                    <w:b/>
                    <w:szCs w:val="24"/>
                  </w:rPr>
                </w:pPr>
              </w:p>
            </w:tc>
            <w:tc>
              <w:tcPr>
                <w:tcW w:w="4348" w:type="dxa"/>
              </w:tcPr>
              <w:p>
                <w:pPr>
                  <w:spacing w:line="360" w:lineRule="auto"/>
                  <w:rPr>
                    <w:rFonts w:eastAsia="CIDFont+F3"/>
                    <w:b/>
                    <w:szCs w:val="24"/>
                  </w:rPr>
                </w:pPr>
              </w:p>
            </w:tc>
          </w:tr>
          <w:tr>
            <w:tc>
              <w:tcPr>
                <w:tcW w:w="4565" w:type="dxa"/>
              </w:tcPr>
              <w:p>
                <w:pPr>
                  <w:spacing w:line="276" w:lineRule="auto"/>
                  <w:rPr>
                    <w:rFonts w:eastAsia="CIDFont+F3"/>
                    <w:szCs w:val="24"/>
                  </w:rPr>
                </w:pPr>
                <w:r>
                  <w:rPr>
                    <w:rFonts w:eastAsia="Calibri"/>
                    <w:szCs w:val="24"/>
                  </w:rPr>
                  <w:t>Gyvenamoji erdvė mažai pritaikyta nėščiosios ir gimsiančio kūdikio poreikiams.</w:t>
                </w:r>
              </w:p>
            </w:tc>
            <w:tc>
              <w:tcPr>
                <w:tcW w:w="1134" w:type="dxa"/>
              </w:tcPr>
              <w:p>
                <w:pPr>
                  <w:spacing w:line="360" w:lineRule="auto"/>
                  <w:jc w:val="center"/>
                  <w:rPr>
                    <w:rFonts w:eastAsia="CIDFont+F3"/>
                    <w:b/>
                    <w:szCs w:val="24"/>
                  </w:rPr>
                </w:pPr>
              </w:p>
            </w:tc>
            <w:tc>
              <w:tcPr>
                <w:tcW w:w="1152" w:type="dxa"/>
              </w:tcPr>
              <w:p>
                <w:pPr>
                  <w:spacing w:line="360" w:lineRule="auto"/>
                  <w:jc w:val="center"/>
                  <w:rPr>
                    <w:rFonts w:eastAsia="CIDFont+F3"/>
                    <w:b/>
                    <w:szCs w:val="24"/>
                  </w:rPr>
                </w:pPr>
              </w:p>
            </w:tc>
            <w:tc>
              <w:tcPr>
                <w:tcW w:w="4348" w:type="dxa"/>
              </w:tcPr>
              <w:p>
                <w:pPr>
                  <w:spacing w:line="360" w:lineRule="auto"/>
                  <w:rPr>
                    <w:rFonts w:eastAsia="CIDFont+F3"/>
                    <w:b/>
                    <w:szCs w:val="24"/>
                  </w:rPr>
                </w:pPr>
              </w:p>
            </w:tc>
          </w:tr>
          <w:tr>
            <w:tc>
              <w:tcPr>
                <w:tcW w:w="11199" w:type="dxa"/>
                <w:gridSpan w:val="4"/>
              </w:tcPr>
              <w:p>
                <w:pPr>
                  <w:spacing w:line="360" w:lineRule="auto"/>
                  <w:rPr>
                    <w:rFonts w:eastAsia="CIDFont+F3"/>
                    <w:b/>
                    <w:szCs w:val="24"/>
                  </w:rPr>
                </w:pPr>
                <w:r>
                  <w:rPr>
                    <w:rFonts w:eastAsia="Calibri"/>
                    <w:b/>
                    <w:szCs w:val="24"/>
                  </w:rPr>
                  <w:t xml:space="preserve">Reikalingi daiktai, priemonės kūdikio priežiūrai (pvz. higienos reikmenys, „kūdikio kraitelis“) </w:t>
                </w:r>
              </w:p>
            </w:tc>
          </w:tr>
          <w:tr>
            <w:tc>
              <w:tcPr>
                <w:tcW w:w="4565" w:type="dxa"/>
              </w:tcPr>
              <w:p>
                <w:pPr>
                  <w:rPr>
                    <w:rFonts w:eastAsia="Calibri"/>
                    <w:szCs w:val="24"/>
                  </w:rPr>
                </w:pPr>
                <w:r>
                  <w:rPr>
                    <w:rFonts w:eastAsia="Calibri"/>
                    <w:szCs w:val="24"/>
                  </w:rPr>
                  <w:t>Naujagimiui saugios miego vietos (lovelės, lopšio) trūkumai ar neturėjimas</w:t>
                </w:r>
              </w:p>
            </w:tc>
            <w:tc>
              <w:tcPr>
                <w:tcW w:w="1134" w:type="dxa"/>
              </w:tcPr>
              <w:p>
                <w:pPr>
                  <w:spacing w:line="360" w:lineRule="auto"/>
                  <w:jc w:val="center"/>
                  <w:rPr>
                    <w:rFonts w:eastAsia="CIDFont+F3"/>
                    <w:b/>
                    <w:szCs w:val="24"/>
                  </w:rPr>
                </w:pPr>
              </w:p>
            </w:tc>
            <w:tc>
              <w:tcPr>
                <w:tcW w:w="1152" w:type="dxa"/>
              </w:tcPr>
              <w:p>
                <w:pPr>
                  <w:spacing w:line="360" w:lineRule="auto"/>
                  <w:jc w:val="center"/>
                  <w:rPr>
                    <w:rFonts w:eastAsia="CIDFont+F3"/>
                    <w:b/>
                    <w:szCs w:val="24"/>
                  </w:rPr>
                </w:pPr>
              </w:p>
            </w:tc>
            <w:tc>
              <w:tcPr>
                <w:tcW w:w="4348" w:type="dxa"/>
              </w:tcPr>
              <w:p>
                <w:pPr>
                  <w:spacing w:line="360" w:lineRule="auto"/>
                  <w:rPr>
                    <w:rFonts w:eastAsia="CIDFont+F3"/>
                    <w:b/>
                    <w:szCs w:val="24"/>
                  </w:rPr>
                </w:pPr>
              </w:p>
            </w:tc>
          </w:tr>
          <w:tr>
            <w:tc>
              <w:tcPr>
                <w:tcW w:w="4565" w:type="dxa"/>
              </w:tcPr>
              <w:p>
                <w:pPr>
                  <w:rPr>
                    <w:rFonts w:eastAsia="Calibri"/>
                    <w:szCs w:val="24"/>
                  </w:rPr>
                </w:pPr>
                <w:r>
                  <w:rPr>
                    <w:rFonts w:eastAsia="Calibri"/>
                    <w:szCs w:val="24"/>
                  </w:rPr>
                  <w:t>Naujagimiui saugios vystymo vietos trūkumai ar neturėjimas</w:t>
                </w:r>
              </w:p>
            </w:tc>
            <w:tc>
              <w:tcPr>
                <w:tcW w:w="1134" w:type="dxa"/>
              </w:tcPr>
              <w:p>
                <w:pPr>
                  <w:spacing w:line="360" w:lineRule="auto"/>
                  <w:jc w:val="center"/>
                  <w:rPr>
                    <w:rFonts w:eastAsia="CIDFont+F3"/>
                    <w:b/>
                    <w:szCs w:val="24"/>
                  </w:rPr>
                </w:pPr>
              </w:p>
            </w:tc>
            <w:tc>
              <w:tcPr>
                <w:tcW w:w="1152" w:type="dxa"/>
              </w:tcPr>
              <w:p>
                <w:pPr>
                  <w:spacing w:line="360" w:lineRule="auto"/>
                  <w:jc w:val="center"/>
                  <w:rPr>
                    <w:rFonts w:eastAsia="CIDFont+F3"/>
                    <w:b/>
                    <w:szCs w:val="24"/>
                  </w:rPr>
                </w:pPr>
              </w:p>
            </w:tc>
            <w:tc>
              <w:tcPr>
                <w:tcW w:w="4348" w:type="dxa"/>
              </w:tcPr>
              <w:p>
                <w:pPr>
                  <w:spacing w:line="360" w:lineRule="auto"/>
                  <w:rPr>
                    <w:rFonts w:eastAsia="CIDFont+F3"/>
                    <w:b/>
                    <w:szCs w:val="24"/>
                  </w:rPr>
                </w:pPr>
              </w:p>
            </w:tc>
          </w:tr>
          <w:tr>
            <w:tc>
              <w:tcPr>
                <w:tcW w:w="4565" w:type="dxa"/>
              </w:tcPr>
              <w:p>
                <w:pPr>
                  <w:rPr>
                    <w:rFonts w:eastAsia="Calibri"/>
                    <w:szCs w:val="24"/>
                  </w:rPr>
                </w:pPr>
                <w:r>
                  <w:rPr>
                    <w:rFonts w:eastAsia="Calibri"/>
                    <w:szCs w:val="24"/>
                  </w:rPr>
                  <w:t>Naujagimio maudymo vonelės ir higienos reikmenų trūkumai ar neturėjimas</w:t>
                </w:r>
              </w:p>
            </w:tc>
            <w:tc>
              <w:tcPr>
                <w:tcW w:w="1134" w:type="dxa"/>
              </w:tcPr>
              <w:p>
                <w:pPr>
                  <w:spacing w:line="360" w:lineRule="auto"/>
                  <w:jc w:val="center"/>
                  <w:rPr>
                    <w:rFonts w:eastAsia="CIDFont+F3"/>
                    <w:b/>
                    <w:szCs w:val="24"/>
                  </w:rPr>
                </w:pPr>
              </w:p>
            </w:tc>
            <w:tc>
              <w:tcPr>
                <w:tcW w:w="1152" w:type="dxa"/>
              </w:tcPr>
              <w:p>
                <w:pPr>
                  <w:spacing w:line="360" w:lineRule="auto"/>
                  <w:jc w:val="center"/>
                  <w:rPr>
                    <w:rFonts w:eastAsia="CIDFont+F3"/>
                    <w:b/>
                    <w:szCs w:val="24"/>
                  </w:rPr>
                </w:pPr>
              </w:p>
            </w:tc>
            <w:tc>
              <w:tcPr>
                <w:tcW w:w="4348" w:type="dxa"/>
              </w:tcPr>
              <w:p>
                <w:pPr>
                  <w:spacing w:line="360" w:lineRule="auto"/>
                  <w:rPr>
                    <w:rFonts w:eastAsia="CIDFont+F3"/>
                    <w:b/>
                    <w:szCs w:val="24"/>
                  </w:rPr>
                </w:pPr>
              </w:p>
            </w:tc>
          </w:tr>
          <w:tr>
            <w:trPr>
              <w:trHeight w:val="282"/>
            </w:trPr>
            <w:tc>
              <w:tcPr>
                <w:tcW w:w="4565" w:type="dxa"/>
              </w:tcPr>
              <w:p>
                <w:pPr>
                  <w:rPr>
                    <w:rFonts w:eastAsia="Calibri"/>
                    <w:szCs w:val="24"/>
                  </w:rPr>
                </w:pPr>
                <w:r>
                  <w:rPr>
                    <w:rFonts w:eastAsia="Calibri"/>
                    <w:szCs w:val="24"/>
                  </w:rPr>
                  <w:t>Naujagimio rūbelių trūkumas/neturėjimas</w:t>
                </w:r>
              </w:p>
            </w:tc>
            <w:tc>
              <w:tcPr>
                <w:tcW w:w="1134" w:type="dxa"/>
              </w:tcPr>
              <w:p>
                <w:pPr>
                  <w:spacing w:line="360" w:lineRule="auto"/>
                  <w:jc w:val="center"/>
                  <w:rPr>
                    <w:rFonts w:eastAsia="CIDFont+F3"/>
                    <w:b/>
                    <w:szCs w:val="24"/>
                  </w:rPr>
                </w:pPr>
              </w:p>
            </w:tc>
            <w:tc>
              <w:tcPr>
                <w:tcW w:w="1152" w:type="dxa"/>
              </w:tcPr>
              <w:p>
                <w:pPr>
                  <w:spacing w:line="360" w:lineRule="auto"/>
                  <w:jc w:val="center"/>
                  <w:rPr>
                    <w:rFonts w:eastAsia="CIDFont+F3"/>
                    <w:b/>
                    <w:szCs w:val="24"/>
                  </w:rPr>
                </w:pPr>
              </w:p>
            </w:tc>
            <w:tc>
              <w:tcPr>
                <w:tcW w:w="4348" w:type="dxa"/>
              </w:tcPr>
              <w:p>
                <w:pPr>
                  <w:spacing w:line="360" w:lineRule="auto"/>
                  <w:rPr>
                    <w:rFonts w:eastAsia="CIDFont+F3"/>
                    <w:b/>
                    <w:szCs w:val="24"/>
                  </w:rPr>
                </w:pPr>
              </w:p>
            </w:tc>
          </w:tr>
          <w:tr>
            <w:tc>
              <w:tcPr>
                <w:tcW w:w="11199" w:type="dxa"/>
                <w:gridSpan w:val="4"/>
              </w:tcPr>
              <w:p>
                <w:pPr>
                  <w:spacing w:line="276" w:lineRule="auto"/>
                  <w:rPr>
                    <w:rFonts w:eastAsia="CIDFont+F3"/>
                    <w:b/>
                    <w:szCs w:val="24"/>
                  </w:rPr>
                </w:pPr>
                <w:r>
                  <w:rPr>
                    <w:rFonts w:eastAsia="CIDFont+F3"/>
                    <w:b/>
                    <w:szCs w:val="24"/>
                  </w:rPr>
                  <w:t>Gyvenamoji aplinka</w:t>
                </w:r>
              </w:p>
            </w:tc>
          </w:tr>
          <w:tr>
            <w:tc>
              <w:tcPr>
                <w:tcW w:w="4565" w:type="dxa"/>
              </w:tcPr>
              <w:p>
                <w:pPr>
                  <w:spacing w:line="276" w:lineRule="auto"/>
                  <w:rPr>
                    <w:rFonts w:eastAsia="CIDFont+F3"/>
                    <w:szCs w:val="24"/>
                  </w:rPr>
                </w:pPr>
                <w:r>
                  <w:rPr>
                    <w:rFonts w:eastAsia="Calibri"/>
                    <w:szCs w:val="24"/>
                  </w:rPr>
                  <w:t>Gyvenamosios vietos nuošalumas</w:t>
                </w:r>
              </w:p>
            </w:tc>
            <w:tc>
              <w:tcPr>
                <w:tcW w:w="1134" w:type="dxa"/>
              </w:tcPr>
              <w:p>
                <w:pPr>
                  <w:spacing w:line="360" w:lineRule="auto"/>
                  <w:jc w:val="center"/>
                  <w:rPr>
                    <w:rFonts w:eastAsia="CIDFont+F3"/>
                    <w:b/>
                    <w:szCs w:val="24"/>
                  </w:rPr>
                </w:pPr>
              </w:p>
            </w:tc>
            <w:tc>
              <w:tcPr>
                <w:tcW w:w="1152" w:type="dxa"/>
              </w:tcPr>
              <w:p>
                <w:pPr>
                  <w:spacing w:line="360" w:lineRule="auto"/>
                  <w:jc w:val="center"/>
                  <w:rPr>
                    <w:rFonts w:eastAsia="CIDFont+F3"/>
                    <w:b/>
                    <w:szCs w:val="24"/>
                  </w:rPr>
                </w:pPr>
              </w:p>
            </w:tc>
            <w:tc>
              <w:tcPr>
                <w:tcW w:w="4348" w:type="dxa"/>
              </w:tcPr>
              <w:p>
                <w:pPr>
                  <w:spacing w:line="360" w:lineRule="auto"/>
                  <w:rPr>
                    <w:rFonts w:eastAsia="CIDFont+F3"/>
                    <w:b/>
                    <w:szCs w:val="24"/>
                  </w:rPr>
                </w:pPr>
              </w:p>
            </w:tc>
          </w:tr>
          <w:tr>
            <w:tc>
              <w:tcPr>
                <w:tcW w:w="4565" w:type="dxa"/>
              </w:tcPr>
              <w:p>
                <w:pPr>
                  <w:spacing w:line="276" w:lineRule="auto"/>
                  <w:rPr>
                    <w:rFonts w:eastAsia="CIDFont+F3"/>
                    <w:szCs w:val="24"/>
                  </w:rPr>
                </w:pPr>
                <w:r>
                  <w:rPr>
                    <w:rFonts w:eastAsia="CIDFont+F3"/>
                    <w:szCs w:val="24"/>
                  </w:rPr>
                  <w:t>Blogos susisiekimo galimybės</w:t>
                </w:r>
              </w:p>
            </w:tc>
            <w:tc>
              <w:tcPr>
                <w:tcW w:w="1134" w:type="dxa"/>
              </w:tcPr>
              <w:p>
                <w:pPr>
                  <w:spacing w:line="360" w:lineRule="auto"/>
                  <w:jc w:val="center"/>
                  <w:rPr>
                    <w:rFonts w:eastAsia="CIDFont+F3"/>
                    <w:b/>
                    <w:szCs w:val="24"/>
                  </w:rPr>
                </w:pPr>
              </w:p>
            </w:tc>
            <w:tc>
              <w:tcPr>
                <w:tcW w:w="1152" w:type="dxa"/>
              </w:tcPr>
              <w:p>
                <w:pPr>
                  <w:spacing w:line="360" w:lineRule="auto"/>
                  <w:jc w:val="center"/>
                  <w:rPr>
                    <w:rFonts w:eastAsia="CIDFont+F3"/>
                    <w:b/>
                    <w:szCs w:val="24"/>
                  </w:rPr>
                </w:pPr>
              </w:p>
            </w:tc>
            <w:tc>
              <w:tcPr>
                <w:tcW w:w="4348" w:type="dxa"/>
              </w:tcPr>
              <w:p>
                <w:pPr>
                  <w:spacing w:line="360" w:lineRule="auto"/>
                  <w:rPr>
                    <w:rFonts w:eastAsia="CIDFont+F3"/>
                    <w:b/>
                    <w:szCs w:val="24"/>
                  </w:rPr>
                </w:pPr>
              </w:p>
            </w:tc>
          </w:tr>
        </w:tbl>
        <w:p>
          <w:pPr>
            <w:spacing w:line="276" w:lineRule="auto"/>
            <w:rPr>
              <w:rFonts w:eastAsia="Calibri"/>
              <w:szCs w:val="24"/>
            </w:rPr>
          </w:pPr>
        </w:p>
        <w:p>
          <w:pPr>
            <w:rPr>
              <w:sz w:val="18"/>
              <w:szCs w:val="18"/>
            </w:rPr>
          </w:pPr>
        </w:p>
        <w:p>
          <w:pPr>
            <w:spacing w:line="276" w:lineRule="auto"/>
            <w:ind w:left="-993"/>
            <w:rPr>
              <w:rFonts w:eastAsia="Calibri"/>
              <w:szCs w:val="24"/>
            </w:rPr>
          </w:pPr>
          <w:r>
            <w:rPr>
              <w:rFonts w:eastAsia="Calibri"/>
              <w:szCs w:val="24"/>
            </w:rPr>
            <w:t>RIZIKOS LYGIAI:</w:t>
          </w:r>
        </w:p>
        <w:tbl>
          <w:tblPr>
            <w:tblW w:w="0" w:type="auto"/>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1"/>
            <w:gridCol w:w="9173"/>
          </w:tblGrid>
          <w:tr>
            <w:tc>
              <w:tcPr>
                <w:tcW w:w="1560" w:type="dxa"/>
                <w:vAlign w:val="center"/>
              </w:tcPr>
              <w:p>
                <w:pPr>
                  <w:jc w:val="center"/>
                  <w:rPr>
                    <w:rFonts w:eastAsia="Calibri"/>
                    <w:sz w:val="36"/>
                    <w:szCs w:val="36"/>
                  </w:rPr>
                </w:pPr>
                <w:r>
                  <w:rPr>
                    <w:rFonts w:eastAsia="Calibri"/>
                    <w:sz w:val="36"/>
                    <w:szCs w:val="36"/>
                  </w:rPr>
                  <w:t>0</w:t>
                </w:r>
              </w:p>
            </w:tc>
            <w:tc>
              <w:tcPr>
                <w:tcW w:w="9654" w:type="dxa"/>
              </w:tcPr>
              <w:p>
                <w:pPr>
                  <w:ind w:left="720" w:hanging="360"/>
                  <w:rPr>
                    <w:rFonts w:eastAsia="Calibri"/>
                    <w:szCs w:val="24"/>
                  </w:rPr>
                </w:pPr>
                <w:r>
                  <w:rPr>
                    <w:rFonts w:ascii="Symbol" w:eastAsia="Calibri" w:hAnsi="Symbol"/>
                    <w:szCs w:val="24"/>
                  </w:rPr>
                  <w:t></w:t>
                  <w:tab/>
                </w:r>
                <w:r>
                  <w:rPr>
                    <w:rFonts w:eastAsia="Calibri"/>
                    <w:szCs w:val="24"/>
                  </w:rPr>
                  <w:t>Nuolatinai gyvena nuosavybės teise priklausančiame būste ar nuomojamame būste.</w:t>
                </w:r>
              </w:p>
              <w:p>
                <w:pPr>
                  <w:ind w:left="720" w:hanging="360"/>
                  <w:rPr>
                    <w:rFonts w:eastAsia="Calibri"/>
                    <w:szCs w:val="24"/>
                  </w:rPr>
                </w:pPr>
                <w:r>
                  <w:rPr>
                    <w:rFonts w:ascii="Symbol" w:eastAsia="Calibri" w:hAnsi="Symbol"/>
                    <w:szCs w:val="24"/>
                  </w:rPr>
                  <w:t></w:t>
                  <w:tab/>
                </w:r>
                <w:r>
                  <w:rPr>
                    <w:rFonts w:eastAsia="Calibri"/>
                    <w:szCs w:val="24"/>
                  </w:rPr>
                  <w:t>Tvarkinga elektros instaliacija, šildymo / kūrenimo sistema, švara, nėra kenkėjų, yra sanitariniai mazgai, sveikas vanduo, yra pagrindiniai patogumai, erdvė pakankama, būstas ir aplinka pritaikyta nėščiosios ir gimsiančio kūdikio poreikiams, nėščioji turi reikiamus drabužius, avalynę, higienos reikmenis, daiktus (ypač gimsiančiam kūdikiui).</w:t>
                </w:r>
              </w:p>
              <w:p>
                <w:pPr>
                  <w:ind w:left="720" w:hanging="360"/>
                  <w:rPr>
                    <w:rFonts w:eastAsia="Calibri"/>
                    <w:szCs w:val="24"/>
                  </w:rPr>
                </w:pPr>
                <w:r>
                  <w:rPr>
                    <w:rFonts w:ascii="Symbol" w:eastAsia="Calibri" w:hAnsi="Symbol"/>
                    <w:szCs w:val="24"/>
                  </w:rPr>
                  <w:t></w:t>
                  <w:tab/>
                </w:r>
                <w:r>
                  <w:rPr>
                    <w:rFonts w:eastAsia="Calibri"/>
                    <w:szCs w:val="24"/>
                  </w:rPr>
                  <w:t>Nėščioji nepatiria jokių sunkumų dėl gyvenamosios vietos nuošalumo ar susisiekimo.</w:t>
                </w:r>
              </w:p>
            </w:tc>
          </w:tr>
          <w:tr>
            <w:tc>
              <w:tcPr>
                <w:tcW w:w="1560" w:type="dxa"/>
                <w:vAlign w:val="center"/>
              </w:tcPr>
              <w:p>
                <w:pPr>
                  <w:jc w:val="center"/>
                  <w:rPr>
                    <w:rFonts w:eastAsia="Calibri"/>
                    <w:sz w:val="36"/>
                    <w:szCs w:val="36"/>
                  </w:rPr>
                </w:pPr>
                <w:r>
                  <w:rPr>
                    <w:rFonts w:eastAsia="Calibri"/>
                    <w:sz w:val="36"/>
                    <w:szCs w:val="36"/>
                  </w:rPr>
                  <w:t>1</w:t>
                </w:r>
              </w:p>
            </w:tc>
            <w:tc>
              <w:tcPr>
                <w:tcW w:w="9654" w:type="dxa"/>
              </w:tcPr>
              <w:p>
                <w:pPr>
                  <w:ind w:left="720" w:hanging="360"/>
                  <w:rPr>
                    <w:rFonts w:eastAsia="Calibri"/>
                    <w:szCs w:val="24"/>
                  </w:rPr>
                </w:pPr>
                <w:r>
                  <w:rPr>
                    <w:rFonts w:ascii="Symbol" w:eastAsia="Calibri" w:hAnsi="Symbol"/>
                    <w:szCs w:val="24"/>
                  </w:rPr>
                  <w:t></w:t>
                  <w:tab/>
                </w:r>
                <w:r>
                  <w:rPr>
                    <w:rFonts w:eastAsia="Calibri"/>
                    <w:szCs w:val="24"/>
                  </w:rPr>
                  <w:t>Laikinas būstas ar trumpalaikė nuoma.</w:t>
                </w:r>
              </w:p>
              <w:p>
                <w:pPr>
                  <w:ind w:left="720" w:hanging="360"/>
                  <w:rPr>
                    <w:rFonts w:eastAsia="Calibri"/>
                    <w:szCs w:val="24"/>
                  </w:rPr>
                </w:pPr>
                <w:r>
                  <w:rPr>
                    <w:rFonts w:ascii="Symbol" w:eastAsia="Calibri" w:hAnsi="Symbol"/>
                    <w:szCs w:val="24"/>
                  </w:rPr>
                  <w:t></w:t>
                  <w:tab/>
                </w:r>
                <w:r>
                  <w:rPr>
                    <w:rFonts w:eastAsia="Calibri"/>
                    <w:szCs w:val="24"/>
                  </w:rPr>
                  <w:t>Būsto ir aplinkos minimalūs trūkumai, tačiau nėščioji sprendžia susidariusias problemas.</w:t>
                </w:r>
              </w:p>
              <w:p>
                <w:pPr>
                  <w:ind w:left="720" w:hanging="360"/>
                  <w:rPr>
                    <w:rFonts w:eastAsia="Calibri"/>
                    <w:szCs w:val="24"/>
                  </w:rPr>
                </w:pPr>
                <w:r>
                  <w:rPr>
                    <w:rFonts w:ascii="Symbol" w:eastAsia="Calibri" w:hAnsi="Symbol"/>
                    <w:szCs w:val="24"/>
                  </w:rPr>
                  <w:t></w:t>
                  <w:tab/>
                </w:r>
                <w:r>
                  <w:rPr>
                    <w:rFonts w:eastAsia="Calibri"/>
                    <w:szCs w:val="24"/>
                  </w:rPr>
                  <w:t>Gyvenamoji vieta nėra patogi susisiekimo atžvilgiu (pvz., kaimiška teritorija), tačiau yra pakankamai galimybių gauti reikiamas paslaugas: nėščioji (jos šeima) turi automobilį, yra galimybė naudotis viešuoju transportu ir kt.</w:t>
                </w:r>
              </w:p>
            </w:tc>
          </w:tr>
          <w:tr>
            <w:tc>
              <w:tcPr>
                <w:tcW w:w="1560" w:type="dxa"/>
                <w:vAlign w:val="center"/>
              </w:tcPr>
              <w:p>
                <w:pPr>
                  <w:jc w:val="center"/>
                  <w:rPr>
                    <w:rFonts w:eastAsia="Calibri"/>
                    <w:sz w:val="36"/>
                    <w:szCs w:val="36"/>
                  </w:rPr>
                </w:pPr>
                <w:r>
                  <w:rPr>
                    <w:rFonts w:eastAsia="Calibri"/>
                    <w:sz w:val="36"/>
                    <w:szCs w:val="36"/>
                  </w:rPr>
                  <w:t>2</w:t>
                </w:r>
              </w:p>
            </w:tc>
            <w:tc>
              <w:tcPr>
                <w:tcW w:w="9654" w:type="dxa"/>
              </w:tcPr>
              <w:p>
                <w:pPr>
                  <w:ind w:left="720" w:hanging="360"/>
                  <w:rPr>
                    <w:rFonts w:eastAsia="Calibri"/>
                    <w:szCs w:val="24"/>
                  </w:rPr>
                </w:pPr>
                <w:r>
                  <w:rPr>
                    <w:rFonts w:ascii="Symbol" w:eastAsia="Calibri" w:hAnsi="Symbol"/>
                    <w:szCs w:val="24"/>
                  </w:rPr>
                  <w:t></w:t>
                  <w:tab/>
                </w:r>
                <w:r>
                  <w:rPr>
                    <w:rFonts w:eastAsia="Calibri"/>
                    <w:szCs w:val="24"/>
                  </w:rPr>
                  <w:t>Dažni persikraustymai.</w:t>
                </w:r>
              </w:p>
              <w:p>
                <w:pPr>
                  <w:ind w:left="720" w:hanging="360"/>
                  <w:rPr>
                    <w:rFonts w:eastAsia="Calibri"/>
                    <w:szCs w:val="24"/>
                  </w:rPr>
                </w:pPr>
                <w:r>
                  <w:rPr>
                    <w:rFonts w:ascii="Symbol" w:eastAsia="Calibri" w:hAnsi="Symbol"/>
                    <w:szCs w:val="24"/>
                  </w:rPr>
                  <w:t></w:t>
                  <w:tab/>
                </w:r>
                <w:r>
                  <w:rPr>
                    <w:rFonts w:eastAsia="Calibri"/>
                    <w:szCs w:val="24"/>
                  </w:rPr>
                  <w:t>Trūksta erdvės, būstas ir aplinka mažai atitinka nėščiosios poreikius, pastebimas drabužių, avalynės ir higienos reikmenų trūkumas, nepilnai suruoštas „kūdikio kraitelis“, tačiau nėščioji yra motyvuota spręsti problemas.</w:t>
                </w:r>
              </w:p>
              <w:p>
                <w:pPr>
                  <w:ind w:left="720" w:hanging="360"/>
                  <w:rPr>
                    <w:rFonts w:eastAsia="Calibri"/>
                    <w:szCs w:val="24"/>
                  </w:rPr>
                </w:pPr>
                <w:r>
                  <w:rPr>
                    <w:rFonts w:ascii="Symbol" w:eastAsia="Calibri" w:hAnsi="Symbol"/>
                    <w:szCs w:val="24"/>
                  </w:rPr>
                  <w:t></w:t>
                  <w:tab/>
                </w:r>
                <w:r>
                  <w:rPr>
                    <w:rFonts w:eastAsia="Calibri"/>
                    <w:szCs w:val="24"/>
                  </w:rPr>
                  <w:t>Nėščioji turi ribotas galimybes gauti visas reikiamas paslaugas dėl gyvenamosios vietovės (pvz., kaimiška teritorija, retai važiuojantis viešasis transportas), transporto priemonės neturi, tačiau padeda kaimynai ar kiti asmenys.</w:t>
                </w:r>
              </w:p>
            </w:tc>
          </w:tr>
          <w:tr>
            <w:trPr>
              <w:trHeight w:val="1748"/>
            </w:trPr>
            <w:tc>
              <w:tcPr>
                <w:tcW w:w="1560" w:type="dxa"/>
                <w:vAlign w:val="center"/>
              </w:tcPr>
              <w:p>
                <w:pPr>
                  <w:jc w:val="center"/>
                  <w:rPr>
                    <w:rFonts w:eastAsia="Calibri"/>
                    <w:sz w:val="36"/>
                    <w:szCs w:val="36"/>
                  </w:rPr>
                </w:pPr>
                <w:r>
                  <w:rPr>
                    <w:rFonts w:eastAsia="Calibri"/>
                    <w:sz w:val="36"/>
                    <w:szCs w:val="36"/>
                  </w:rPr>
                  <w:t>3</w:t>
                </w:r>
              </w:p>
            </w:tc>
            <w:tc>
              <w:tcPr>
                <w:tcW w:w="9654" w:type="dxa"/>
              </w:tcPr>
              <w:p>
                <w:pPr>
                  <w:widowControl w:val="0"/>
                  <w:ind w:left="720" w:hanging="360"/>
                  <w:rPr>
                    <w:szCs w:val="24"/>
                  </w:rPr>
                </w:pPr>
                <w:r>
                  <w:rPr>
                    <w:rFonts w:ascii="Symbol" w:hAnsi="Symbol"/>
                    <w:szCs w:val="24"/>
                  </w:rPr>
                  <w:t></w:t>
                  <w:tab/>
                </w:r>
                <w:r>
                  <w:rPr>
                    <w:szCs w:val="24"/>
                  </w:rPr>
                  <w:t>Benamė arba gresia būsto netekimas, iškeldinimas ir ji neturi kur apsigyventi.</w:t>
                </w:r>
              </w:p>
              <w:p>
                <w:pPr>
                  <w:widowControl w:val="0"/>
                  <w:ind w:left="720" w:hanging="360"/>
                  <w:rPr>
                    <w:szCs w:val="24"/>
                  </w:rPr>
                </w:pPr>
                <w:r>
                  <w:rPr>
                    <w:rFonts w:ascii="Symbol" w:hAnsi="Symbol"/>
                    <w:szCs w:val="24"/>
                  </w:rPr>
                  <w:t></w:t>
                  <w:tab/>
                </w:r>
                <w:r>
                  <w:rPr>
                    <w:szCs w:val="24"/>
                  </w:rPr>
                  <w:t>Gyvenimo sąlygos kelia tiesioginį pavojų nėščiosios ir gimsiančio kūdikio sveikatai, būstas ir aplinka neatitinka nėščiosios ir gimsiančio kūdikio poreikių, nėščioji neturi reikalingų daiktų, priemonių, nėra motyvuota spręsti problemų.</w:t>
                </w:r>
              </w:p>
              <w:p>
                <w:pPr>
                  <w:ind w:left="720" w:hanging="360"/>
                  <w:rPr>
                    <w:rFonts w:eastAsia="Calibri"/>
                    <w:szCs w:val="24"/>
                  </w:rPr>
                </w:pPr>
                <w:r>
                  <w:rPr>
                    <w:rFonts w:ascii="Symbol" w:eastAsia="Calibri" w:hAnsi="Symbol"/>
                    <w:szCs w:val="24"/>
                  </w:rPr>
                  <w:t></w:t>
                  <w:tab/>
                </w:r>
                <w:r>
                  <w:rPr>
                    <w:rFonts w:eastAsia="Calibri"/>
                    <w:szCs w:val="24"/>
                  </w:rPr>
                  <w:t>Vienkiemis, nedidelis kaimas, nėščioji (jos šeima) neturi jokios transporto priemonės, neprivažiuoja viešasis transportas. Dėl to kyla grėsmė nėščiajai, nes jis negauna kitų jai reikiamų paslaugų.</w:t>
                </w:r>
              </w:p>
            </w:tc>
          </w:tr>
        </w:tbl>
        <w:p>
          <w:pPr>
            <w:jc w:val="both"/>
            <w:rPr>
              <w:color w:val="000000"/>
              <w:szCs w:val="24"/>
            </w:rPr>
          </w:pPr>
          <w:r>
            <w:rPr>
              <w:color w:val="000000"/>
              <w:szCs w:val="24"/>
            </w:rPr>
            <w:t>Pastabos: klausimyną pildo šeimų lankymo specialistas.</w:t>
          </w:r>
        </w:p>
        <w:sdt>
          <w:sdtPr>
            <w:alias w:val="pabaiga"/>
            <w:tag w:val="part_bbd18d8d329d45f7b6da20cc313be8b0"/>
            <w:lock w:val="sdtLocked"/>
            <w:richText/>
          </w:sdtPr>
          <w:sdtContent>
            <w:p>
              <w:pPr>
                <w:suppressAutoHyphens/>
                <w:ind w:firstLine="720"/>
                <w:jc w:val="center"/>
                <w:rPr>
                  <w:szCs w:val="24"/>
                </w:rPr>
              </w:pPr>
              <w:r>
                <w:rPr>
                  <w:color w:val="000000"/>
                  <w:szCs w:val="24"/>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IDFont+F3">
    <w:altName w:val="Yu Gothic UI"/>
    <w:panose1 w:val="00000000000000000000"/>
    <w:charset w:val="80"/>
    <w:family w:val="auto"/>
    <w:notTrueType/>
    <w:pitch w:val="default"/>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A00002EF" w:usb1="4000207B"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297491355">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4" Abbr="4 pr." Title="GYVENIMO SĄLYGŲ VERTINIMAS" DocPartId="707b9354191a46f3a446521b2997bc48" PartId="e9b4f105791d414a9d93ddc9315555a7">
    <Part Type="pabaiga" DocPartId="ec1473d6126247ad82519cfbe7452dc5" PartId="bbd18d8d329d45f7b6da20cc313be8b0"/>
  </Part>
</Parts>
</file>

<file path=customXml/itemProps1.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2.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3.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DF67C34-6529-4443-88E1-B239FBAF35F9}">
  <ds:schemaRefs>
    <ds:schemaRef ds:uri="http://schemas.openxmlformats.org/officeDocument/2006/bibliography"/>
  </ds:schemaRefs>
</ds:datastoreItem>
</file>

<file path=customXml/itemProps5.xml><?xml version="1.0" encoding="utf-8"?>
<ds:datastoreItem xmlns:ds="http://schemas.openxmlformats.org/officeDocument/2006/customXml" ds:itemID="{E6582233-4C28-4765-9FBE-90B693BE058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447</Words>
  <Characters>3275</Characters>
  <Application>Microsoft Office Word</Application>
  <DocSecurity>4</DocSecurity>
  <Lines>148</Lines>
  <Paragraphs>66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3656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