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r."/>
        <w:tag w:val="part_20b1a93c32fc4015b5bf21a6d4df3218"/>
        <w:lock w:val="sdtLocked"/>
        <w:richText/>
      </w:sdtPr>
      <w:sdtContent>
        <w:p>
          <w:pPr>
            <w:tabs>
              <w:tab w:val="center" w:pos="4819"/>
              <w:tab w:val="right" w:pos="9638"/>
            </w:tabs>
            <w:jc w:val="center"/>
            <w:rPr>
              <w:sz w:val="22"/>
              <w:szCs w:val="22"/>
            </w:rPr>
          </w:pPr>
        </w:p>
        <w:p>
          <w:pPr>
            <w:tabs>
              <w:tab w:val="center" w:pos="4819"/>
              <w:tab w:val="right" w:pos="9638"/>
            </w:tabs>
            <w:rPr>
              <w:sz w:val="22"/>
              <w:szCs w:val="22"/>
            </w:rPr>
          </w:pPr>
        </w:p>
        <w:p>
          <w:pPr>
            <w:rPr>
              <w:sz w:val="18"/>
              <w:szCs w:val="18"/>
            </w:rPr>
          </w:pPr>
        </w:p>
        <w:p>
          <w:pPr>
            <w:ind w:left="9639"/>
            <w:jc w:val="both"/>
          </w:pPr>
          <w:r>
            <w:t>2022–2030 metų plėtros programos valdytojos Lietuvos Respublikos susisiekimo ministerijos susisiekimo plėtros programos pažangos priemonės Nr. 10-001-05-03-06 „Gerinti eismo saugą“ aprašo</w:t>
          </w:r>
        </w:p>
        <w:p>
          <w:pPr>
            <w:ind w:left="9639"/>
            <w:jc w:val="both"/>
            <w:rPr>
              <w:szCs w:val="24"/>
            </w:rPr>
          </w:pPr>
          <w:r>
            <w:rPr>
              <w:szCs w:val="24"/>
            </w:rPr>
            <w:t>priedas</w:t>
          </w:r>
        </w:p>
        <w:p>
          <w:pPr>
            <w:ind w:left="9639"/>
            <w:jc w:val="both"/>
            <w:rPr>
              <w:szCs w:val="24"/>
            </w:rPr>
          </w:pPr>
        </w:p>
        <w:sdt>
          <w:sdtPr>
            <w:alias w:val="Pavadinimas"/>
            <w:tag w:val="title_20b1a93c32fc4015b5bf21a6d4df3218"/>
            <w:lock w:val="sdtLocked"/>
            <w:richText/>
          </w:sdtPr>
          <w:sdtContent>
            <w:p>
              <w:pPr>
                <w:spacing w:line="276" w:lineRule="auto"/>
                <w:jc w:val="center"/>
                <w:rPr>
                  <w:b/>
                  <w:bCs/>
                  <w:szCs w:val="24"/>
                </w:rPr>
              </w:pPr>
              <w:r>
                <w:rPr>
                  <w:b/>
                  <w:bCs/>
                  <w:szCs w:val="24"/>
                </w:rPr>
                <w:t>2022–2030 METŲ PLĖTROS PROGRAMOS VALDYTOJOS LIETUVOS RESPUBLIKOS SUSISIEKIMO MINISTERIJOS SUSISIEKIMO PLĖTROS PROGRAMOS PAŽANGOS PRIEMONĖS NR. 10-001-05-03-06</w:t>
              </w:r>
            </w:p>
            <w:p>
              <w:pPr>
                <w:spacing w:line="276" w:lineRule="auto"/>
                <w:jc w:val="center"/>
                <w:rPr>
                  <w:b/>
                  <w:color w:val="000000"/>
                  <w:kern w:val="16"/>
                  <w:szCs w:val="24"/>
                </w:rPr>
              </w:pPr>
              <w:r>
                <w:rPr>
                  <w:b/>
                  <w:bCs/>
                  <w:szCs w:val="24"/>
                </w:rPr>
                <w:t>„GERINTI EISMO SAUGĄ“ VEIKLŲ „</w:t>
              </w:r>
              <w:r>
                <w:rPr>
                  <w:b/>
                  <w:bCs/>
                </w:rPr>
                <w:t xml:space="preserve">EISMO KONTROLĖS SISTEMŲ DIEGIMAS“ IR „VIENO LYGIO GELEŽINKELIO PERVAŽŲ MODERNIZAVIMAS“ </w:t>
              </w:r>
              <w:r>
                <w:rPr>
                  <w:b/>
                  <w:color w:val="000000"/>
                  <w:szCs w:val="24"/>
                </w:rPr>
                <w:t>PROJEKTŲ FINANSAVIMO SĄLYGŲ APRAŠAS</w:t>
              </w:r>
            </w:p>
          </w:sdtContent>
        </w:sdt>
        <w:p>
          <w:pPr>
            <w:rPr>
              <w:i/>
              <w:szCs w:val="24"/>
            </w:rPr>
          </w:pPr>
        </w:p>
        <w:tbl>
          <w:tblPr>
            <w:tblW w:w="15876"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276"/>
            <w:gridCol w:w="1050"/>
            <w:gridCol w:w="1080"/>
            <w:gridCol w:w="1170"/>
            <w:gridCol w:w="2086"/>
            <w:gridCol w:w="1244"/>
            <w:gridCol w:w="1024"/>
            <w:gridCol w:w="1559"/>
            <w:gridCol w:w="1701"/>
            <w:gridCol w:w="1238"/>
            <w:gridCol w:w="1030"/>
          </w:tblGrid>
          <w:tr>
            <w:tc>
              <w:tcPr>
                <w:tcW w:w="15876" w:type="dxa"/>
                <w:gridSpan w:val="12"/>
                <w:vAlign w:val="center"/>
              </w:tcPr>
              <w:p>
                <w:pPr>
                  <w:jc w:val="center"/>
                  <w:rPr>
                    <w:b/>
                  </w:rPr>
                </w:pPr>
                <w:r>
                  <w:rPr>
                    <w:b/>
                  </w:rPr>
                  <w:t>VEIKLOS AR POVEIKLĖS, KURIOMS NUSTATOMOS PROJEKTŲ FINANSAVIMO SĄLYGOS</w:t>
                </w:r>
              </w:p>
            </w:tc>
          </w:tr>
          <w:tr>
            <w:tc>
              <w:tcPr>
                <w:tcW w:w="1418" w:type="dxa"/>
                <w:vAlign w:val="center"/>
              </w:tcPr>
              <w:p>
                <w:pPr>
                  <w:jc w:val="center"/>
                  <w:rPr>
                    <w:b/>
                    <w:sz w:val="18"/>
                    <w:szCs w:val="18"/>
                  </w:rPr>
                </w:pPr>
                <w:r>
                  <w:rPr>
                    <w:b/>
                    <w:sz w:val="18"/>
                    <w:szCs w:val="18"/>
                  </w:rPr>
                  <w:t>Veiklos ar poveiklės pavadinimas</w:t>
                </w:r>
              </w:p>
            </w:tc>
            <w:tc>
              <w:tcPr>
                <w:tcW w:w="1276" w:type="dxa"/>
                <w:vAlign w:val="center"/>
              </w:tcPr>
              <w:p>
                <w:pPr>
                  <w:jc w:val="center"/>
                  <w:rPr>
                    <w:b/>
                    <w:sz w:val="18"/>
                    <w:szCs w:val="18"/>
                  </w:rPr>
                </w:pPr>
                <w:r>
                  <w:rPr>
                    <w:b/>
                    <w:sz w:val="18"/>
                    <w:szCs w:val="18"/>
                  </w:rPr>
                  <w:t>Finansavimo šaltinis</w:t>
                </w:r>
              </w:p>
            </w:tc>
            <w:tc>
              <w:tcPr>
                <w:tcW w:w="1050" w:type="dxa"/>
                <w:vAlign w:val="center"/>
              </w:tcPr>
              <w:p>
                <w:pPr>
                  <w:jc w:val="center"/>
                  <w:rPr>
                    <w:b/>
                    <w:sz w:val="18"/>
                    <w:szCs w:val="18"/>
                  </w:rPr>
                </w:pPr>
                <w:r>
                  <w:rPr>
                    <w:b/>
                    <w:bCs/>
                    <w:sz w:val="18"/>
                    <w:szCs w:val="18"/>
                  </w:rPr>
                  <w:t>Prioritetas ar kompo-nentas</w:t>
                </w:r>
              </w:p>
            </w:tc>
            <w:tc>
              <w:tcPr>
                <w:tcW w:w="1080" w:type="dxa"/>
                <w:vAlign w:val="center"/>
              </w:tcPr>
              <w:p>
                <w:pPr>
                  <w:jc w:val="center"/>
                  <w:rPr>
                    <w:b/>
                    <w:sz w:val="18"/>
                    <w:szCs w:val="18"/>
                  </w:rPr>
                </w:pPr>
                <w:r>
                  <w:rPr>
                    <w:b/>
                    <w:bCs/>
                    <w:sz w:val="18"/>
                    <w:szCs w:val="18"/>
                  </w:rPr>
                  <w:t>Uždavinys ar priemonė</w:t>
                </w:r>
              </w:p>
            </w:tc>
            <w:tc>
              <w:tcPr>
                <w:tcW w:w="1170" w:type="dxa"/>
                <w:vAlign w:val="center"/>
              </w:tcPr>
              <w:p>
                <w:pPr>
                  <w:jc w:val="center"/>
                  <w:rPr>
                    <w:b/>
                    <w:sz w:val="18"/>
                    <w:szCs w:val="18"/>
                  </w:rPr>
                </w:pPr>
                <w:r>
                  <w:rPr>
                    <w:b/>
                    <w:bCs/>
                    <w:sz w:val="18"/>
                    <w:szCs w:val="18"/>
                  </w:rPr>
                  <w:t>Veikla ar poveiklė</w:t>
                </w:r>
              </w:p>
            </w:tc>
            <w:tc>
              <w:tcPr>
                <w:tcW w:w="2086" w:type="dxa"/>
                <w:vAlign w:val="center"/>
              </w:tcPr>
              <w:p>
                <w:pPr>
                  <w:jc w:val="center"/>
                  <w:rPr>
                    <w:b/>
                    <w:sz w:val="18"/>
                    <w:szCs w:val="18"/>
                  </w:rPr>
                </w:pPr>
                <w:r>
                  <w:rPr>
                    <w:b/>
                    <w:sz w:val="18"/>
                    <w:szCs w:val="18"/>
                  </w:rPr>
                  <w:t>Intervencinės priemonės kodas</w:t>
                </w:r>
              </w:p>
            </w:tc>
            <w:tc>
              <w:tcPr>
                <w:tcW w:w="1244" w:type="dxa"/>
                <w:vAlign w:val="center"/>
              </w:tcPr>
              <w:p>
                <w:pPr>
                  <w:jc w:val="center"/>
                  <w:rPr>
                    <w:b/>
                    <w:bCs/>
                    <w:sz w:val="18"/>
                    <w:szCs w:val="18"/>
                  </w:rPr>
                </w:pPr>
                <w:r>
                  <w:rPr>
                    <w:b/>
                    <w:sz w:val="18"/>
                    <w:szCs w:val="18"/>
                  </w:rPr>
                  <w:t>Regionas, kuriam priskiriama veikla</w:t>
                </w:r>
              </w:p>
            </w:tc>
            <w:tc>
              <w:tcPr>
                <w:tcW w:w="1024" w:type="dxa"/>
                <w:vAlign w:val="center"/>
              </w:tcPr>
              <w:p>
                <w:pPr>
                  <w:jc w:val="center"/>
                  <w:rPr>
                    <w:b/>
                    <w:sz w:val="18"/>
                    <w:szCs w:val="18"/>
                  </w:rPr>
                </w:pPr>
                <w:r>
                  <w:rPr>
                    <w:b/>
                    <w:bCs/>
                    <w:sz w:val="18"/>
                    <w:szCs w:val="18"/>
                  </w:rPr>
                  <w:t>Paramos formos kodas</w:t>
                </w:r>
              </w:p>
            </w:tc>
            <w:tc>
              <w:tcPr>
                <w:tcW w:w="1559" w:type="dxa"/>
                <w:vAlign w:val="center"/>
              </w:tcPr>
              <w:p>
                <w:pPr>
                  <w:jc w:val="center"/>
                  <w:rPr>
                    <w:b/>
                    <w:sz w:val="18"/>
                    <w:szCs w:val="18"/>
                  </w:rPr>
                </w:pPr>
                <w:r>
                  <w:rPr>
                    <w:b/>
                    <w:bCs/>
                    <w:sz w:val="18"/>
                    <w:szCs w:val="18"/>
                  </w:rPr>
                  <w:t>Pagrindinės teritorinės srities kodas (-ai)</w:t>
                </w:r>
              </w:p>
            </w:tc>
            <w:tc>
              <w:tcPr>
                <w:tcW w:w="1701" w:type="dxa"/>
                <w:vAlign w:val="center"/>
              </w:tcPr>
              <w:p>
                <w:pPr>
                  <w:jc w:val="center"/>
                  <w:rPr>
                    <w:b/>
                    <w:sz w:val="18"/>
                    <w:szCs w:val="18"/>
                  </w:rPr>
                </w:pPr>
                <w:r>
                  <w:rPr>
                    <w:b/>
                    <w:bCs/>
                    <w:sz w:val="18"/>
                    <w:szCs w:val="18"/>
                  </w:rPr>
                  <w:t>Ekonominės veiklos kodas (-ai)</w:t>
                </w:r>
              </w:p>
            </w:tc>
            <w:tc>
              <w:tcPr>
                <w:tcW w:w="1238" w:type="dxa"/>
                <w:vAlign w:val="center"/>
              </w:tcPr>
              <w:p>
                <w:pPr>
                  <w:jc w:val="center"/>
                  <w:rPr>
                    <w:b/>
                    <w:bCs/>
                    <w:sz w:val="18"/>
                    <w:szCs w:val="18"/>
                  </w:rPr>
                </w:pPr>
                <w:r>
                  <w:rPr>
                    <w:b/>
                    <w:bCs/>
                    <w:sz w:val="18"/>
                    <w:szCs w:val="18"/>
                  </w:rPr>
                  <w:t>„Europos socialinio fondo +“ (toliau – ESF+) antrinių temų kodai</w:t>
                </w:r>
              </w:p>
            </w:tc>
            <w:tc>
              <w:tcPr>
                <w:tcW w:w="1030" w:type="dxa"/>
                <w:vAlign w:val="center"/>
              </w:tcPr>
              <w:p>
                <w:pPr>
                  <w:jc w:val="center"/>
                  <w:rPr>
                    <w:b/>
                    <w:bCs/>
                    <w:sz w:val="18"/>
                    <w:szCs w:val="18"/>
                  </w:rPr>
                </w:pPr>
                <w:r>
                  <w:rPr>
                    <w:b/>
                    <w:bCs/>
                    <w:sz w:val="18"/>
                    <w:szCs w:val="18"/>
                  </w:rPr>
                  <w:t>Lyčių lygybės matmens kodas</w:t>
                </w:r>
              </w:p>
            </w:tc>
          </w:tr>
          <w:tr>
            <w:trPr>
              <w:trHeight w:val="20"/>
            </w:trPr>
            <w:tc>
              <w:tcPr>
                <w:tcW w:w="1418" w:type="dxa"/>
                <w:vAlign w:val="center"/>
              </w:tcPr>
              <w:p>
                <w:pPr>
                  <w:jc w:val="center"/>
                  <w:rPr>
                    <w:bCs/>
                    <w:sz w:val="20"/>
                  </w:rPr>
                </w:pPr>
                <w:r>
                  <w:rPr>
                    <w:sz w:val="20"/>
                  </w:rPr>
                  <w:t xml:space="preserve">1.1. Eismo kontrolės sistemų diegimas </w:t>
                </w:r>
              </w:p>
            </w:tc>
            <w:tc>
              <w:tcPr>
                <w:tcW w:w="1276" w:type="dxa"/>
                <w:vAlign w:val="center"/>
              </w:tcPr>
              <w:p>
                <w:pPr>
                  <w:jc w:val="center"/>
                  <w:rPr>
                    <w:b/>
                    <w:sz w:val="20"/>
                  </w:rPr>
                </w:pPr>
                <w:r>
                  <w:rPr>
                    <w:sz w:val="20"/>
                  </w:rPr>
                  <w:t xml:space="preserve">2021–2027 metų Europos Sąjungos fondų investicijų programa </w:t>
                </w:r>
              </w:p>
            </w:tc>
            <w:tc>
              <w:tcPr>
                <w:tcW w:w="1050" w:type="dxa"/>
                <w:vAlign w:val="center"/>
              </w:tcPr>
              <w:p>
                <w:pPr>
                  <w:jc w:val="center"/>
                  <w:rPr>
                    <w:b/>
                    <w:bCs/>
                    <w:sz w:val="20"/>
                  </w:rPr>
                </w:pPr>
                <w:r>
                  <w:rPr>
                    <w:bCs/>
                    <w:sz w:val="20"/>
                  </w:rPr>
                  <w:t>3</w:t>
                </w:r>
              </w:p>
            </w:tc>
            <w:tc>
              <w:tcPr>
                <w:tcW w:w="1080" w:type="dxa"/>
                <w:vAlign w:val="center"/>
              </w:tcPr>
              <w:p>
                <w:pPr>
                  <w:jc w:val="center"/>
                  <w:rPr>
                    <w:b/>
                    <w:bCs/>
                    <w:sz w:val="20"/>
                  </w:rPr>
                </w:pPr>
                <w:r>
                  <w:rPr>
                    <w:bCs/>
                    <w:sz w:val="20"/>
                  </w:rPr>
                  <w:t>3.1</w:t>
                </w:r>
              </w:p>
            </w:tc>
            <w:tc>
              <w:tcPr>
                <w:tcW w:w="1170" w:type="dxa"/>
                <w:vAlign w:val="center"/>
              </w:tcPr>
              <w:p>
                <w:pPr>
                  <w:jc w:val="center"/>
                  <w:rPr>
                    <w:bCs/>
                    <w:sz w:val="20"/>
                  </w:rPr>
                </w:pPr>
                <w:r>
                  <w:rPr>
                    <w:color w:val="000000"/>
                    <w:sz w:val="20"/>
                    <w:lang w:eastAsia="lt-LT"/>
                  </w:rPr>
                  <w:t>Tobulinti ir plėtoti TEN-T kelių tinklą</w:t>
                </w:r>
              </w:p>
            </w:tc>
            <w:tc>
              <w:tcPr>
                <w:tcW w:w="2086" w:type="dxa"/>
                <w:vAlign w:val="center"/>
              </w:tcPr>
              <w:p>
                <w:pPr>
                  <w:jc w:val="center"/>
                  <w:rPr>
                    <w:bCs/>
                    <w:color w:val="000000"/>
                    <w:sz w:val="20"/>
                    <w:szCs w:val="24"/>
                  </w:rPr>
                </w:pPr>
                <w:r>
                  <w:rPr>
                    <w:color w:val="000000"/>
                    <w:sz w:val="20"/>
                  </w:rPr>
                  <w:t>094 – Transporto skaitmeninimas: keliai</w:t>
                </w:r>
              </w:p>
            </w:tc>
            <w:tc>
              <w:tcPr>
                <w:tcW w:w="1244" w:type="dxa"/>
                <w:vAlign w:val="center"/>
              </w:tcPr>
              <w:p>
                <w:pPr>
                  <w:jc w:val="center"/>
                  <w:rPr>
                    <w:bCs/>
                    <w:sz w:val="20"/>
                  </w:rPr>
                </w:pPr>
                <w:r>
                  <w:rPr>
                    <w:bCs/>
                    <w:sz w:val="20"/>
                  </w:rPr>
                  <w:t>Visa Lietuva (Sanglaudos fondas (toliau</w:t>
                </w:r>
                <w:r>
                  <w:rPr>
                    <w:iCs/>
                  </w:rPr>
                  <w:t xml:space="preserve"> – </w:t>
                </w:r>
                <w:r>
                  <w:rPr>
                    <w:bCs/>
                    <w:sz w:val="20"/>
                  </w:rPr>
                  <w:t>SaF)</w:t>
                </w:r>
              </w:p>
              <w:p>
                <w:pPr>
                  <w:jc w:val="center"/>
                  <w:rPr>
                    <w:bCs/>
                    <w:sz w:val="20"/>
                  </w:rPr>
                </w:pPr>
              </w:p>
            </w:tc>
            <w:tc>
              <w:tcPr>
                <w:tcW w:w="1024" w:type="dxa"/>
                <w:vAlign w:val="center"/>
              </w:tcPr>
              <w:p>
                <w:pPr>
                  <w:jc w:val="center"/>
                  <w:rPr>
                    <w:b/>
                    <w:bCs/>
                    <w:sz w:val="20"/>
                  </w:rPr>
                </w:pPr>
                <w:r>
                  <w:rPr>
                    <w:iCs/>
                    <w:sz w:val="20"/>
                  </w:rPr>
                  <w:t>01 – Dotacija</w:t>
                </w:r>
              </w:p>
            </w:tc>
            <w:tc>
              <w:tcPr>
                <w:tcW w:w="1559" w:type="dxa"/>
                <w:vAlign w:val="center"/>
              </w:tcPr>
              <w:p>
                <w:pPr>
                  <w:jc w:val="center"/>
                  <w:rPr>
                    <w:b/>
                    <w:bCs/>
                    <w:sz w:val="20"/>
                  </w:rPr>
                </w:pPr>
                <w:r>
                  <w:rPr>
                    <w:iCs/>
                    <w:sz w:val="20"/>
                  </w:rPr>
                  <w:t>33 – Nesiorientuojant į teritoriškumą</w:t>
                </w:r>
              </w:p>
            </w:tc>
            <w:tc>
              <w:tcPr>
                <w:tcW w:w="1701" w:type="dxa"/>
                <w:vAlign w:val="center"/>
              </w:tcPr>
              <w:p>
                <w:pPr>
                  <w:jc w:val="center"/>
                  <w:rPr>
                    <w:b/>
                    <w:bCs/>
                    <w:sz w:val="20"/>
                  </w:rPr>
                </w:pPr>
                <w:r>
                  <w:rPr>
                    <w:sz w:val="20"/>
                  </w:rPr>
                  <w:t xml:space="preserve">14 </w:t>
                </w:r>
                <w:r>
                  <w:rPr>
                    <w:iCs/>
                    <w:sz w:val="20"/>
                  </w:rPr>
                  <w:t xml:space="preserve">– </w:t>
                </w:r>
                <w:r>
                  <w:rPr>
                    <w:sz w:val="20"/>
                  </w:rPr>
                  <w:t>Transportas ir sandėliavimas</w:t>
                </w:r>
              </w:p>
            </w:tc>
            <w:tc>
              <w:tcPr>
                <w:tcW w:w="1238" w:type="dxa"/>
                <w:vAlign w:val="center"/>
              </w:tcPr>
              <w:p>
                <w:pPr>
                  <w:jc w:val="center"/>
                  <w:rPr>
                    <w:b/>
                    <w:bCs/>
                    <w:sz w:val="20"/>
                  </w:rPr>
                </w:pPr>
                <w:r>
                  <w:rPr>
                    <w:b/>
                    <w:bCs/>
                    <w:sz w:val="20"/>
                  </w:rPr>
                  <w:t>-</w:t>
                </w:r>
              </w:p>
            </w:tc>
            <w:tc>
              <w:tcPr>
                <w:tcW w:w="1030" w:type="dxa"/>
                <w:vAlign w:val="center"/>
              </w:tcPr>
              <w:p>
                <w:pPr>
                  <w:jc w:val="center"/>
                  <w:rPr>
                    <w:b/>
                    <w:bCs/>
                    <w:sz w:val="20"/>
                  </w:rPr>
                </w:pPr>
                <w:r>
                  <w:rPr>
                    <w:iCs/>
                    <w:sz w:val="20"/>
                  </w:rPr>
                  <w:t>03 – Neutralu-mas lyties požiūriu</w:t>
                </w:r>
              </w:p>
            </w:tc>
          </w:tr>
        </w:tbl>
        <w:p>
          <w:pPr>
            <w:ind w:firstLine="567"/>
            <w:jc w:val="both"/>
            <w:rPr>
              <w:i/>
              <w:iCs/>
              <w:szCs w:val="24"/>
            </w:rPr>
          </w:pPr>
        </w:p>
        <w:tbl>
          <w:tblPr>
            <w:tblW w:w="15876"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7"/>
            <w:gridCol w:w="3688"/>
            <w:gridCol w:w="3688"/>
            <w:gridCol w:w="3673"/>
          </w:tblGrid>
          <w:tr>
            <w:trPr>
              <w:trHeight w:val="405"/>
            </w:trPr>
            <w:tc>
              <w:tcPr>
                <w:tcW w:w="4827" w:type="dxa"/>
                <w:shd w:val="clear" w:color="auto" w:fill="auto"/>
                <w:vAlign w:val="center"/>
              </w:tcPr>
              <w:p>
                <w:pPr>
                  <w:jc w:val="center"/>
                  <w:rPr>
                    <w:sz w:val="18"/>
                    <w:szCs w:val="18"/>
                  </w:rPr>
                </w:pPr>
                <w:r>
                  <w:t>Rodiklio pavadinimas</w:t>
                </w:r>
              </w:p>
            </w:tc>
            <w:tc>
              <w:tcPr>
                <w:tcW w:w="3688" w:type="dxa"/>
                <w:shd w:val="clear" w:color="auto" w:fill="auto"/>
                <w:vAlign w:val="center"/>
              </w:tcPr>
              <w:p>
                <w:pPr>
                  <w:jc w:val="center"/>
                  <w:rPr>
                    <w:sz w:val="18"/>
                    <w:szCs w:val="18"/>
                  </w:rPr>
                </w:pPr>
                <w:r>
                  <w:t>Rodiklio kodas</w:t>
                </w:r>
              </w:p>
            </w:tc>
            <w:tc>
              <w:tcPr>
                <w:tcW w:w="3688" w:type="dxa"/>
                <w:shd w:val="clear" w:color="auto" w:fill="auto"/>
                <w:vAlign w:val="center"/>
              </w:tcPr>
              <w:p>
                <w:pPr>
                  <w:jc w:val="center"/>
                  <w:rPr>
                    <w:sz w:val="18"/>
                    <w:szCs w:val="18"/>
                  </w:rPr>
                </w:pPr>
                <w:r>
                  <w:t>Matavimo vienetai</w:t>
                </w:r>
              </w:p>
            </w:tc>
            <w:tc>
              <w:tcPr>
                <w:tcW w:w="3673" w:type="dxa"/>
                <w:shd w:val="clear" w:color="auto" w:fill="auto"/>
                <w:vAlign w:val="center"/>
              </w:tcPr>
              <w:p>
                <w:pPr>
                  <w:jc w:val="center"/>
                  <w:rPr>
                    <w:sz w:val="18"/>
                    <w:szCs w:val="18"/>
                  </w:rPr>
                </w:pPr>
                <w:r>
                  <w:t>Siektina reikšmė</w:t>
                </w:r>
              </w:p>
            </w:tc>
          </w:tr>
          <w:tr>
            <w:trPr>
              <w:trHeight w:val="725"/>
            </w:trPr>
            <w:tc>
              <w:tcPr>
                <w:tcW w:w="4827" w:type="dxa"/>
                <w:vAlign w:val="center"/>
              </w:tcPr>
              <w:p>
                <w:pPr>
                  <w:jc w:val="center"/>
                  <w:rPr>
                    <w:sz w:val="20"/>
                  </w:rPr>
                </w:pPr>
                <w:r>
                  <w:rPr>
                    <w:sz w:val="20"/>
                  </w:rPr>
                  <w:t>Įdiegtos eismo kontrolės sistemos keliuose (SaF, specialusis)</w:t>
                </w:r>
              </w:p>
            </w:tc>
            <w:tc>
              <w:tcPr>
                <w:tcW w:w="3688" w:type="dxa"/>
                <w:vAlign w:val="center"/>
              </w:tcPr>
              <w:p>
                <w:pPr>
                  <w:jc w:val="center"/>
                  <w:rPr>
                    <w:bCs/>
                    <w:sz w:val="20"/>
                  </w:rPr>
                </w:pPr>
                <w:r>
                  <w:rPr>
                    <w:bCs/>
                    <w:sz w:val="20"/>
                  </w:rPr>
                  <w:t>P.S.2.1020</w:t>
                </w:r>
              </w:p>
              <w:p>
                <w:pPr>
                  <w:jc w:val="center"/>
                  <w:rPr>
                    <w:bCs/>
                    <w:sz w:val="20"/>
                  </w:rPr>
                </w:pPr>
                <w:r>
                  <w:rPr>
                    <w:bCs/>
                    <w:sz w:val="20"/>
                  </w:rPr>
                  <w:t>(P-02-10-001-05-03-06-06)</w:t>
                </w:r>
              </w:p>
            </w:tc>
            <w:tc>
              <w:tcPr>
                <w:tcW w:w="3688" w:type="dxa"/>
                <w:vAlign w:val="center"/>
              </w:tcPr>
              <w:p>
                <w:pPr>
                  <w:jc w:val="center"/>
                  <w:rPr>
                    <w:bCs/>
                    <w:sz w:val="20"/>
                  </w:rPr>
                </w:pPr>
                <w:r>
                  <w:rPr>
                    <w:bCs/>
                    <w:sz w:val="20"/>
                  </w:rPr>
                  <w:t xml:space="preserve">Skaičius </w:t>
                </w:r>
              </w:p>
            </w:tc>
            <w:tc>
              <w:tcPr>
                <w:tcW w:w="3673" w:type="dxa"/>
                <w:vAlign w:val="center"/>
              </w:tcPr>
              <w:p>
                <w:pPr>
                  <w:jc w:val="center"/>
                  <w:rPr>
                    <w:bCs/>
                    <w:sz w:val="20"/>
                  </w:rPr>
                </w:pPr>
                <w:r>
                  <w:rPr>
                    <w:bCs/>
                    <w:sz w:val="20"/>
                  </w:rPr>
                  <w:t>113 (2029-12-31)</w:t>
                </w:r>
              </w:p>
            </w:tc>
          </w:tr>
          <w:tr>
            <w:trPr>
              <w:trHeight w:val="725"/>
            </w:trPr>
            <w:tc>
              <w:tcPr>
                <w:tcW w:w="4827" w:type="dxa"/>
                <w:vAlign w:val="center"/>
              </w:tcPr>
              <w:p>
                <w:pPr>
                  <w:jc w:val="center"/>
                  <w:rPr>
                    <w:sz w:val="20"/>
                  </w:rPr>
                </w:pPr>
                <w:r>
                  <w:rPr>
                    <w:sz w:val="20"/>
                  </w:rPr>
                  <w:t>Žuvusiųjų TEN-T keliuose skaičius (SaF, specialusis)</w:t>
                </w:r>
              </w:p>
            </w:tc>
            <w:tc>
              <w:tcPr>
                <w:tcW w:w="3688" w:type="dxa"/>
                <w:vAlign w:val="center"/>
              </w:tcPr>
              <w:p>
                <w:pPr>
                  <w:jc w:val="center"/>
                  <w:rPr>
                    <w:sz w:val="20"/>
                  </w:rPr>
                </w:pPr>
                <w:r>
                  <w:rPr>
                    <w:sz w:val="20"/>
                  </w:rPr>
                  <w:t>R.S.2.3023</w:t>
                </w:r>
              </w:p>
              <w:p>
                <w:pPr>
                  <w:jc w:val="center"/>
                  <w:rPr>
                    <w:sz w:val="20"/>
                  </w:rPr>
                </w:pPr>
                <w:r>
                  <w:rPr>
                    <w:sz w:val="20"/>
                  </w:rPr>
                  <w:t>(R-02-10-001-05-03-06-05)</w:t>
                </w:r>
              </w:p>
            </w:tc>
            <w:tc>
              <w:tcPr>
                <w:tcW w:w="3688" w:type="dxa"/>
                <w:vAlign w:val="center"/>
              </w:tcPr>
              <w:p>
                <w:pPr>
                  <w:jc w:val="center"/>
                  <w:rPr>
                    <w:bCs/>
                    <w:sz w:val="20"/>
                  </w:rPr>
                </w:pPr>
                <w:r>
                  <w:rPr>
                    <w:bCs/>
                    <w:sz w:val="20"/>
                  </w:rPr>
                  <w:t>Skaičius per metus</w:t>
                </w:r>
              </w:p>
            </w:tc>
            <w:tc>
              <w:tcPr>
                <w:tcW w:w="3673" w:type="dxa"/>
                <w:vAlign w:val="center"/>
              </w:tcPr>
              <w:p>
                <w:pPr>
                  <w:jc w:val="center"/>
                  <w:rPr>
                    <w:bCs/>
                    <w:sz w:val="20"/>
                  </w:rPr>
                </w:pPr>
                <w:r>
                  <w:rPr>
                    <w:bCs/>
                    <w:sz w:val="20"/>
                  </w:rPr>
                  <w:t>26 (2029-12-31)</w:t>
                </w:r>
              </w:p>
            </w:tc>
          </w:tr>
        </w:tbl>
        <w:p>
          <w:pPr>
            <w:jc w:val="both"/>
            <w:rPr>
              <w:i/>
              <w:iCs/>
              <w:szCs w:val="24"/>
            </w:rPr>
          </w:pPr>
        </w:p>
        <w:p>
          <w:pPr>
            <w:jc w:val="both"/>
            <w:rPr>
              <w:i/>
              <w:iCs/>
              <w:szCs w:val="24"/>
            </w:rPr>
          </w:pPr>
        </w:p>
        <w:tbl>
          <w:tblPr>
            <w:tblW w:w="1591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6"/>
            <w:gridCol w:w="1275"/>
            <w:gridCol w:w="1089"/>
            <w:gridCol w:w="1080"/>
            <w:gridCol w:w="1630"/>
            <w:gridCol w:w="1730"/>
            <w:gridCol w:w="1275"/>
            <w:gridCol w:w="993"/>
            <w:gridCol w:w="1754"/>
            <w:gridCol w:w="1364"/>
            <w:gridCol w:w="1096"/>
            <w:gridCol w:w="1030"/>
          </w:tblGrid>
          <w:tr>
            <w:tc>
              <w:tcPr>
                <w:tcW w:w="15912" w:type="dxa"/>
                <w:gridSpan w:val="12"/>
                <w:vAlign w:val="center"/>
              </w:tcPr>
              <w:p>
                <w:pPr>
                  <w:jc w:val="center"/>
                  <w:rPr>
                    <w:b/>
                  </w:rPr>
                </w:pPr>
                <w:r>
                  <w:rPr>
                    <w:b/>
                  </w:rPr>
                  <w:t>VEIKLOS AR POVEIKLĖS, KURIOMS NUSTATOMOS PROJEKTŲ FINANSAVIMO SĄLYGOS</w:t>
                </w:r>
              </w:p>
            </w:tc>
          </w:tr>
          <w:tr>
            <w:tc>
              <w:tcPr>
                <w:tcW w:w="1596" w:type="dxa"/>
                <w:vAlign w:val="center"/>
              </w:tcPr>
              <w:p>
                <w:pPr>
                  <w:jc w:val="center"/>
                  <w:rPr>
                    <w:b/>
                    <w:sz w:val="20"/>
                  </w:rPr>
                </w:pPr>
                <w:r>
                  <w:rPr>
                    <w:b/>
                    <w:sz w:val="18"/>
                    <w:szCs w:val="18"/>
                  </w:rPr>
                  <w:t>Veiklos arba poveiklės pavadinimas</w:t>
                </w:r>
              </w:p>
            </w:tc>
            <w:tc>
              <w:tcPr>
                <w:tcW w:w="1275" w:type="dxa"/>
                <w:vAlign w:val="center"/>
              </w:tcPr>
              <w:p>
                <w:pPr>
                  <w:jc w:val="center"/>
                  <w:rPr>
                    <w:b/>
                    <w:sz w:val="20"/>
                  </w:rPr>
                </w:pPr>
                <w:r>
                  <w:rPr>
                    <w:b/>
                    <w:sz w:val="18"/>
                    <w:szCs w:val="18"/>
                  </w:rPr>
                  <w:t>Finansavimo šaltinis</w:t>
                </w:r>
              </w:p>
            </w:tc>
            <w:tc>
              <w:tcPr>
                <w:tcW w:w="1089" w:type="dxa"/>
                <w:vAlign w:val="center"/>
              </w:tcPr>
              <w:p>
                <w:pPr>
                  <w:jc w:val="center"/>
                  <w:rPr>
                    <w:b/>
                    <w:sz w:val="20"/>
                  </w:rPr>
                </w:pPr>
                <w:r>
                  <w:rPr>
                    <w:b/>
                    <w:bCs/>
                    <w:sz w:val="18"/>
                    <w:szCs w:val="18"/>
                  </w:rPr>
                  <w:t>Prioritetas arba kompo-nentas</w:t>
                </w:r>
              </w:p>
            </w:tc>
            <w:tc>
              <w:tcPr>
                <w:tcW w:w="1080" w:type="dxa"/>
                <w:vAlign w:val="center"/>
              </w:tcPr>
              <w:p>
                <w:pPr>
                  <w:jc w:val="center"/>
                  <w:rPr>
                    <w:b/>
                    <w:sz w:val="20"/>
                  </w:rPr>
                </w:pPr>
                <w:r>
                  <w:rPr>
                    <w:b/>
                    <w:bCs/>
                    <w:sz w:val="18"/>
                    <w:szCs w:val="18"/>
                  </w:rPr>
                  <w:t>Uždavinys arba priemonė</w:t>
                </w:r>
              </w:p>
            </w:tc>
            <w:tc>
              <w:tcPr>
                <w:tcW w:w="1630" w:type="dxa"/>
                <w:vAlign w:val="center"/>
              </w:tcPr>
              <w:p>
                <w:pPr>
                  <w:jc w:val="center"/>
                  <w:rPr>
                    <w:b/>
                    <w:sz w:val="20"/>
                  </w:rPr>
                </w:pPr>
                <w:r>
                  <w:rPr>
                    <w:b/>
                    <w:bCs/>
                    <w:sz w:val="18"/>
                    <w:szCs w:val="18"/>
                  </w:rPr>
                  <w:t>Veikla arba poveiklė</w:t>
                </w:r>
              </w:p>
            </w:tc>
            <w:tc>
              <w:tcPr>
                <w:tcW w:w="1730" w:type="dxa"/>
                <w:vAlign w:val="center"/>
              </w:tcPr>
              <w:p>
                <w:pPr>
                  <w:jc w:val="center"/>
                  <w:rPr>
                    <w:b/>
                    <w:sz w:val="20"/>
                  </w:rPr>
                </w:pPr>
                <w:r>
                  <w:rPr>
                    <w:b/>
                    <w:sz w:val="18"/>
                    <w:szCs w:val="18"/>
                  </w:rPr>
                  <w:t>Intervencinės priemonės kodas</w:t>
                </w:r>
              </w:p>
            </w:tc>
            <w:tc>
              <w:tcPr>
                <w:tcW w:w="1275" w:type="dxa"/>
                <w:vAlign w:val="center"/>
              </w:tcPr>
              <w:p>
                <w:pPr>
                  <w:jc w:val="center"/>
                  <w:rPr>
                    <w:b/>
                    <w:bCs/>
                    <w:sz w:val="20"/>
                  </w:rPr>
                </w:pPr>
                <w:r>
                  <w:rPr>
                    <w:b/>
                    <w:sz w:val="18"/>
                    <w:szCs w:val="18"/>
                  </w:rPr>
                  <w:t>Regionas, kuriam priskiriama veikla</w:t>
                </w:r>
              </w:p>
            </w:tc>
            <w:tc>
              <w:tcPr>
                <w:tcW w:w="993" w:type="dxa"/>
                <w:vAlign w:val="center"/>
              </w:tcPr>
              <w:p>
                <w:pPr>
                  <w:jc w:val="center"/>
                  <w:rPr>
                    <w:b/>
                    <w:sz w:val="20"/>
                  </w:rPr>
                </w:pPr>
                <w:r>
                  <w:rPr>
                    <w:b/>
                    <w:bCs/>
                    <w:sz w:val="18"/>
                    <w:szCs w:val="18"/>
                  </w:rPr>
                  <w:t>Paramos formos kodas</w:t>
                </w:r>
              </w:p>
            </w:tc>
            <w:tc>
              <w:tcPr>
                <w:tcW w:w="1754" w:type="dxa"/>
                <w:vAlign w:val="center"/>
              </w:tcPr>
              <w:p>
                <w:pPr>
                  <w:jc w:val="center"/>
                  <w:rPr>
                    <w:b/>
                    <w:sz w:val="20"/>
                  </w:rPr>
                </w:pPr>
                <w:r>
                  <w:rPr>
                    <w:b/>
                    <w:bCs/>
                    <w:sz w:val="18"/>
                    <w:szCs w:val="18"/>
                  </w:rPr>
                  <w:t>Pagrindinės teritorinės srities kodas (-ai)</w:t>
                </w:r>
              </w:p>
            </w:tc>
            <w:tc>
              <w:tcPr>
                <w:tcW w:w="1364" w:type="dxa"/>
                <w:vAlign w:val="center"/>
              </w:tcPr>
              <w:p>
                <w:pPr>
                  <w:jc w:val="center"/>
                  <w:rPr>
                    <w:b/>
                    <w:sz w:val="20"/>
                  </w:rPr>
                </w:pPr>
                <w:r>
                  <w:rPr>
                    <w:b/>
                    <w:bCs/>
                    <w:sz w:val="18"/>
                    <w:szCs w:val="18"/>
                  </w:rPr>
                  <w:t>Ekonominės veiklos kodas (-ai)</w:t>
                </w:r>
              </w:p>
            </w:tc>
            <w:tc>
              <w:tcPr>
                <w:tcW w:w="1096" w:type="dxa"/>
                <w:vAlign w:val="center"/>
              </w:tcPr>
              <w:p>
                <w:pPr>
                  <w:jc w:val="center"/>
                  <w:rPr>
                    <w:b/>
                    <w:bCs/>
                    <w:sz w:val="20"/>
                  </w:rPr>
                </w:pPr>
                <w:r>
                  <w:rPr>
                    <w:b/>
                    <w:bCs/>
                    <w:sz w:val="18"/>
                    <w:szCs w:val="18"/>
                  </w:rPr>
                  <w:t>„Europos socialinio fondo +“ (toliau – ESF+) antrinių temų kodai</w:t>
                </w:r>
              </w:p>
            </w:tc>
            <w:tc>
              <w:tcPr>
                <w:tcW w:w="1030" w:type="dxa"/>
                <w:vAlign w:val="center"/>
              </w:tcPr>
              <w:p>
                <w:pPr>
                  <w:jc w:val="center"/>
                  <w:rPr>
                    <w:b/>
                    <w:bCs/>
                    <w:sz w:val="20"/>
                  </w:rPr>
                </w:pPr>
                <w:r>
                  <w:rPr>
                    <w:b/>
                    <w:bCs/>
                    <w:sz w:val="18"/>
                    <w:szCs w:val="18"/>
                  </w:rPr>
                  <w:t>Lyčių lygybės matmens kodas</w:t>
                </w:r>
              </w:p>
            </w:tc>
          </w:tr>
          <w:tr>
            <w:trPr>
              <w:trHeight w:val="20"/>
            </w:trPr>
            <w:tc>
              <w:tcPr>
                <w:tcW w:w="1596" w:type="dxa"/>
                <w:vAlign w:val="center"/>
              </w:tcPr>
              <w:p>
                <w:pPr>
                  <w:jc w:val="center"/>
                  <w:rPr>
                    <w:bCs/>
                    <w:sz w:val="20"/>
                  </w:rPr>
                </w:pPr>
                <w:r>
                  <w:rPr>
                    <w:sz w:val="20"/>
                  </w:rPr>
                  <w:t>1.2. Vieno lygio geležinkelio pervažų modernizavimas</w:t>
                </w:r>
              </w:p>
            </w:tc>
            <w:tc>
              <w:tcPr>
                <w:tcW w:w="1275" w:type="dxa"/>
                <w:vAlign w:val="center"/>
              </w:tcPr>
              <w:p>
                <w:pPr>
                  <w:ind w:firstLine="53"/>
                  <w:jc w:val="center"/>
                  <w:rPr>
                    <w:b/>
                    <w:sz w:val="20"/>
                  </w:rPr>
                </w:pPr>
                <w:r>
                  <w:rPr>
                    <w:sz w:val="20"/>
                  </w:rPr>
                  <w:t>Investicijų</w:t>
                </w:r>
                <w:r>
                  <w:rPr>
                    <w:i/>
                    <w:iCs/>
                    <w:sz w:val="20"/>
                  </w:rPr>
                  <w:t xml:space="preserve"> </w:t>
                </w:r>
                <w:r>
                  <w:rPr>
                    <w:sz w:val="20"/>
                  </w:rPr>
                  <w:t>programa</w:t>
                </w:r>
              </w:p>
            </w:tc>
            <w:tc>
              <w:tcPr>
                <w:tcW w:w="1089" w:type="dxa"/>
                <w:vAlign w:val="center"/>
              </w:tcPr>
              <w:p>
                <w:pPr>
                  <w:jc w:val="center"/>
                  <w:rPr>
                    <w:b/>
                    <w:bCs/>
                    <w:sz w:val="20"/>
                  </w:rPr>
                </w:pPr>
                <w:r>
                  <w:rPr>
                    <w:bCs/>
                    <w:sz w:val="20"/>
                  </w:rPr>
                  <w:t>3</w:t>
                </w:r>
              </w:p>
            </w:tc>
            <w:tc>
              <w:tcPr>
                <w:tcW w:w="1080" w:type="dxa"/>
                <w:vAlign w:val="center"/>
              </w:tcPr>
              <w:p>
                <w:pPr>
                  <w:jc w:val="center"/>
                  <w:rPr>
                    <w:b/>
                    <w:bCs/>
                    <w:sz w:val="20"/>
                  </w:rPr>
                </w:pPr>
                <w:r>
                  <w:rPr>
                    <w:bCs/>
                    <w:sz w:val="20"/>
                  </w:rPr>
                  <w:t>3.1</w:t>
                </w:r>
              </w:p>
            </w:tc>
            <w:tc>
              <w:tcPr>
                <w:tcW w:w="1630" w:type="dxa"/>
                <w:vAlign w:val="center"/>
              </w:tcPr>
              <w:p>
                <w:pPr>
                  <w:jc w:val="center"/>
                  <w:rPr>
                    <w:bCs/>
                    <w:sz w:val="20"/>
                  </w:rPr>
                </w:pPr>
                <w:r>
                  <w:rPr>
                    <w:color w:val="000000"/>
                    <w:sz w:val="20"/>
                    <w:lang w:eastAsia="lt-LT"/>
                  </w:rPr>
                  <w:t>Tobulinti ir plėtoti TEN-T geležinkelių infrastruktūrą</w:t>
                </w:r>
              </w:p>
            </w:tc>
            <w:tc>
              <w:tcPr>
                <w:tcW w:w="1730" w:type="dxa"/>
                <w:vAlign w:val="center"/>
              </w:tcPr>
              <w:p>
                <w:pPr>
                  <w:jc w:val="center"/>
                  <w:rPr>
                    <w:bCs/>
                    <w:iCs/>
                    <w:sz w:val="20"/>
                  </w:rPr>
                </w:pPr>
                <w:r>
                  <w:rPr>
                    <w:bCs/>
                    <w:iCs/>
                    <w:sz w:val="20"/>
                  </w:rPr>
                  <w:t>100 – Rekonstruoti ar modernizuoti geležinkeliai – TEN-T pagrindinis tinklas</w:t>
                </w:r>
              </w:p>
            </w:tc>
            <w:tc>
              <w:tcPr>
                <w:tcW w:w="1275" w:type="dxa"/>
                <w:vAlign w:val="center"/>
              </w:tcPr>
              <w:p>
                <w:pPr>
                  <w:jc w:val="center"/>
                  <w:rPr>
                    <w:bCs/>
                    <w:sz w:val="20"/>
                  </w:rPr>
                </w:pPr>
                <w:r>
                  <w:rPr>
                    <w:bCs/>
                    <w:sz w:val="20"/>
                  </w:rPr>
                  <w:t>Visa Lietuva (SaF)</w:t>
                </w:r>
              </w:p>
            </w:tc>
            <w:tc>
              <w:tcPr>
                <w:tcW w:w="993" w:type="dxa"/>
                <w:vAlign w:val="center"/>
              </w:tcPr>
              <w:p>
                <w:pPr>
                  <w:jc w:val="center"/>
                  <w:rPr>
                    <w:b/>
                    <w:bCs/>
                    <w:sz w:val="20"/>
                  </w:rPr>
                </w:pPr>
                <w:r>
                  <w:rPr>
                    <w:iCs/>
                    <w:sz w:val="20"/>
                  </w:rPr>
                  <w:t>01 – Dotacija</w:t>
                </w:r>
              </w:p>
            </w:tc>
            <w:tc>
              <w:tcPr>
                <w:tcW w:w="1754" w:type="dxa"/>
                <w:vAlign w:val="center"/>
              </w:tcPr>
              <w:p>
                <w:pPr>
                  <w:jc w:val="center"/>
                  <w:rPr>
                    <w:b/>
                    <w:bCs/>
                    <w:sz w:val="20"/>
                  </w:rPr>
                </w:pPr>
                <w:r>
                  <w:rPr>
                    <w:iCs/>
                    <w:sz w:val="20"/>
                  </w:rPr>
                  <w:t>33 – Nesiorientuojant į teritoriškumą</w:t>
                </w:r>
              </w:p>
            </w:tc>
            <w:tc>
              <w:tcPr>
                <w:tcW w:w="1364" w:type="dxa"/>
                <w:vAlign w:val="center"/>
              </w:tcPr>
              <w:p>
                <w:pPr>
                  <w:jc w:val="center"/>
                  <w:rPr>
                    <w:b/>
                    <w:bCs/>
                    <w:sz w:val="20"/>
                  </w:rPr>
                </w:pPr>
                <w:r>
                  <w:rPr>
                    <w:sz w:val="20"/>
                  </w:rPr>
                  <w:t xml:space="preserve">14 </w:t>
                </w:r>
                <w:r>
                  <w:rPr>
                    <w:iCs/>
                    <w:sz w:val="20"/>
                  </w:rPr>
                  <w:t xml:space="preserve">– </w:t>
                </w:r>
                <w:r>
                  <w:rPr>
                    <w:sz w:val="20"/>
                  </w:rPr>
                  <w:t>Transportas ir sandėliavimas</w:t>
                </w:r>
              </w:p>
            </w:tc>
            <w:tc>
              <w:tcPr>
                <w:tcW w:w="1096" w:type="dxa"/>
                <w:vAlign w:val="center"/>
              </w:tcPr>
              <w:p>
                <w:pPr>
                  <w:jc w:val="center"/>
                  <w:rPr>
                    <w:b/>
                    <w:bCs/>
                    <w:sz w:val="20"/>
                  </w:rPr>
                </w:pPr>
                <w:r>
                  <w:rPr>
                    <w:b/>
                    <w:bCs/>
                    <w:sz w:val="20"/>
                  </w:rPr>
                  <w:t>-</w:t>
                </w:r>
              </w:p>
            </w:tc>
            <w:tc>
              <w:tcPr>
                <w:tcW w:w="1030" w:type="dxa"/>
                <w:vAlign w:val="center"/>
              </w:tcPr>
              <w:p>
                <w:pPr>
                  <w:jc w:val="center"/>
                  <w:rPr>
                    <w:b/>
                    <w:bCs/>
                    <w:sz w:val="20"/>
                  </w:rPr>
                </w:pPr>
                <w:r>
                  <w:rPr>
                    <w:iCs/>
                    <w:sz w:val="20"/>
                  </w:rPr>
                  <w:t>03 – Neutralumas lyties požiūriu</w:t>
                </w:r>
              </w:p>
            </w:tc>
          </w:tr>
        </w:tbl>
        <w:p>
          <w:pPr>
            <w:jc w:val="both"/>
            <w:rPr>
              <w:i/>
              <w:iCs/>
              <w:szCs w:val="24"/>
            </w:rPr>
          </w:pPr>
        </w:p>
        <w:tbl>
          <w:tblPr>
            <w:tblW w:w="15912" w:type="dxa"/>
            <w:tblInd w:w="-1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50"/>
            <w:gridCol w:w="3688"/>
            <w:gridCol w:w="3688"/>
            <w:gridCol w:w="3786"/>
          </w:tblGrid>
          <w:tr>
            <w:trPr>
              <w:trHeight w:val="405"/>
            </w:trPr>
            <w:tc>
              <w:tcPr>
                <w:tcW w:w="4750" w:type="dxa"/>
                <w:shd w:val="clear" w:color="auto" w:fill="auto"/>
                <w:vAlign w:val="center"/>
              </w:tcPr>
              <w:p>
                <w:pPr>
                  <w:jc w:val="center"/>
                  <w:rPr>
                    <w:sz w:val="18"/>
                    <w:szCs w:val="18"/>
                  </w:rPr>
                </w:pPr>
                <w:r>
                  <w:t>Rodiklio pavadinimas</w:t>
                </w:r>
              </w:p>
            </w:tc>
            <w:tc>
              <w:tcPr>
                <w:tcW w:w="3688" w:type="dxa"/>
                <w:shd w:val="clear" w:color="auto" w:fill="auto"/>
                <w:vAlign w:val="center"/>
              </w:tcPr>
              <w:p>
                <w:pPr>
                  <w:jc w:val="center"/>
                  <w:rPr>
                    <w:sz w:val="18"/>
                    <w:szCs w:val="18"/>
                  </w:rPr>
                </w:pPr>
                <w:r>
                  <w:t>Rodiklio kodas</w:t>
                </w:r>
              </w:p>
            </w:tc>
            <w:tc>
              <w:tcPr>
                <w:tcW w:w="3688" w:type="dxa"/>
                <w:shd w:val="clear" w:color="auto" w:fill="auto"/>
                <w:vAlign w:val="center"/>
              </w:tcPr>
              <w:p>
                <w:pPr>
                  <w:jc w:val="center"/>
                  <w:rPr>
                    <w:sz w:val="18"/>
                    <w:szCs w:val="18"/>
                  </w:rPr>
                </w:pPr>
                <w:r>
                  <w:t>Matavimo vienetai</w:t>
                </w:r>
              </w:p>
            </w:tc>
            <w:tc>
              <w:tcPr>
                <w:tcW w:w="3786" w:type="dxa"/>
                <w:shd w:val="clear" w:color="auto" w:fill="auto"/>
                <w:vAlign w:val="center"/>
              </w:tcPr>
              <w:p>
                <w:pPr>
                  <w:jc w:val="center"/>
                  <w:rPr>
                    <w:sz w:val="18"/>
                    <w:szCs w:val="18"/>
                  </w:rPr>
                </w:pPr>
                <w:r>
                  <w:t>Siektina reikšmė</w:t>
                </w:r>
              </w:p>
            </w:tc>
          </w:tr>
          <w:tr>
            <w:trPr>
              <w:trHeight w:val="725"/>
            </w:trPr>
            <w:tc>
              <w:tcPr>
                <w:tcW w:w="4750" w:type="dxa"/>
                <w:vAlign w:val="center"/>
              </w:tcPr>
              <w:p>
                <w:pPr>
                  <w:jc w:val="center"/>
                  <w:rPr>
                    <w:sz w:val="20"/>
                  </w:rPr>
                </w:pPr>
                <w:r>
                  <w:rPr>
                    <w:sz w:val="20"/>
                  </w:rPr>
                  <w:t>Žuvusiųjų ir sužeistųjų geležinkelių pervažose skaičius (SaF, specialusis)</w:t>
                </w:r>
              </w:p>
            </w:tc>
            <w:tc>
              <w:tcPr>
                <w:tcW w:w="3688" w:type="dxa"/>
                <w:vAlign w:val="center"/>
              </w:tcPr>
              <w:p>
                <w:pPr>
                  <w:jc w:val="center"/>
                  <w:rPr>
                    <w:sz w:val="20"/>
                  </w:rPr>
                </w:pPr>
                <w:r>
                  <w:rPr>
                    <w:sz w:val="20"/>
                  </w:rPr>
                  <w:t>R.S.2.3019</w:t>
                </w:r>
              </w:p>
              <w:p>
                <w:pPr>
                  <w:jc w:val="center"/>
                  <w:rPr>
                    <w:sz w:val="20"/>
                  </w:rPr>
                </w:pPr>
                <w:r>
                  <w:rPr>
                    <w:sz w:val="20"/>
                  </w:rPr>
                  <w:t>(R-02-10-001-05-03-06-04)</w:t>
                </w:r>
              </w:p>
            </w:tc>
            <w:tc>
              <w:tcPr>
                <w:tcW w:w="3688" w:type="dxa"/>
                <w:vAlign w:val="center"/>
              </w:tcPr>
              <w:p>
                <w:pPr>
                  <w:jc w:val="center"/>
                  <w:rPr>
                    <w:sz w:val="20"/>
                  </w:rPr>
                </w:pPr>
                <w:r>
                  <w:rPr>
                    <w:sz w:val="20"/>
                  </w:rPr>
                  <w:t>Skaičius per metus</w:t>
                </w:r>
              </w:p>
            </w:tc>
            <w:tc>
              <w:tcPr>
                <w:tcW w:w="3786" w:type="dxa"/>
                <w:vAlign w:val="center"/>
              </w:tcPr>
              <w:p>
                <w:pPr>
                  <w:jc w:val="center"/>
                  <w:rPr>
                    <w:sz w:val="20"/>
                  </w:rPr>
                </w:pPr>
                <w:r>
                  <w:rPr>
                    <w:bCs/>
                    <w:sz w:val="20"/>
                  </w:rPr>
                  <w:t>0 (2029-12-31)</w:t>
                </w:r>
              </w:p>
            </w:tc>
          </w:tr>
          <w:tr>
            <w:trPr>
              <w:trHeight w:val="725"/>
            </w:trPr>
            <w:tc>
              <w:tcPr>
                <w:tcW w:w="4750" w:type="dxa"/>
                <w:vAlign w:val="center"/>
              </w:tcPr>
              <w:p>
                <w:pPr>
                  <w:jc w:val="center"/>
                  <w:rPr>
                    <w:sz w:val="20"/>
                  </w:rPr>
                </w:pPr>
                <w:r>
                  <w:rPr>
                    <w:sz w:val="20"/>
                  </w:rPr>
                  <w:t>Įdiegtos saugų eismą gerinančios ir aplinkosaugos priemonės geležinkeliuose (SaF, specialusis)</w:t>
                </w:r>
              </w:p>
            </w:tc>
            <w:tc>
              <w:tcPr>
                <w:tcW w:w="3688" w:type="dxa"/>
                <w:vAlign w:val="center"/>
              </w:tcPr>
              <w:p>
                <w:pPr>
                  <w:jc w:val="center"/>
                  <w:rPr>
                    <w:sz w:val="20"/>
                  </w:rPr>
                </w:pPr>
                <w:r>
                  <w:rPr>
                    <w:sz w:val="20"/>
                  </w:rPr>
                  <w:t>P.S.2.1021</w:t>
                </w:r>
              </w:p>
              <w:p>
                <w:pPr>
                  <w:jc w:val="center"/>
                  <w:rPr>
                    <w:sz w:val="20"/>
                  </w:rPr>
                </w:pPr>
                <w:r>
                  <w:rPr>
                    <w:sz w:val="20"/>
                  </w:rPr>
                  <w:t>(P-02-10-001-05-03-06-07)</w:t>
                </w:r>
              </w:p>
            </w:tc>
            <w:tc>
              <w:tcPr>
                <w:tcW w:w="3688" w:type="dxa"/>
                <w:vAlign w:val="center"/>
              </w:tcPr>
              <w:p>
                <w:pPr>
                  <w:jc w:val="center"/>
                  <w:rPr>
                    <w:sz w:val="20"/>
                  </w:rPr>
                </w:pPr>
                <w:r>
                  <w:rPr>
                    <w:sz w:val="20"/>
                  </w:rPr>
                  <w:t>Skaičius (vnt.)</w:t>
                </w:r>
              </w:p>
            </w:tc>
            <w:tc>
              <w:tcPr>
                <w:tcW w:w="3786" w:type="dxa"/>
                <w:vAlign w:val="center"/>
              </w:tcPr>
              <w:p>
                <w:pPr>
                  <w:jc w:val="center"/>
                  <w:rPr>
                    <w:bCs/>
                    <w:sz w:val="20"/>
                  </w:rPr>
                </w:pPr>
                <w:r>
                  <w:rPr>
                    <w:bCs/>
                    <w:sz w:val="20"/>
                  </w:rPr>
                  <w:t>10 (2024-12-31)</w:t>
                </w:r>
              </w:p>
              <w:p>
                <w:pPr>
                  <w:jc w:val="center"/>
                  <w:rPr>
                    <w:bCs/>
                    <w:sz w:val="20"/>
                  </w:rPr>
                </w:pPr>
                <w:r>
                  <w:rPr>
                    <w:bCs/>
                    <w:sz w:val="20"/>
                  </w:rPr>
                  <w:t>10 (2029-12-31)</w:t>
                </w:r>
              </w:p>
            </w:tc>
          </w:tr>
        </w:tbl>
        <w:p>
          <w:r>
            <w:rPr>
              <w:szCs w:val="24"/>
            </w:rPr>
            <w:br/>
          </w:r>
          <w:r>
            <w:br w:type="page"/>
          </w:r>
        </w:p>
        <w:tbl>
          <w:tblPr>
            <w:tblW w:w="15848"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48"/>
          </w:tblGrid>
          <w:tr>
            <w:tc>
              <w:tcPr>
                <w:tcW w:w="15848" w:type="dxa"/>
              </w:tcPr>
              <w:p>
                <w:pPr>
                  <w:rPr>
                    <w:b/>
                    <w:szCs w:val="24"/>
                  </w:rPr>
                </w:pPr>
                <w:r>
                  <w:rPr>
                    <w:b/>
                    <w:szCs w:val="24"/>
                  </w:rPr>
                  <w:t>SPECIALIEJI FINANSAVIMO REIKALAVIMAI</w:t>
                </w:r>
              </w:p>
            </w:tc>
          </w:tr>
          <w:tr>
            <w:tc>
              <w:tcPr>
                <w:tcW w:w="15848" w:type="dxa"/>
              </w:tcPr>
              <w:p>
                <w:pPr>
                  <w:rPr>
                    <w:b/>
                    <w:bCs/>
                    <w:szCs w:val="24"/>
                  </w:rPr>
                </w:pPr>
                <w:r>
                  <w:rPr>
                    <w:b/>
                    <w:bCs/>
                    <w:szCs w:val="24"/>
                  </w:rPr>
                  <w:t>1. Taikomi teisės aktai</w:t>
                </w:r>
              </w:p>
            </w:tc>
          </w:tr>
          <w:tr>
            <w:tc>
              <w:tcPr>
                <w:tcW w:w="15848" w:type="dxa"/>
              </w:tcPr>
              <w:p>
                <w:pPr>
                  <w:jc w:val="both"/>
                  <w:rPr>
                    <w:szCs w:val="24"/>
                  </w:rPr>
                </w:pPr>
                <w:r>
                  <w:rPr>
                    <w:szCs w:val="24"/>
                  </w:rPr>
                  <w:t>1.1. 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(toliau – Aprašas) yra parengtas atsižvelgiant į:</w:t>
                </w:r>
              </w:p>
              <w:p>
                <w:pPr>
                  <w:tabs>
                    <w:tab w:val="left" w:pos="741"/>
                  </w:tabs>
                  <w:jc w:val="both"/>
                  <w:rPr>
                    <w:szCs w:val="24"/>
                  </w:rPr>
                </w:pPr>
                <w:r>
                  <w:rPr>
                    <w:szCs w:val="24"/>
                  </w:rPr>
                  <w:t>1.1.1.</w:t>
                  <w:tab/>
                  <w:t xml:space="preserve">2021 m. birželio 24 d. Europos Parlamento ir Tarybos </w:t>
                </w:r>
                <w:r>
                  <w:rPr>
                    <w:color w:val="000000"/>
                    <w:szCs w:val="24"/>
                  </w:rPr>
                  <w:t>reglamento (ES) 2021/1060</w:t>
                </w:r>
                <w:r>
                  <w:rPr>
                    <w:szCs w:val="24"/>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nuostatas;</w:t>
                </w:r>
              </w:p>
              <w:p>
                <w:pPr>
                  <w:tabs>
                    <w:tab w:val="left" w:pos="741"/>
                  </w:tabs>
                  <w:jc w:val="both"/>
                  <w:rPr>
                    <w:szCs w:val="24"/>
                  </w:rPr>
                </w:pPr>
                <w:r>
                  <w:rPr>
                    <w:szCs w:val="24"/>
                  </w:rPr>
                  <w:t>1.1.2.</w:t>
                  <w:tab/>
                </w:r>
                <w:r>
                  <w:rPr>
                    <w:szCs w:val="24"/>
                    <w:lang w:eastAsia="lt-LT"/>
                  </w:rPr>
                  <w:t>2013 m. gruodžio 11 d. Europos Parlamento ir Tarybos reglamento (ES) Nr. 1315/2013 dėl Sąjungos transeuropinio transporto tinklo plėtros gairių, kuriuo panaikinamas Sprendimas Nr. 661/2010/ES</w:t>
                </w:r>
                <w:r>
                  <w:rPr>
                    <w:szCs w:val="24"/>
                    <w:shd w:val="clear" w:color="auto" w:fill="FFFFFF"/>
                  </w:rPr>
                  <w:t>, nuostatas;</w:t>
                </w:r>
              </w:p>
              <w:p>
                <w:pPr>
                  <w:tabs>
                    <w:tab w:val="left" w:pos="741"/>
                  </w:tabs>
                  <w:jc w:val="both"/>
                  <w:rPr>
                    <w:szCs w:val="24"/>
                  </w:rPr>
                </w:pPr>
                <w:r>
                  <w:rPr>
                    <w:szCs w:val="24"/>
                  </w:rPr>
                  <w:t>1.1.3.</w:t>
                  <w:tab/>
                </w:r>
                <w:r>
                  <w:rPr>
                    <w:spacing w:val="2"/>
                    <w:szCs w:val="24"/>
                    <w:shd w:val="clear" w:color="auto" w:fill="FFFFFF"/>
                  </w:rPr>
                  <w:t>2021</w:t>
                </w:r>
                <w:r>
                  <w:rPr>
                    <w:szCs w:val="24"/>
                  </w:rPr>
                  <w:t>–</w:t>
                </w:r>
                <w:r>
                  <w:rPr>
                    <w:spacing w:val="2"/>
                    <w:szCs w:val="24"/>
                    <w:shd w:val="clear" w:color="auto" w:fill="FFFFFF"/>
                  </w:rPr>
                  <w:t>2030 metų nacionalinį pažangos planą, patvirtintą</w:t>
                </w:r>
                <w:r>
                  <w:rPr>
                    <w:spacing w:val="3"/>
                    <w:szCs w:val="24"/>
                    <w:shd w:val="clear" w:color="auto" w:fill="FFFFFF"/>
                  </w:rPr>
                  <w:t> Lietuvos Respublikos Vyriausybės 2020 m. rugsėjo 9 d. nutarimu Nr. 998 „Dėl 2021</w:t>
                </w:r>
                <w:r>
                  <w:rPr>
                    <w:szCs w:val="24"/>
                  </w:rPr>
                  <w:t>–</w:t>
                </w:r>
                <w:r>
                  <w:rPr>
                    <w:spacing w:val="3"/>
                    <w:szCs w:val="24"/>
                    <w:shd w:val="clear" w:color="auto" w:fill="FFFFFF"/>
                  </w:rPr>
                  <w:t>2030 metų nacionalinio pažangos plano patvirtinimo</w:t>
                </w:r>
                <w:r>
                  <w:rPr>
                    <w:szCs w:val="24"/>
                  </w:rPr>
                  <w:t>“ (toliau – Nacionalinis pažangos planas);</w:t>
                </w:r>
              </w:p>
              <w:p>
                <w:pPr>
                  <w:tabs>
                    <w:tab w:val="left" w:pos="599"/>
                  </w:tabs>
                  <w:jc w:val="both"/>
                  <w:rPr>
                    <w:szCs w:val="24"/>
                  </w:rPr>
                </w:pPr>
                <w:r>
                  <w:rPr>
                    <w:szCs w:val="24"/>
                  </w:rPr>
                  <w:t>1.1.4.</w:t>
                  <w:tab/>
                </w:r>
                <w:r>
                  <w:rPr>
                    <w:bCs/>
                    <w:szCs w:val="24"/>
                  </w:rPr>
                  <w:t>2021–2027 metų Europos Sąjungos fondų investicijų programą, patvirtintą 2022 m. rugpjūčio 3 d. Europos Komisijos sprendimu Nr. C(2022) 5742 (toliau – Investicijų programa);</w:t>
                </w:r>
              </w:p>
              <w:p>
                <w:pPr>
                  <w:tabs>
                    <w:tab w:val="left" w:pos="599"/>
                  </w:tabs>
                  <w:jc w:val="both"/>
                  <w:rPr>
                    <w:szCs w:val="24"/>
                  </w:rPr>
                </w:pPr>
                <w:r>
                  <w:rPr>
                    <w:szCs w:val="24"/>
                  </w:rPr>
                  <w:t>1.1.5.</w:t>
                  <w:tab/>
                  <w:t>2022–2030 metų plėtros programos valdytojos Lietuvos Respublikos susisiekimo ministerijos susisiekimo plėtros programą, patvirtintą Lietuvos Respublikos Vyriausybės 2022 m. kovo 16 d. nutarimu Nr. 245 „Dėl 2022–2030 metų plėtros programos valdytojos Lietuvos Respublikos susisiekimo ministerijos susisiekimo plėtros programos patvirtinimo“ (toliau – Susisiekimo plėtros programa);</w:t>
                </w:r>
              </w:p>
              <w:p>
                <w:pPr>
                  <w:tabs>
                    <w:tab w:val="left" w:pos="741"/>
                  </w:tabs>
                  <w:jc w:val="both"/>
                  <w:rPr>
                    <w:szCs w:val="24"/>
                  </w:rPr>
                </w:pPr>
                <w:r>
                  <w:rPr>
                    <w:szCs w:val="24"/>
                  </w:rPr>
                  <w:t>1.1.6.</w:t>
                  <w:tab/>
                  <w:t>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taisyklės);</w:t>
                </w:r>
              </w:p>
              <w:p>
                <w:pPr>
                  <w:tabs>
                    <w:tab w:val="left" w:pos="480"/>
                  </w:tabs>
                  <w:jc w:val="both"/>
                  <w:rPr>
                    <w:szCs w:val="24"/>
                  </w:rPr>
                </w:pPr>
                <w:r>
                  <w:rPr>
                    <w:szCs w:val="24"/>
                  </w:rPr>
                  <w:t>1.2.</w:t>
                  <w:tab/>
                  <w:t>Apraše vartojamos sąvokos suprantamos taip, kaip jos apibrėžtos Aprašo 1.1 papunktyje nurodytuose teisės aktuose, Lietuvos Respublikos transporto veiklos pagrindų įstatyme, Lietuvos Respublikos strateginio valdymo įstatyme, Lietuvos Respublikos technologijų ir inovacijų įstatyme,</w:t>
                </w:r>
                <w:r>
                  <w:rPr>
                    <w:b/>
                    <w:bCs/>
                    <w:szCs w:val="24"/>
                  </w:rPr>
                  <w:t xml:space="preserve"> </w:t>
                </w:r>
                <w:r>
                  <w:rPr>
                    <w:szCs w:val="24"/>
                  </w:rPr>
                  <w:t>Lietuvos Respublikos statybos įstatyme, Strateginio valdymo metodikoje, patvirtintoje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ir 2021–2027 metų Europos Sąjungos fondų investicijų programos įgyvendinimo Lietuvoje bendrosiose nuostatose, patvirtintose Lietuvos Respublikos finansų ministro 2021 m. liepos 2 d. įsakymu Nr. 1K-237 „Dėl funkcijų paskirstymo įgyvendinant 2021–2027 metų Europos Sąjungos fondų investicijų programą“.</w:t>
                </w:r>
              </w:p>
            </w:tc>
          </w:tr>
          <w:tr>
            <w:tc>
              <w:tcPr>
                <w:tcW w:w="15848" w:type="dxa"/>
              </w:tcPr>
              <w:p>
                <w:pPr>
                  <w:rPr>
                    <w:b/>
                    <w:szCs w:val="24"/>
                  </w:rPr>
                </w:pPr>
                <w:r>
                  <w:rPr>
                    <w:b/>
                    <w:szCs w:val="24"/>
                  </w:rPr>
                  <w:t>2. Reikalavimai projektams</w:t>
                </w:r>
              </w:p>
            </w:tc>
          </w:tr>
        </w:tbl>
        <w:p>
          <w:r>
            <w:br w:type="page"/>
          </w:r>
        </w:p>
        <w:tbl>
          <w:tblPr>
            <w:tblW w:w="15848"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48"/>
          </w:tblGrid>
          <w:tr>
            <w:tc>
              <w:tcPr>
                <w:tcW w:w="15848" w:type="dxa"/>
              </w:tcPr>
              <w:p>
                <w:pPr>
                  <w:tabs>
                    <w:tab w:val="left" w:pos="660"/>
                  </w:tabs>
                  <w:rPr>
                    <w:szCs w:val="24"/>
                  </w:rPr>
                </w:pPr>
                <w:r>
                  <w:rPr>
                    <w:szCs w:val="24"/>
                  </w:rPr>
                  <w:t>2.1.</w:t>
                  <w:tab/>
                  <w:t>Pagal Aprašą finansuojamos veiklos:</w:t>
                </w:r>
              </w:p>
              <w:p>
                <w:pPr>
                  <w:tabs>
                    <w:tab w:val="left" w:pos="660"/>
                  </w:tabs>
                  <w:rPr>
                    <w:szCs w:val="24"/>
                  </w:rPr>
                </w:pPr>
                <w:r>
                  <w:rPr>
                    <w:szCs w:val="24"/>
                  </w:rPr>
                  <w:t>2.1.1.</w:t>
                  <w:tab/>
                  <w:t>Eismo kontrolės sistemų diegimas;</w:t>
                </w:r>
              </w:p>
              <w:p>
                <w:pPr>
                  <w:tabs>
                    <w:tab w:val="left" w:pos="660"/>
                  </w:tabs>
                  <w:rPr>
                    <w:szCs w:val="24"/>
                  </w:rPr>
                </w:pPr>
                <w:r>
                  <w:rPr>
                    <w:szCs w:val="24"/>
                  </w:rPr>
                  <w:t>2.1.2.</w:t>
                  <w:tab/>
                  <w:t>Vieno lygio geležinkelio pervažų modernizavimas.</w:t>
                </w:r>
              </w:p>
              <w:p>
                <w:pPr>
                  <w:tabs>
                    <w:tab w:val="left" w:pos="660"/>
                  </w:tabs>
                  <w:jc w:val="both"/>
                  <w:rPr>
                    <w:szCs w:val="24"/>
                  </w:rPr>
                </w:pPr>
                <w:r>
                  <w:rPr>
                    <w:szCs w:val="24"/>
                  </w:rPr>
                  <w:t>2.2.</w:t>
                  <w:tab/>
                </w:r>
                <w:r>
                  <w:rPr>
                    <w:szCs w:val="24"/>
                    <w:shd w:val="clear" w:color="auto" w:fill="FFFFFF"/>
                    <w:lang w:eastAsia="lt-LT"/>
                  </w:rPr>
                  <w:t xml:space="preserve">Pagal Aprašą galimi pareiškėjai yra </w:t>
                </w:r>
                <w:r>
                  <w:rPr>
                    <w:szCs w:val="24"/>
                    <w:lang w:eastAsia="lt-LT"/>
                  </w:rPr>
                  <w:t xml:space="preserve">AB „LTG Infra“ ir VĮ Lietuvos automobilių kelių direkcija; </w:t>
                </w:r>
                <w:r>
                  <w:rPr>
                    <w:szCs w:val="24"/>
                    <w:shd w:val="clear" w:color="auto" w:fill="FFFFFF"/>
                    <w:lang w:eastAsia="lt-LT"/>
                  </w:rPr>
                  <w:t xml:space="preserve">galimi partneriai yra savivaldybių administracijos, </w:t>
                </w:r>
                <w:r>
                  <w:rPr>
                    <w:szCs w:val="24"/>
                    <w:lang w:eastAsia="lt-LT"/>
                  </w:rPr>
                  <w:t>AB „LTG Infra“ ir VĮ Lietuvos automobilių kelių direkcija</w:t>
                </w:r>
                <w:r>
                  <w:rPr>
                    <w:szCs w:val="24"/>
                    <w:shd w:val="clear" w:color="auto" w:fill="FFFFFF"/>
                    <w:lang w:eastAsia="lt-LT"/>
                  </w:rPr>
                  <w:t>.</w:t>
                </w:r>
                <w:r>
                  <w:rPr>
                    <w:szCs w:val="24"/>
                  </w:rPr>
                  <w:t xml:space="preserve"> Pareiškėjas yra tiesiogiai atsakingas už projekto parengimą, įgyvendinimą ir rezultatus nepriklausomai nuo to, ar pareiškėjas projektą įgyvendina vienas, ar kartu su partneriais.</w:t>
                </w:r>
              </w:p>
              <w:p>
                <w:pPr>
                  <w:tabs>
                    <w:tab w:val="left" w:pos="660"/>
                    <w:tab w:val="left" w:pos="1418"/>
                  </w:tabs>
                  <w:jc w:val="both"/>
                  <w:rPr>
                    <w:szCs w:val="24"/>
                  </w:rPr>
                </w:pPr>
                <w:r>
                  <w:rPr>
                    <w:szCs w:val="24"/>
                  </w:rPr>
                  <w:t>2.3.</w:t>
                  <w:tab/>
                  <w:t>Jeigu projektas įgyvendinamas su partneriu (-iais), partnerystė projekte turi būti pagrįsta, teikti naudą, prisidėti prie projekto tikslo įgyvendinimo ir iki projekto įgyvendinimo plano (toliau – PĮP) pateikimo viešajai įstaigai Centrinei projektų valdymo agentūrai (toliau – Administruojančioji institucija) turi būti sudaryta jungtinės veiklos (partnerystės) sutartis. Jungtinės veiklos (partnerystės) sutartį pasirašo pareiškėjas ir projekto partneris (-iai). Jungtinės veiklos (partnerystės) sutartyje turi būti aiškiai išdėstyta šalių teisės ir įsipareigojimai projekto atžvilgiu (nurodytas kiekvienos šalies finansinis ir dalykinis indėlis į projektą, kokias veiklas vykdys kiekviena šalis, projekto rezultatai ir kita) ir šalių atsakomybė, taip pat įsipareigojimai laikytis pagrindinių geros partnerystės praktikos taisyklių:</w:t>
                </w:r>
              </w:p>
              <w:p>
                <w:pPr>
                  <w:tabs>
                    <w:tab w:val="left" w:pos="660"/>
                    <w:tab w:val="left" w:pos="1418"/>
                  </w:tabs>
                  <w:jc w:val="both"/>
                  <w:rPr>
                    <w:szCs w:val="24"/>
                  </w:rPr>
                </w:pPr>
                <w:r>
                  <w:rPr>
                    <w:szCs w:val="24"/>
                  </w:rPr>
                  <w:t>2.3.1.</w:t>
                  <w:tab/>
                  <w:t>partneris turi būti perskaitęs PĮP ir susipažinęs su jame išdėstytomis partnerio teisėmis ir pareigomis;</w:t>
                </w:r>
              </w:p>
              <w:p>
                <w:pPr>
                  <w:tabs>
                    <w:tab w:val="left" w:pos="660"/>
                    <w:tab w:val="left" w:pos="1418"/>
                  </w:tabs>
                  <w:jc w:val="both"/>
                  <w:rPr>
                    <w:szCs w:val="24"/>
                  </w:rPr>
                </w:pPr>
                <w:r>
                  <w:rPr>
                    <w:szCs w:val="24"/>
                  </w:rPr>
                  <w:t>2.3.2.</w:t>
                  <w:tab/>
                  <w:t>įgyvendindamas projektą projekto vykdytojas privalo reguliariai konsultuotis su partneriu (-iais) dėl veiklų, kurios yra įgyvendinamos kartu, ir nuolat jį (juos) informuoti apie tų veiklų įgyvendinimo eigą;</w:t>
                </w:r>
              </w:p>
              <w:p>
                <w:pPr>
                  <w:tabs>
                    <w:tab w:val="left" w:pos="660"/>
                    <w:tab w:val="left" w:pos="1418"/>
                  </w:tabs>
                  <w:jc w:val="both"/>
                  <w:rPr>
                    <w:szCs w:val="24"/>
                  </w:rPr>
                </w:pPr>
                <w:r>
                  <w:rPr>
                    <w:szCs w:val="24"/>
                  </w:rPr>
                  <w:t>2.3.3.</w:t>
                  <w:tab/>
                  <w:t>visi PĮP pakeitimai, turintys įtakos partnerio įsipareigojimams ir teisėms, prieš kreipiantis į Administruojančiąją instituciją, pirmiausia turi būti suderinti su partneriu.</w:t>
                </w:r>
              </w:p>
              <w:p>
                <w:pPr>
                  <w:tabs>
                    <w:tab w:val="left" w:pos="570"/>
                  </w:tabs>
                  <w:jc w:val="both"/>
                  <w:rPr>
                    <w:szCs w:val="24"/>
                  </w:rPr>
                </w:pPr>
                <w:r>
                  <w:rPr>
                    <w:szCs w:val="24"/>
                  </w:rPr>
                  <w:t>2.4.</w:t>
                  <w:tab/>
                  <w:t>Kiekvienas projektas turi atitikti:</w:t>
                </w:r>
              </w:p>
              <w:p>
                <w:pPr>
                  <w:tabs>
                    <w:tab w:val="left" w:pos="750"/>
                    <w:tab w:val="left" w:pos="930"/>
                  </w:tabs>
                  <w:jc w:val="both"/>
                  <w:rPr>
                    <w:szCs w:val="24"/>
                  </w:rPr>
                </w:pPr>
                <w:r>
                  <w:rPr>
                    <w:szCs w:val="24"/>
                  </w:rPr>
                  <w:t>2.4.1.</w:t>
                  <w:tab/>
                  <w:t>bendruosius atrankos kriterijus, išdėstytus Projektų taisyklių 2 priede;</w:t>
                </w:r>
              </w:p>
              <w:p>
                <w:pPr>
                  <w:tabs>
                    <w:tab w:val="left" w:pos="306"/>
                    <w:tab w:val="left" w:pos="660"/>
                    <w:tab w:val="left" w:pos="739"/>
                    <w:tab w:val="left" w:pos="1418"/>
                  </w:tabs>
                  <w:jc w:val="both"/>
                  <w:rPr>
                    <w:szCs w:val="24"/>
                  </w:rPr>
                </w:pPr>
                <w:r>
                  <w:rPr>
                    <w:szCs w:val="24"/>
                  </w:rPr>
                  <w:t>2.4.2.</w:t>
                  <w:tab/>
                  <w:t>Investicijų programos</w:t>
                </w:r>
                <w:r>
                  <w:rPr>
                    <w:szCs w:val="24"/>
                    <w:lang w:eastAsia="lt-LT"/>
                  </w:rPr>
                  <w:t xml:space="preserve"> 3 prioriteto „Geriau sujungta Lietuva“ konkretų uždavinį </w:t>
                </w:r>
                <w:r>
                  <w:rPr>
                    <w:szCs w:val="24"/>
                  </w:rPr>
                  <w:t>3.1 „</w:t>
                </w:r>
                <w:r>
                  <w:rPr>
                    <w:iCs/>
                    <w:szCs w:val="24"/>
                  </w:rPr>
                  <w:t xml:space="preserve">Plėtoti klimato kaitai atsparų, pažangų, saugų, tvarų ir įvairiarūšį </w:t>
                  <w:br/>
                  <w:t>TEN-T“</w:t>
                </w:r>
                <w:r>
                  <w:rPr>
                    <w:szCs w:val="24"/>
                    <w:lang w:eastAsia="lt-LT"/>
                  </w:rPr>
                  <w:t xml:space="preserve">; laikoma, kad projektas atitinka šį kriterijų, jeigu įgyvendina </w:t>
                </w:r>
                <w:r>
                  <w:rPr>
                    <w:szCs w:val="24"/>
                  </w:rPr>
                  <w:t>Nacionalinio pažangos plano</w:t>
                </w:r>
                <w:r>
                  <w:rPr>
                    <w:color w:val="FF0000"/>
                    <w:szCs w:val="24"/>
                    <w:lang w:eastAsia="lt-LT"/>
                  </w:rPr>
                  <w:t xml:space="preserve"> </w:t>
                </w:r>
                <w:r>
                  <w:rPr>
                    <w:szCs w:val="24"/>
                    <w:lang w:eastAsia="lt-LT"/>
                  </w:rPr>
                  <w:t>5 tikslo „</w:t>
                </w:r>
                <w:r>
                  <w:rPr>
                    <w:szCs w:val="24"/>
                  </w:rPr>
                  <w:t xml:space="preserve">Gerinti transporto, energetinį ir skaitmeninį vidinį ir išorinį junglumą“ </w:t>
                </w:r>
                <w:r>
                  <w:rPr>
                    <w:szCs w:val="24"/>
                    <w:lang w:eastAsia="lt-LT"/>
                  </w:rPr>
                  <w:t>uždavinį 5.3 „</w:t>
                </w:r>
                <w:r>
                  <w:rPr>
                    <w:szCs w:val="24"/>
                  </w:rPr>
                  <w:t>Gerinti transporto junglumą šalies viduje, su ES valstybėmis narėmis ir trečiosiomis šalimis, užtikrinti eismo saugumą“</w:t>
                </w:r>
                <w:r>
                  <w:rPr>
                    <w:szCs w:val="24"/>
                    <w:lang w:eastAsia="lt-LT"/>
                  </w:rPr>
                  <w:t>.</w:t>
                </w:r>
              </w:p>
              <w:p>
                <w:pPr>
                  <w:tabs>
                    <w:tab w:val="left" w:pos="306"/>
                    <w:tab w:val="left" w:pos="660"/>
                    <w:tab w:val="left" w:pos="739"/>
                    <w:tab w:val="left" w:pos="993"/>
                    <w:tab w:val="left" w:pos="1418"/>
                  </w:tabs>
                  <w:jc w:val="both"/>
                  <w:rPr>
                    <w:szCs w:val="24"/>
                    <w:lang w:eastAsia="lt-LT"/>
                  </w:rPr>
                </w:pPr>
                <w:r>
                  <w:rPr>
                    <w:szCs w:val="24"/>
                    <w:lang w:eastAsia="lt-LT"/>
                  </w:rPr>
                  <w:t>2.5.</w:t>
                  <w:tab/>
                  <w:t xml:space="preserve">Projekto veiklos turi šalinti Susisiekimo plėtros programoje nustatytas </w:t>
                </w:r>
                <w:r>
                  <w:rPr>
                    <w:szCs w:val="24"/>
                  </w:rPr>
                  <w:t xml:space="preserve">2 problemos „Lietuvoje eismo saugos lygis žemesnis negu ES vidurkis“ </w:t>
                </w:r>
                <w:r>
                  <w:rPr>
                    <w:szCs w:val="24"/>
                    <w:lang w:eastAsia="lt-LT"/>
                  </w:rPr>
                  <w:t>priežastis.</w:t>
                </w:r>
              </w:p>
              <w:p>
                <w:pPr>
                  <w:tabs>
                    <w:tab w:val="left" w:pos="306"/>
                    <w:tab w:val="left" w:pos="660"/>
                    <w:tab w:val="left" w:pos="739"/>
                    <w:tab w:val="left" w:pos="993"/>
                    <w:tab w:val="left" w:pos="1418"/>
                  </w:tabs>
                  <w:jc w:val="both"/>
                  <w:rPr>
                    <w:szCs w:val="24"/>
                    <w:lang w:eastAsia="lt-LT"/>
                  </w:rPr>
                </w:pPr>
                <w:r>
                  <w:rPr>
                    <w:szCs w:val="24"/>
                    <w:lang w:eastAsia="lt-LT"/>
                  </w:rPr>
                  <w:t>2.6.</w:t>
                  <w:tab/>
                  <w:t xml:space="preserve">Galimi projekto veiklų finansavimo šaltiniai ir finansavimo sumos nurodytos Susisiekimo plėtros programos pažangos priemonės Nr. </w:t>
                </w:r>
                <w:r>
                  <w:rPr>
                    <w:szCs w:val="24"/>
                  </w:rPr>
                  <w:t>10-001-05-03-06 „Gerinti eismo saugą“</w:t>
                </w:r>
                <w:r>
                  <w:rPr>
                    <w:szCs w:val="24"/>
                    <w:lang w:eastAsia="lt-LT"/>
                  </w:rPr>
                  <w:t xml:space="preserve"> aprašo III skyriuje.</w:t>
                </w:r>
              </w:p>
              <w:p>
                <w:pPr>
                  <w:tabs>
                    <w:tab w:val="left" w:pos="306"/>
                    <w:tab w:val="left" w:pos="660"/>
                    <w:tab w:val="left" w:pos="739"/>
                    <w:tab w:val="left" w:pos="993"/>
                    <w:tab w:val="left" w:pos="1418"/>
                  </w:tabs>
                  <w:jc w:val="both"/>
                  <w:rPr>
                    <w:szCs w:val="24"/>
                  </w:rPr>
                </w:pPr>
                <w:r>
                  <w:rPr>
                    <w:szCs w:val="24"/>
                  </w:rPr>
                  <w:t>2.7.</w:t>
                  <w:tab/>
                  <w:t>Projekto veiklos turi būti vykdomos Lietuvos Respublikoje.</w:t>
                </w:r>
              </w:p>
              <w:p>
                <w:pPr>
                  <w:tabs>
                    <w:tab w:val="left" w:pos="306"/>
                    <w:tab w:val="left" w:pos="660"/>
                    <w:tab w:val="left" w:pos="739"/>
                    <w:tab w:val="left" w:pos="993"/>
                    <w:tab w:val="left" w:pos="1418"/>
                  </w:tabs>
                  <w:jc w:val="both"/>
                  <w:rPr>
                    <w:szCs w:val="24"/>
                  </w:rPr>
                </w:pPr>
                <w:r>
                  <w:rPr>
                    <w:szCs w:val="24"/>
                  </w:rPr>
                  <w:t>2.8.</w:t>
                  <w:tab/>
                  <w:t>Teikiamų pagal Aprašą projektų įgyvendinimo trukmė turi būti ne ilgesnė kaip 36 mėnesiai nuo projekto sutarties pasirašymo dienos. Tam tikrais atvejais dėl objektyvių priežasčių, kurių pareiškėjas negalėjo numatyti PĮP pateikimo ir vertinimo metu, projekto įgyvendinimo trukmė gali būti pratęsta Projektų taisyklių nustatyta tvarka, nepažeidžiant Projektų taisyklių 149.1 papunktyje nustatyto termino.</w:t>
                </w:r>
              </w:p>
              <w:p>
                <w:pPr>
                  <w:tabs>
                    <w:tab w:val="left" w:pos="306"/>
                    <w:tab w:val="left" w:pos="660"/>
                    <w:tab w:val="left" w:pos="739"/>
                    <w:tab w:val="left" w:pos="993"/>
                    <w:tab w:val="left" w:pos="1418"/>
                  </w:tabs>
                  <w:jc w:val="both"/>
                  <w:rPr>
                    <w:szCs w:val="24"/>
                  </w:rPr>
                </w:pPr>
                <w:r>
                  <w:rPr>
                    <w:szCs w:val="24"/>
                  </w:rPr>
                  <w:t>2.9.</w:t>
                  <w:tab/>
                  <w:t xml:space="preserve">Projektu turi būti siekiama Apraše nustatytų stebėsenos rodiklių, kurių skaičiavimo aprašai </w:t>
                </w:r>
                <w:r>
                  <w:rPr>
                    <w:szCs w:val="24"/>
                    <w:shd w:val="clear" w:color="auto" w:fill="FFFFFF"/>
                  </w:rPr>
                  <w:t xml:space="preserve">skelbiami </w:t>
                </w:r>
                <w:r>
                  <w:rPr>
                    <w:iCs/>
                    <w:szCs w:val="24"/>
                  </w:rPr>
                  <w:t xml:space="preserve">Europos Sąjungos fondų investicijų interneto svetainėje </w:t>
                </w:r>
                <w:r>
                  <w:rPr>
                    <w:i/>
                    <w:szCs w:val="24"/>
                  </w:rPr>
                  <w:t>esinvesticijos.lt</w:t>
                </w:r>
                <w:r>
                  <w:rPr>
                    <w:i/>
                    <w:szCs w:val="24"/>
                    <w:shd w:val="clear" w:color="auto" w:fill="FFFFFF"/>
                  </w:rPr>
                  <w:t>.</w:t>
                </w:r>
              </w:p>
              <w:p>
                <w:pPr>
                  <w:tabs>
                    <w:tab w:val="left" w:pos="306"/>
                    <w:tab w:val="left" w:pos="660"/>
                    <w:tab w:val="left" w:pos="739"/>
                    <w:tab w:val="left" w:pos="993"/>
                    <w:tab w:val="left" w:pos="1418"/>
                  </w:tabs>
                  <w:jc w:val="both"/>
                  <w:rPr>
                    <w:color w:val="000000"/>
                    <w:szCs w:val="24"/>
                    <w:lang w:eastAsia="lt-LT"/>
                  </w:rPr>
                </w:pPr>
                <w:r>
                  <w:rPr>
                    <w:color w:val="000000"/>
                    <w:szCs w:val="24"/>
                    <w:lang w:eastAsia="lt-LT"/>
                  </w:rPr>
                  <w:t>2.10.</w:t>
                  <w:tab/>
                </w:r>
                <w:r>
                  <w:rPr>
                    <w:szCs w:val="24"/>
                    <w:lang w:eastAsia="lt-LT"/>
                  </w:rPr>
                  <w:t xml:space="preserve">Iki PĮP </w:t>
                </w:r>
                <w:r>
                  <w:rPr>
                    <w:szCs w:val="24"/>
                  </w:rPr>
                  <w:t xml:space="preserve">pateikimo Administruojančiajai institucijai </w:t>
                </w:r>
                <w:r>
                  <w:rPr>
                    <w:szCs w:val="24"/>
                    <w:lang w:eastAsia="lt-LT"/>
                  </w:rPr>
                  <w:t>pareiškėjas turi būti parengęs ir pateikęs Administruojančiajai institucijai išankstinei patikrai bent vienos Apraše nurodytos veiklos (poveiklės) pagrindinio (tiesiogiai prisidedančio prie veiklos, finansuojamos pagal Aprašą, rezultatų pasiekimo, pvz., rangos darbų) viešojo pirkimo dokumentus ir įvykdęs šio pirkimo procedūras.</w:t>
                </w:r>
              </w:p>
              <w:p>
                <w:pPr>
                  <w:tabs>
                    <w:tab w:val="left" w:pos="306"/>
                    <w:tab w:val="left" w:pos="660"/>
                    <w:tab w:val="left" w:pos="739"/>
                    <w:tab w:val="left" w:pos="993"/>
                    <w:tab w:val="left" w:pos="1418"/>
                  </w:tabs>
                  <w:jc w:val="both"/>
                  <w:rPr>
                    <w:color w:val="000000"/>
                    <w:szCs w:val="24"/>
                    <w:lang w:eastAsia="lt-LT"/>
                  </w:rPr>
                </w:pPr>
                <w:r>
                  <w:rPr>
                    <w:color w:val="000000"/>
                    <w:szCs w:val="24"/>
                    <w:lang w:eastAsia="lt-LT"/>
                  </w:rPr>
                  <w:t>2.11.</w:t>
                  <w:tab/>
                </w:r>
                <w:r>
                  <w:rPr>
                    <w:szCs w:val="24"/>
                  </w:rPr>
                  <w:t>Kartu su PĮP Administruojančiajai institucijai turi būti pateikti dokumentai:</w:t>
                </w:r>
              </w:p>
              <w:p>
                <w:pPr>
                  <w:tabs>
                    <w:tab w:val="left" w:pos="750"/>
                  </w:tabs>
                  <w:jc w:val="both"/>
                  <w:rPr>
                    <w:color w:val="000000"/>
                    <w:szCs w:val="24"/>
                    <w:lang w:eastAsia="lt-LT"/>
                  </w:rPr>
                </w:pPr>
                <w:r>
                  <w:rPr>
                    <w:color w:val="000000"/>
                    <w:szCs w:val="24"/>
                    <w:lang w:eastAsia="lt-LT"/>
                  </w:rPr>
                  <w:t>2.11.1.</w:t>
                  <w:tab/>
                  <w:t>projekto partnerio (-ių) pasirašyta (-os) deklaracija (-os) – pagal PĮP (Projektų taisyklių 1 priedas) 1 priede pateiktą formą (teikiama, jei projektas įgyvendinamas su partneriu (-iais);</w:t>
                </w:r>
              </w:p>
              <w:p>
                <w:pPr>
                  <w:tabs>
                    <w:tab w:val="left" w:pos="750"/>
                  </w:tabs>
                  <w:jc w:val="both"/>
                  <w:rPr>
                    <w:color w:val="000000"/>
                    <w:szCs w:val="24"/>
                    <w:lang w:eastAsia="lt-LT"/>
                  </w:rPr>
                </w:pPr>
                <w:r>
                  <w:rPr>
                    <w:color w:val="000000"/>
                    <w:szCs w:val="24"/>
                    <w:lang w:eastAsia="lt-LT"/>
                  </w:rPr>
                  <w:t>2.11.2.</w:t>
                  <w:tab/>
                  <w:t>informacija apie projekto biudžeto paskirstymą pagal pareiškėjus ir partnerius – pagal PĮP (Projektų taisyklių 1 priedas) 2 priede pateiktą formą (teikiama, jeigu projektas įgyvendinamas su partneriu (-iais);</w:t>
                </w:r>
              </w:p>
              <w:p>
                <w:pPr>
                  <w:tabs>
                    <w:tab w:val="left" w:pos="750"/>
                  </w:tabs>
                  <w:jc w:val="both"/>
                  <w:rPr>
                    <w:color w:val="000000"/>
                    <w:szCs w:val="24"/>
                    <w:lang w:eastAsia="lt-LT"/>
                  </w:rPr>
                </w:pPr>
                <w:r>
                  <w:rPr>
                    <w:color w:val="000000"/>
                    <w:szCs w:val="24"/>
                    <w:lang w:eastAsia="lt-LT"/>
                  </w:rPr>
                  <w:t>2.11.3.</w:t>
                  <w:tab/>
                  <w:t xml:space="preserve">investicijų projektas su investicijų skaičiuokle, parengtas vadovaujantis Investicijų projektų rengimo metodika, patvirtinta viešosios įstaigos Centrinės projektų valdymo agentūros direktoriaus (dokumentas skelbiamas svetainėse </w:t>
                </w:r>
                <w:r>
                  <w:rPr>
                    <w:i/>
                    <w:iCs/>
                    <w:color w:val="000000"/>
                    <w:szCs w:val="24"/>
                    <w:lang w:eastAsia="lt-LT"/>
                  </w:rPr>
                  <w:t>cpva.lt</w:t>
                </w:r>
                <w:r>
                  <w:rPr>
                    <w:color w:val="000000"/>
                    <w:szCs w:val="24"/>
                    <w:lang w:eastAsia="lt-LT"/>
                  </w:rPr>
                  <w:t xml:space="preserve"> ir</w:t>
                </w:r>
                <w:r>
                  <w:rPr>
                    <w:i/>
                    <w:iCs/>
                    <w:color w:val="000000"/>
                    <w:szCs w:val="24"/>
                    <w:lang w:eastAsia="lt-LT"/>
                  </w:rPr>
                  <w:t xml:space="preserve"> esinvesticijos.lt</w:t>
                </w:r>
                <w:r>
                  <w:rPr>
                    <w:color w:val="000000"/>
                    <w:szCs w:val="24"/>
                    <w:lang w:eastAsia="lt-LT"/>
                  </w:rPr>
                  <w:t xml:space="preserve"> (taikoma, kai investicijų suma, išskyrus (atėmus) jai tenkantį pirkimo ir (arba) importo pridėtinės vertės mokestį, viršija vieną milijoną eurų); </w:t>
                </w:r>
              </w:p>
              <w:p>
                <w:pPr>
                  <w:tabs>
                    <w:tab w:val="left" w:pos="750"/>
                  </w:tabs>
                  <w:jc w:val="both"/>
                  <w:rPr>
                    <w:color w:val="000000"/>
                    <w:szCs w:val="24"/>
                    <w:lang w:eastAsia="lt-LT"/>
                  </w:rPr>
                </w:pPr>
                <w:r>
                  <w:rPr>
                    <w:color w:val="000000"/>
                    <w:szCs w:val="24"/>
                    <w:lang w:eastAsia="lt-LT"/>
                  </w:rPr>
                  <w:t>2.11.4.</w:t>
                  <w:tab/>
                  <w:t>parengtas Projekto (įskaitant jungtinį projektą) atitikties reikšmingos žalos nedarymo horizontaliajam principui vertinimo reikalavimų aprašas (Aprašo 1 priedas);</w:t>
                </w:r>
              </w:p>
              <w:p>
                <w:pPr>
                  <w:tabs>
                    <w:tab w:val="left" w:pos="750"/>
                  </w:tabs>
                  <w:jc w:val="both"/>
                  <w:rPr>
                    <w:color w:val="000000"/>
                    <w:szCs w:val="24"/>
                    <w:lang w:eastAsia="lt-LT"/>
                  </w:rPr>
                </w:pPr>
                <w:r>
                  <w:rPr>
                    <w:color w:val="000000"/>
                    <w:szCs w:val="24"/>
                    <w:lang w:eastAsia="lt-LT"/>
                  </w:rPr>
                  <w:t>2.11.5.</w:t>
                  <w:tab/>
                  <w:t>užpildyta Pažyma dėl projekto tinkamų ir netinkamų išlaidų detalizavimo (Aprašo 2 priedas);</w:t>
                </w:r>
              </w:p>
              <w:p>
                <w:pPr>
                  <w:tabs>
                    <w:tab w:val="left" w:pos="750"/>
                  </w:tabs>
                  <w:jc w:val="both"/>
                  <w:rPr>
                    <w:color w:val="000000"/>
                    <w:szCs w:val="24"/>
                    <w:lang w:eastAsia="lt-LT"/>
                  </w:rPr>
                </w:pPr>
                <w:r>
                  <w:rPr>
                    <w:color w:val="000000"/>
                    <w:szCs w:val="24"/>
                    <w:lang w:eastAsia="lt-LT"/>
                  </w:rPr>
                  <w:t>2.11.6.</w:t>
                  <w:tab/>
                  <w:t>dokumentai, pagrindžiantys projekto išlaidų apskaičiavimą (sudarytos sutartys, komerciniai pasiūlymai, nuorodos į rinkoje esančias kainas);</w:t>
                </w:r>
              </w:p>
              <w:p>
                <w:pPr>
                  <w:tabs>
                    <w:tab w:val="left" w:pos="750"/>
                  </w:tabs>
                  <w:jc w:val="both"/>
                  <w:rPr>
                    <w:color w:val="000000"/>
                    <w:szCs w:val="24"/>
                    <w:lang w:eastAsia="lt-LT"/>
                  </w:rPr>
                </w:pPr>
                <w:r>
                  <w:rPr>
                    <w:color w:val="000000"/>
                    <w:szCs w:val="24"/>
                    <w:lang w:eastAsia="lt-LT"/>
                  </w:rPr>
                  <w:t>2.11.7.</w:t>
                  <w:tab/>
                  <w:t>dokumentai, įrodantys pareiškėjo ir (ar) partnerio (-ių) įsipareigojimą padengti netinkamas finansuoti, tačiau šiam projektui įgyvendinti būtinas išlaidas, ir tinkamas išlaidas, kurių nepadengia projekto finansavimas;</w:t>
                </w:r>
              </w:p>
              <w:p>
                <w:pPr>
                  <w:tabs>
                    <w:tab w:val="left" w:pos="750"/>
                  </w:tabs>
                  <w:jc w:val="both"/>
                  <w:rPr>
                    <w:color w:val="000000"/>
                    <w:szCs w:val="24"/>
                    <w:lang w:eastAsia="lt-LT"/>
                  </w:rPr>
                </w:pPr>
                <w:r>
                  <w:rPr>
                    <w:color w:val="000000"/>
                    <w:szCs w:val="24"/>
                    <w:lang w:eastAsia="lt-LT"/>
                  </w:rPr>
                  <w:t>2.11.8.</w:t>
                  <w:tab/>
                  <w:t>informacija apie projekto poveikio aplinkai vertinimą ir projekto poveikį Europos Sąjungos saugomų teritorijų tinklui „Natura 2000“ – pagal PĮP (Projektų taisyklių 1 priedas) 3 priede pateiktą formą, pridedant atitinkamus reikalaujamus dokumentus;</w:t>
                </w:r>
              </w:p>
              <w:p>
                <w:pPr>
                  <w:tabs>
                    <w:tab w:val="left" w:pos="750"/>
                  </w:tabs>
                  <w:jc w:val="both"/>
                  <w:rPr>
                    <w:color w:val="000000"/>
                    <w:szCs w:val="24"/>
                    <w:lang w:eastAsia="lt-LT"/>
                  </w:rPr>
                </w:pPr>
                <w:r>
                  <w:rPr>
                    <w:color w:val="000000"/>
                    <w:szCs w:val="24"/>
                    <w:lang w:eastAsia="lt-LT"/>
                  </w:rPr>
                  <w:t>2.11.9.</w:t>
                  <w:tab/>
                  <w:t>bent vienos Apraše nurodytos veiklos (poveiklės) pagrindinio (</w:t>
                </w:r>
                <w:r>
                  <w:rPr>
                    <w:szCs w:val="24"/>
                    <w:lang w:eastAsia="lt-LT"/>
                  </w:rPr>
                  <w:t>tiesiogiai prisidedančio prie veiklos, finansuojamos pagal Aprašą, rezultatų pasiekimo, pvz., rangos darbų</w:t>
                </w:r>
                <w:r>
                  <w:rPr>
                    <w:color w:val="000000"/>
                    <w:szCs w:val="24"/>
                    <w:lang w:eastAsia="lt-LT"/>
                  </w:rPr>
                  <w:t>) viešojo pirkimo sutarties kopija (taikoma, jeigu nebuvo teikta kartu su viešojo pirkimo dokumentais);</w:t>
                </w:r>
              </w:p>
              <w:p>
                <w:pPr>
                  <w:tabs>
                    <w:tab w:val="left" w:pos="306"/>
                    <w:tab w:val="left" w:pos="660"/>
                    <w:tab w:val="left" w:pos="739"/>
                    <w:tab w:val="left" w:pos="993"/>
                    <w:tab w:val="left" w:pos="1560"/>
                  </w:tabs>
                  <w:jc w:val="both"/>
                  <w:rPr>
                    <w:color w:val="000000"/>
                    <w:szCs w:val="24"/>
                    <w:lang w:eastAsia="lt-LT"/>
                  </w:rPr>
                </w:pPr>
                <w:r>
                  <w:rPr>
                    <w:color w:val="000000"/>
                    <w:szCs w:val="24"/>
                    <w:lang w:eastAsia="lt-LT"/>
                  </w:rPr>
                  <w:t>2.11.10.</w:t>
                  <w:tab/>
                  <w:t xml:space="preserve">patvirtintas statinio projektas, </w:t>
                </w:r>
                <w:r>
                  <w:rPr>
                    <w:color w:val="000000"/>
                    <w:szCs w:val="24"/>
                  </w:rPr>
                  <w:t>statinio projekto bendrosios ekspertizės aktas su išvada, kad projektą galima tvirtinti, statybą leidžiantis dokumentas</w:t>
                </w:r>
                <w:r>
                  <w:rPr>
                    <w:color w:val="000000"/>
                    <w:szCs w:val="24"/>
                    <w:lang w:eastAsia="lt-LT"/>
                  </w:rPr>
                  <w:t xml:space="preserve"> (netaikoma, kai perkama įranga, rangos darbai kartu su projektavimo paslaugomis, užtikrinant Lietuvos Respublikos viešųjų pirkimų įstatymo (toliau – VPĮ) nuostatų dėl pirkimo objekto neskaidymo į atskiras pirkimo objekto dalis laikymąsi);</w:t>
                </w:r>
              </w:p>
              <w:p>
                <w:pPr>
                  <w:tabs>
                    <w:tab w:val="left" w:pos="306"/>
                    <w:tab w:val="left" w:pos="660"/>
                    <w:tab w:val="left" w:pos="739"/>
                    <w:tab w:val="left" w:pos="993"/>
                    <w:tab w:val="left" w:pos="1560"/>
                  </w:tabs>
                  <w:jc w:val="both"/>
                  <w:rPr>
                    <w:color w:val="000000"/>
                    <w:szCs w:val="24"/>
                  </w:rPr>
                </w:pPr>
                <w:r>
                  <w:rPr>
                    <w:color w:val="000000"/>
                    <w:szCs w:val="24"/>
                  </w:rPr>
                  <w:t>2.11.11.</w:t>
                  <w:tab/>
                </w:r>
                <w:r>
                  <w:rPr>
                    <w:color w:val="000000"/>
                    <w:szCs w:val="24"/>
                    <w:lang w:eastAsia="lt-LT"/>
                  </w:rPr>
                  <w:t>patvirtinta techninė specifikacija (taikoma, kai perkama įranga, rangos darbai kartu su projektavimo paslaugomis, užtikrinant VPĮ nuostatų dėl pirkimo objekto neskaidymo į atskiras pirkimo objekto dalis laikymąsi).</w:t>
                </w:r>
              </w:p>
              <w:p>
                <w:pPr>
                  <w:tabs>
                    <w:tab w:val="left" w:pos="306"/>
                    <w:tab w:val="left" w:pos="660"/>
                    <w:tab w:val="left" w:pos="739"/>
                    <w:tab w:val="left" w:pos="993"/>
                    <w:tab w:val="left" w:pos="1560"/>
                  </w:tabs>
                  <w:jc w:val="both"/>
                  <w:rPr>
                    <w:color w:val="000000"/>
                    <w:szCs w:val="24"/>
                  </w:rPr>
                </w:pPr>
                <w:r>
                  <w:rPr>
                    <w:color w:val="000000"/>
                    <w:szCs w:val="24"/>
                  </w:rPr>
                  <w:t>2.12.</w:t>
                  <w:tab/>
                  <w:t>Projektų įgyvendinimo reikalavimai:</w:t>
                </w:r>
              </w:p>
              <w:p>
                <w:pPr>
                  <w:tabs>
                    <w:tab w:val="left" w:pos="842"/>
                    <w:tab w:val="left" w:pos="993"/>
                    <w:tab w:val="left" w:pos="1560"/>
                  </w:tabs>
                  <w:jc w:val="both"/>
                  <w:rPr>
                    <w:szCs w:val="24"/>
                  </w:rPr>
                </w:pPr>
                <w:r>
                  <w:rPr>
                    <w:szCs w:val="24"/>
                  </w:rPr>
                  <w:t>2.12.1.</w:t>
                  <w:tab/>
                </w:r>
                <w:r>
                  <w:rPr>
                    <w:color w:val="000000"/>
                    <w:szCs w:val="24"/>
                  </w:rPr>
                  <w:t xml:space="preserve">projektas įgyvendinamas pagal projekto sutartyje, Apraše ir </w:t>
                </w:r>
                <w:r>
                  <w:rPr>
                    <w:szCs w:val="24"/>
                  </w:rPr>
                  <w:t xml:space="preserve">Projektų taisyklėse </w:t>
                </w:r>
                <w:r>
                  <w:rPr>
                    <w:color w:val="000000"/>
                    <w:szCs w:val="24"/>
                  </w:rPr>
                  <w:t>nustatytus reikalavimus;</w:t>
                </w:r>
              </w:p>
              <w:p>
                <w:pPr>
                  <w:tabs>
                    <w:tab w:val="left" w:pos="842"/>
                    <w:tab w:val="left" w:pos="993"/>
                    <w:tab w:val="left" w:pos="1560"/>
                  </w:tabs>
                  <w:jc w:val="both"/>
                  <w:rPr>
                    <w:szCs w:val="24"/>
                  </w:rPr>
                </w:pPr>
                <w:r>
                  <w:rPr>
                    <w:szCs w:val="24"/>
                  </w:rPr>
                  <w:t>2.12.2.</w:t>
                  <w:tab/>
                  <w:t>pareiškėjas turi įgyvendinti privalomus matomumo ir informavimo reikalavimus, numatytus Projektų taisyklių VIII skyriaus 1 skirsnyje;</w:t>
                </w:r>
              </w:p>
              <w:p>
                <w:pPr>
                  <w:tabs>
                    <w:tab w:val="left" w:pos="842"/>
                    <w:tab w:val="left" w:pos="993"/>
                    <w:tab w:val="left" w:pos="1560"/>
                  </w:tabs>
                  <w:jc w:val="both"/>
                  <w:rPr>
                    <w:szCs w:val="24"/>
                  </w:rPr>
                </w:pPr>
                <w:r>
                  <w:rPr>
                    <w:szCs w:val="24"/>
                  </w:rPr>
                  <w:t>2.12.3.</w:t>
                  <w:tab/>
                  <w:t>pareiškėjas privalo užtikrinti, kad visi su projekto įgyvendinimu susiję viešieji pirkimai būtų vykdomi vadovaujantis pirkimų vykdymo ir vertinimo tvarka, nustatyta Projektų taisyklių 7 priede; projekto sutartys turi būti įgyvendinamos vadovaujantis Lietuvos Respublikos teisės aktais. Projektas, apimantis statybos darbus, turi būti įgyvendinamas vadovaujantis Statybos įstatymu, statybos techninių reglamentų reikalavimais ir kitais Lietuvos Respublikos teisės aktais;</w:t>
                </w:r>
              </w:p>
              <w:p>
                <w:pPr>
                  <w:tabs>
                    <w:tab w:val="left" w:pos="842"/>
                    <w:tab w:val="left" w:pos="993"/>
                    <w:tab w:val="left" w:pos="1560"/>
                  </w:tabs>
                  <w:jc w:val="both"/>
                  <w:rPr>
                    <w:i/>
                    <w:iCs/>
                    <w:szCs w:val="24"/>
                  </w:rPr>
                </w:pPr>
                <w:r>
                  <w:rPr>
                    <w:szCs w:val="24"/>
                  </w:rPr>
                  <w:t>2.12.4.</w:t>
                  <w:tab/>
                </w:r>
                <w:r>
                  <w:rPr>
                    <w:color w:val="000000"/>
                    <w:szCs w:val="24"/>
                  </w:rPr>
                  <w:t>pareiškėjas turi įpareigoti rangovą savo lėšomis apsidrausti Statybos įstatymo 46 straipsnyje nurodytu draudimu ne trumpesniam kaip rangos darbų įgyvendinimo laikotarpiui iki visų rangovo atliktų statybos darbų rezultato perdavimo statytojui (užsakovui) dienos, t. y. apdrausti</w:t>
                </w:r>
                <w:r>
                  <w:rPr>
                    <w:b/>
                    <w:bCs/>
                    <w:color w:val="000000"/>
                    <w:szCs w:val="24"/>
                  </w:rPr>
                  <w:t xml:space="preserve"> </w:t>
                </w:r>
                <w:r>
                  <w:rPr>
                    <w:color w:val="000000"/>
                    <w:szCs w:val="24"/>
                  </w:rPr>
                  <w:t>visus su statomu, montuojamu, rekonstruojamu, griaunamu ir pan. statiniu ir (ar) įrenginiu susijusius statybos, montavimo, rekonstrukcijos, griovimo ir panašius darbus ir statybos darbams vykdyti į draudimo vietą pristatytus statybos produktus, medžiagas ir montuotinus įrenginius; pareiškėjo ir rangovo sutartyje turi būti nustatyta, kad įvykus draudžiamajam įvykiui, dėl kurio statybos veiklos metu sukurtas turtas buvo sunaikintas ar sugadintas, rangovas privalo atlikti visus darbus, kad atkurtų iki draudžiamojo įvykio buvusį turtą.</w:t>
                </w:r>
              </w:p>
            </w:tc>
          </w:tr>
          <w:tr>
            <w:tc>
              <w:tcPr>
                <w:tcW w:w="15848" w:type="dxa"/>
              </w:tcPr>
              <w:p>
                <w:pPr>
                  <w:jc w:val="both"/>
                  <w:rPr>
                    <w:iCs/>
                    <w:szCs w:val="24"/>
                  </w:rPr>
                </w:pPr>
                <w:r>
                  <w:rPr>
                    <w:b/>
                    <w:szCs w:val="24"/>
                  </w:rPr>
                  <w:t>2.13. Reikalavimai jungtinio projekto projektams</w:t>
                </w:r>
              </w:p>
            </w:tc>
          </w:tr>
          <w:tr>
            <w:trPr>
              <w:trHeight w:val="529"/>
            </w:trPr>
            <w:tc>
              <w:tcPr>
                <w:tcW w:w="15848" w:type="dxa"/>
              </w:tcPr>
              <w:p>
                <w:pPr>
                  <w:tabs>
                    <w:tab w:val="left" w:pos="1635"/>
                    <w:tab w:val="left" w:pos="2130"/>
                  </w:tabs>
                  <w:jc w:val="both"/>
                  <w:rPr>
                    <w:szCs w:val="24"/>
                  </w:rPr>
                </w:pPr>
                <w:r>
                  <w:rPr>
                    <w:szCs w:val="24"/>
                  </w:rPr>
                  <w:t>Pagal Aprašą jungtiniai projektai nefinansuojami.</w:t>
                </w:r>
              </w:p>
            </w:tc>
          </w:tr>
          <w:tr>
            <w:trPr>
              <w:trHeight w:val="285"/>
            </w:trPr>
            <w:tc>
              <w:tcPr>
                <w:tcW w:w="15848" w:type="dxa"/>
              </w:tcPr>
              <w:p>
                <w:pPr>
                  <w:jc w:val="both"/>
                </w:pPr>
                <w:r>
                  <w:rPr>
                    <w:b/>
                    <w:szCs w:val="24"/>
                  </w:rPr>
                  <w:t>3. Horizontaliųjų principų (toliau – HP) reikalavimai</w:t>
                </w:r>
              </w:p>
            </w:tc>
          </w:tr>
          <w:tr>
            <w:tc>
              <w:tcPr>
                <w:tcW w:w="15848" w:type="dxa"/>
              </w:tcPr>
              <w:p>
                <w:pPr>
                  <w:jc w:val="both"/>
                  <w:rPr>
                    <w:szCs w:val="24"/>
                  </w:rPr>
                </w:pPr>
                <w:r>
                  <w:rPr>
                    <w:szCs w:val="24"/>
                  </w:rPr>
                  <w:t>Įgyvendinant projektą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Vykdant projektą neturi būti numatyta veiksmų, kurie turėtų neigiamą poveikį įgyvendinant HP.</w:t>
                </w:r>
              </w:p>
              <w:p>
                <w:pPr>
                  <w:jc w:val="both"/>
                </w:pPr>
                <w:r>
                  <w:t>Į</w:t>
                </w:r>
                <w:r>
                  <w:rPr>
                    <w:szCs w:val="24"/>
                    <w:shd w:val="clear" w:color="auto" w:fill="FFFFFF"/>
                    <w:lang w:eastAsia="lt-LT"/>
                  </w:rPr>
                  <w:t>gyvendinant projektą</w:t>
                </w:r>
                <w:r>
                  <w:rPr>
                    <w:rFonts w:eastAsia="Calibri"/>
                    <w:szCs w:val="24"/>
                  </w:rPr>
                  <w:t xml:space="preserve"> transporto infrastruktūra turi būti kuriama ir plėtojama laikantis universalaus dizaino principų ir pritaikyta naudotis žmonėms, turintiems specialiųjų poreikių</w:t>
                </w:r>
                <w:r>
                  <w:t>.</w:t>
                </w:r>
              </w:p>
              <w:p>
                <w:pPr>
                  <w:jc w:val="both"/>
                  <w:rPr>
                    <w:rFonts w:eastAsia="Calibri"/>
                    <w:szCs w:val="24"/>
                  </w:rPr>
                </w:pPr>
                <w:r>
                  <w:t>Įgyvendinant projektą turi būti laikomasi klimato ir aplinkos apsaugos standartų,</w:t>
                </w:r>
                <w:r>
                  <w:rPr>
                    <w:szCs w:val="24"/>
                    <w:shd w:val="clear" w:color="auto" w:fill="FFFFFF"/>
                    <w:lang w:eastAsia="lt-LT"/>
                  </w:rPr>
                  <w:t xml:space="preserve"> atsižvelgiant į Sutarties dėl Europos Sąjungos veikimo </w:t>
                  <w:br/>
                  <w:t xml:space="preserve">11 straipsnį, Jungtinių Tautų darnaus vystymosi tikslus, Jungtinių Tautų bendrosios klimato kaitos konvencijos Paryžiaus susitarimą. Jokia projekto veikla neturi būti daroma reikšmingos žalos nė vienam iš </w:t>
                </w:r>
                <w:r>
                  <w:rPr>
                    <w:rFonts w:eastAsia="Calibri"/>
                    <w:bCs/>
                    <w:szCs w:val="24"/>
                  </w:rPr>
                  <w:t>6 aplinkos tikslų, nurodytų 2020 m. birželio 18 d. Europos Parlamento ir Tarybos reglamento (ES) 2020/852 dėl sistemos tvariam investavimui palengvinti sukūrimo, kuriuo iš dalies keičiamas Reglamentas (ES) 2019/2088, 17 straipsnyje.</w:t>
                </w:r>
                <w:r>
                  <w:rPr>
                    <w:rFonts w:eastAsia="Calibri"/>
                    <w:szCs w:val="24"/>
                  </w:rPr>
                  <w:t xml:space="preserve"> </w:t>
                </w:r>
              </w:p>
              <w:p>
                <w:pPr>
                  <w:jc w:val="both"/>
                  <w:rPr>
                    <w:i/>
                    <w:iCs/>
                    <w:szCs w:val="24"/>
                  </w:rPr>
                </w:pPr>
                <w:r>
                  <w:rPr>
                    <w:szCs w:val="24"/>
                  </w:rPr>
                  <w:t>Projekto atitikties reikšmingos žalos nedarymo HP vertinimo reikalavimai pateikiami Aprašo 1 priede.</w:t>
                </w:r>
              </w:p>
            </w:tc>
          </w:tr>
          <w:tr>
            <w:tc>
              <w:tcPr>
                <w:tcW w:w="15848" w:type="dxa"/>
              </w:tcPr>
              <w:p>
                <w:pPr>
                  <w:spacing w:line="256" w:lineRule="auto"/>
                  <w:jc w:val="both"/>
                  <w:rPr>
                    <w:b/>
                    <w:iCs/>
                    <w:szCs w:val="24"/>
                  </w:rPr>
                </w:pPr>
                <w:r>
                  <w:rPr>
                    <w:b/>
                    <w:iCs/>
                    <w:szCs w:val="24"/>
                  </w:rPr>
                  <w:t>3.1. Europos Sąjungos pagrindinių teisių chartijos (toliau – Chartija) reikalavimai</w:t>
                </w:r>
              </w:p>
            </w:tc>
          </w:tr>
          <w:tr>
            <w:tc>
              <w:tcPr>
                <w:tcW w:w="15848" w:type="dxa"/>
              </w:tcPr>
              <w:p>
                <w:pPr>
                  <w:jc w:val="both"/>
                  <w:rPr>
                    <w:color w:val="000000"/>
                    <w:szCs w:val="24"/>
                  </w:rPr>
                </w:pP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pPr>
                  <w:jc w:val="both"/>
                  <w:rPr>
                    <w:color w:val="000000"/>
                    <w:szCs w:val="24"/>
                    <w:shd w:val="clear" w:color="auto" w:fill="FFFFFF"/>
                  </w:rPr>
                </w:pPr>
                <w:r>
                  <w:rPr>
                    <w:szCs w:val="24"/>
                  </w:rPr>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p>
                <w:pPr>
                  <w:jc w:val="both"/>
                  <w:rPr>
                    <w:i/>
                    <w:iCs/>
                    <w:szCs w:val="24"/>
                  </w:rPr>
                </w:pPr>
              </w:p>
            </w:tc>
          </w:tr>
          <w:tr>
            <w:tc>
              <w:tcPr>
                <w:tcW w:w="15848" w:type="dxa"/>
              </w:tcPr>
              <w:p>
                <w:pPr>
                  <w:rPr>
                    <w:b/>
                    <w:szCs w:val="24"/>
                  </w:rPr>
                </w:pPr>
                <w:r>
                  <w:rPr>
                    <w:b/>
                    <w:szCs w:val="24"/>
                  </w:rPr>
                  <w:t>4. Apskritis, kurioje gali būti įgyvendinami projektai</w:t>
                </w:r>
              </w:p>
            </w:tc>
          </w:tr>
          <w:tr>
            <w:tc>
              <w:tcPr>
                <w:tcW w:w="15848" w:type="dxa"/>
              </w:tcPr>
              <w:p>
                <w:pPr>
                  <w:jc w:val="both"/>
                  <w:rPr>
                    <w:szCs w:val="24"/>
                  </w:rPr>
                </w:pPr>
                <w:r>
                  <w:rPr>
                    <w:szCs w:val="24"/>
                  </w:rPr>
                  <w:t>Netaikoma.</w:t>
                </w:r>
              </w:p>
              <w:p>
                <w:pPr>
                  <w:jc w:val="both"/>
                  <w:rPr>
                    <w:szCs w:val="24"/>
                  </w:rPr>
                </w:pPr>
              </w:p>
            </w:tc>
          </w:tr>
          <w:tr>
            <w:tc>
              <w:tcPr>
                <w:tcW w:w="15848" w:type="dxa"/>
              </w:tcPr>
              <w:p>
                <w:pPr>
                  <w:jc w:val="both"/>
                  <w:rPr>
                    <w:b/>
                    <w:szCs w:val="24"/>
                  </w:rPr>
                </w:pPr>
                <w:r>
                  <w:rPr>
                    <w:b/>
                    <w:szCs w:val="24"/>
                  </w:rPr>
                  <w:t xml:space="preserve">5. Reikalavimai valstybės pagalbai </w:t>
                </w:r>
              </w:p>
            </w:tc>
          </w:tr>
          <w:tr>
            <w:tc>
              <w:tcPr>
                <w:tcW w:w="15848" w:type="dxa"/>
              </w:tcPr>
              <w:p>
                <w:pPr>
                  <w:jc w:val="both"/>
                  <w:rPr>
                    <w:szCs w:val="24"/>
                    <w:lang w:eastAsia="lt-LT"/>
                  </w:rPr>
                </w:pPr>
                <w:r>
                  <w:rPr>
                    <w:szCs w:val="24"/>
                    <w:lang w:eastAsia="lt-LT"/>
                  </w:rPr>
                  <w:t xml:space="preserve">Pagal Aprašą valstybės pagalba, kaip ji apibrėžta Sutarties dėl Europos Sąjungos veikimo 107 straipsnyje, ir </w:t>
                </w:r>
                <w:r>
                  <w:rPr>
                    <w:i/>
                    <w:iCs/>
                    <w:szCs w:val="24"/>
                    <w:lang w:eastAsia="lt-LT"/>
                  </w:rPr>
                  <w:t>de minimis</w:t>
                </w:r>
                <w:r>
                  <w:rPr>
                    <w:szCs w:val="24"/>
                    <w:lang w:eastAsia="lt-LT"/>
                  </w:rPr>
                  <w:t xml:space="preserve"> pagalba, kuri atitinka 2013 m. gruodžio </w:t>
                  <w:br/>
                  <w:t xml:space="preserve">18 d. Komisijos reglamento (ES) Nr. 1407/2013 dėl Sutarties dėl Europos Sąjungos veikimo 107 ir 108 straipsnių taikymo </w:t>
                </w:r>
                <w:r>
                  <w:rPr>
                    <w:i/>
                    <w:iCs/>
                    <w:szCs w:val="24"/>
                    <w:lang w:eastAsia="lt-LT"/>
                  </w:rPr>
                  <w:t>de minimis</w:t>
                </w:r>
                <w:r>
                  <w:rPr>
                    <w:szCs w:val="24"/>
                    <w:lang w:eastAsia="lt-LT"/>
                  </w:rPr>
                  <w:t xml:space="preserve"> pagalbai su vėlesniais pakeitimais nuostatas, neteikiama.</w:t>
                </w:r>
              </w:p>
              <w:p>
                <w:pPr>
                  <w:jc w:val="both"/>
                  <w:rPr>
                    <w:i/>
                    <w:iCs/>
                    <w:szCs w:val="24"/>
                  </w:rPr>
                </w:pPr>
              </w:p>
            </w:tc>
          </w:tr>
          <w:tr>
            <w:tc>
              <w:tcPr>
                <w:tcW w:w="15848" w:type="dxa"/>
              </w:tcPr>
              <w:p>
                <w:pPr>
                  <w:ind w:left="426" w:hanging="426"/>
                  <w:jc w:val="both"/>
                  <w:rPr>
                    <w:i/>
                    <w:szCs w:val="24"/>
                  </w:rPr>
                </w:pPr>
                <w:r>
                  <w:rPr>
                    <w:b/>
                    <w:szCs w:val="24"/>
                  </w:rPr>
                  <w:t>6. Projektų atrankos kriterijai</w:t>
                </w:r>
              </w:p>
            </w:tc>
          </w:tr>
          <w:tr>
            <w:trPr>
              <w:trHeight w:val="368"/>
            </w:trPr>
            <w:tc>
              <w:tcPr>
                <w:tcW w:w="15848" w:type="dxa"/>
              </w:tcPr>
              <w:p>
                <w:pPr>
                  <w:jc w:val="both"/>
                  <w:rPr>
                    <w:iCs/>
                    <w:szCs w:val="24"/>
                  </w:rPr>
                </w:pPr>
                <w:r>
                  <w:rPr>
                    <w:iCs/>
                    <w:szCs w:val="24"/>
                  </w:rPr>
                  <w:t xml:space="preserve">Projektų specialieji ir (arba) prioritetiniai atrankos kriterijai nėra taikomi. </w:t>
                </w:r>
              </w:p>
              <w:p>
                <w:pPr>
                  <w:jc w:val="both"/>
                  <w:rPr>
                    <w:iCs/>
                  </w:rPr>
                </w:pPr>
              </w:p>
            </w:tc>
          </w:tr>
          <w:tr>
            <w:trPr>
              <w:trHeight w:val="309"/>
            </w:trPr>
            <w:tc>
              <w:tcPr>
                <w:tcW w:w="15848" w:type="dxa"/>
              </w:tcPr>
              <w:p>
                <w:pPr>
                  <w:jc w:val="both"/>
                  <w:rPr>
                    <w:i/>
                  </w:rPr>
                </w:pPr>
                <w:r>
                  <w:rPr>
                    <w:b/>
                  </w:rPr>
                  <w:t xml:space="preserve">6.1. Jungtinio projekto projektų atrankos kriterijai </w:t>
                </w:r>
                <w:r>
                  <w:t>(</w:t>
                </w:r>
                <w:r>
                  <w:rPr>
                    <w:i/>
                  </w:rPr>
                  <w:t>pildoma tik jungtiniam projektui)</w:t>
                </w:r>
              </w:p>
            </w:tc>
          </w:tr>
          <w:tr>
            <w:trPr>
              <w:trHeight w:val="404"/>
            </w:trPr>
            <w:tc>
              <w:tcPr>
                <w:tcW w:w="15848" w:type="dxa"/>
              </w:tcPr>
              <w:p>
                <w:pPr>
                  <w:jc w:val="both"/>
                  <w:rPr>
                    <w:iCs/>
                  </w:rPr>
                </w:pPr>
                <w:r>
                  <w:rPr>
                    <w:iCs/>
                  </w:rPr>
                  <w:t>Netaikoma.</w:t>
                </w:r>
              </w:p>
            </w:tc>
          </w:tr>
          <w:tr>
            <w:tc>
              <w:tcPr>
                <w:tcW w:w="15848" w:type="dxa"/>
              </w:tcPr>
              <w:p>
                <w:pPr>
                  <w:rPr>
                    <w:b/>
                    <w:szCs w:val="24"/>
                  </w:rPr>
                </w:pPr>
                <w:r>
                  <w:rPr>
                    <w:b/>
                    <w:szCs w:val="24"/>
                  </w:rPr>
                  <w:t xml:space="preserve">7. Reikalavimai įgyvendinus projektų veiklas </w:t>
                </w:r>
              </w:p>
            </w:tc>
          </w:tr>
          <w:tr>
            <w:tc>
              <w:tcPr>
                <w:tcW w:w="15848" w:type="dxa"/>
              </w:tcPr>
              <w:p>
                <w:pPr>
                  <w:jc w:val="both"/>
                  <w:rPr>
                    <w:color w:val="000000"/>
                    <w:szCs w:val="24"/>
                  </w:rPr>
                </w:pPr>
                <w:r>
                  <w:rPr>
                    <w:color w:val="000000"/>
                    <w:szCs w:val="24"/>
                  </w:rPr>
                  <w:t>Po projekto finansavimo pabaigos 5 metus turi būti užtikrintas investicijų tęstinumas Projektų taisyklių IV skyriaus 10 skirsnyje nustatyta tvarka.</w:t>
                </w:r>
              </w:p>
              <w:p>
                <w:pPr>
                  <w:jc w:val="both"/>
                  <w:rPr>
                    <w:i/>
                    <w:szCs w:val="24"/>
                  </w:rPr>
                </w:pPr>
              </w:p>
            </w:tc>
          </w:tr>
          <w:tr>
            <w:tc>
              <w:tcPr>
                <w:tcW w:w="15848" w:type="dxa"/>
              </w:tcPr>
              <w:p>
                <w:pPr>
                  <w:rPr>
                    <w:szCs w:val="24"/>
                  </w:rPr>
                </w:pPr>
                <w:r>
                  <w:rPr>
                    <w:b/>
                    <w:szCs w:val="24"/>
                  </w:rPr>
                  <w:t>8. Kiti reikalavimai</w:t>
                </w:r>
              </w:p>
            </w:tc>
          </w:tr>
          <w:tr>
            <w:tc>
              <w:tcPr>
                <w:tcW w:w="15848" w:type="dxa"/>
              </w:tcPr>
              <w:p>
                <w:pPr>
                  <w:tabs>
                    <w:tab w:val="left" w:pos="1134"/>
                  </w:tabs>
                  <w:jc w:val="both"/>
                  <w:rPr>
                    <w:i/>
                    <w:szCs w:val="24"/>
                  </w:rPr>
                </w:pPr>
                <w:r>
                  <w:rPr>
                    <w:color w:val="000000"/>
                    <w:szCs w:val="24"/>
                  </w:rPr>
                  <w:t>8.1. Lietuvos Respublikos susisiekimo ministerijai pritarus, Administruojančioji institucija gali leisti projekto vykdytojui panaudoti įgyvendinant projektą sutaupytas lėšas.</w:t>
                </w:r>
              </w:p>
              <w:p>
                <w:pPr>
                  <w:tabs>
                    <w:tab w:val="left" w:pos="0"/>
                    <w:tab w:val="left" w:pos="1418"/>
                  </w:tabs>
                  <w:jc w:val="both"/>
                  <w:rPr>
                    <w:szCs w:val="24"/>
                  </w:rPr>
                </w:pPr>
                <w:r>
                  <w:rPr>
                    <w:iCs/>
                    <w:szCs w:val="24"/>
                  </w:rPr>
                  <w:t xml:space="preserve">8.2. Įgyvendindamas </w:t>
                </w:r>
                <w:r>
                  <w:rPr>
                    <w:szCs w:val="24"/>
                  </w:rPr>
                  <w:t xml:space="preserve">strateginės svarbos projektą arba projektą, kurio vertė viršija 10 000 000 (dešimt milijonų) eurų, </w:t>
                </w:r>
                <w:r>
                  <w:rPr>
                    <w:color w:val="000000"/>
                    <w:szCs w:val="24"/>
                  </w:rPr>
                  <w:t>pareiškėjas</w:t>
                </w:r>
                <w:r>
                  <w:rPr>
                    <w:szCs w:val="24"/>
                  </w:rPr>
                  <w:t xml:space="preserve"> turi surengti</w:t>
                </w:r>
                <w:r>
                  <w:rPr>
                    <w:b/>
                    <w:bCs/>
                    <w:szCs w:val="24"/>
                  </w:rPr>
                  <w:t xml:space="preserve"> </w:t>
                </w:r>
                <w:r>
                  <w:rPr>
                    <w:szCs w:val="24"/>
                  </w:rPr>
                  <w:t>ne mažiau nei vieną komunikacinį renginį ar įgyvendinti kitą komunikacinę veiklą, į kurią būtų laiku pakviesti (rekomenduojama prieš 2–3 mėnesius)</w:t>
                </w:r>
                <w:r>
                  <w:rPr>
                    <w:i/>
                    <w:iCs/>
                    <w:sz w:val="20"/>
                  </w:rPr>
                  <w:t xml:space="preserve"> </w:t>
                </w:r>
                <w:r>
                  <w:rPr>
                    <w:szCs w:val="24"/>
                  </w:rPr>
                  <w:t xml:space="preserve"> ar įtraukti Europos Komisijos ir vadovaujančiosios institucijos atstovai.</w:t>
                </w:r>
              </w:p>
              <w:p>
                <w:pPr>
                  <w:tabs>
                    <w:tab w:val="left" w:pos="0"/>
                    <w:tab w:val="left" w:pos="1418"/>
                  </w:tabs>
                  <w:jc w:val="both"/>
                  <w:rPr>
                    <w:i/>
                    <w:szCs w:val="24"/>
                  </w:rPr>
                </w:pPr>
              </w:p>
            </w:tc>
          </w:tr>
          <w:tr>
            <w:tc>
              <w:tcPr>
                <w:tcW w:w="15848" w:type="dxa"/>
              </w:tcPr>
              <w:p>
                <w:pPr>
                  <w:rPr>
                    <w:b/>
                    <w:szCs w:val="24"/>
                  </w:rPr>
                </w:pPr>
                <w:r>
                  <w:rPr>
                    <w:b/>
                    <w:szCs w:val="24"/>
                  </w:rPr>
                  <w:t>IŠLAIDŲ TINKAMUMO FINANSUOTI REIKALAVIMAI</w:t>
                </w:r>
              </w:p>
            </w:tc>
          </w:tr>
          <w:tr>
            <w:tc>
              <w:tcPr>
                <w:tcW w:w="15848" w:type="dxa"/>
              </w:tcPr>
              <w:p>
                <w:pPr>
                  <w:jc w:val="both"/>
                  <w:rPr>
                    <w:b/>
                    <w:szCs w:val="24"/>
                  </w:rPr>
                </w:pPr>
                <w:r>
                  <w:rPr>
                    <w:b/>
                    <w:szCs w:val="24"/>
                  </w:rPr>
                  <w:t>9. Išlaidų tinkamumo finansuoti reikalavimai</w:t>
                </w:r>
              </w:p>
            </w:tc>
          </w:tr>
          <w:tr>
            <w:tc>
              <w:tcPr>
                <w:tcW w:w="15848" w:type="dxa"/>
              </w:tcPr>
              <w:p>
                <w:pPr>
                  <w:tabs>
                    <w:tab w:val="left" w:pos="570"/>
                  </w:tabs>
                  <w:ind w:left="30"/>
                  <w:jc w:val="both"/>
                  <w:rPr>
                    <w:szCs w:val="24"/>
                  </w:rPr>
                </w:pPr>
                <w:r>
                  <w:rPr>
                    <w:bCs/>
                    <w:szCs w:val="24"/>
                  </w:rPr>
                  <w:t>9.1.</w:t>
                  <w:tab/>
                </w:r>
                <w:r>
                  <w:rPr>
                    <w:szCs w:val="24"/>
                  </w:rPr>
                  <w:t xml:space="preserve">Projekto išlaidos turi atitikti Projektų taisyklių VII skyriuje ir viešosios įstaigos </w:t>
                </w:r>
                <w:r>
                  <w:rPr>
                    <w:szCs w:val="24"/>
                    <w:lang w:eastAsia="lt-LT"/>
                  </w:rPr>
                  <w:t>Centrinės projektų valdymo agentūros parengtose</w:t>
                </w:r>
                <w:r>
                  <w:rPr>
                    <w:szCs w:val="24"/>
                  </w:rPr>
                  <w:t xml:space="preserve"> Rekomendacijose dėl projektų išlaidų atitikties Europos Sąjungos fondų reikalavimams, kurios skelbiamos Europos Sąjungos fondų investicijų interneto svetainėje</w:t>
                </w:r>
                <w:r>
                  <w:rPr>
                    <w:i/>
                    <w:szCs w:val="24"/>
                  </w:rPr>
                  <w:t xml:space="preserve"> </w:t>
                </w:r>
                <w:r>
                  <w:rPr>
                    <w:i/>
                    <w:szCs w:val="24"/>
                  </w:rPr>
                  <w:t>esinvesticijos.lt</w:t>
                </w:r>
                <w:r>
                  <w:rPr>
                    <w:i/>
                    <w:szCs w:val="24"/>
                  </w:rPr>
                  <w:t xml:space="preserve">, </w:t>
                </w:r>
                <w:r>
                  <w:rPr>
                    <w:szCs w:val="24"/>
                  </w:rPr>
                  <w:t>išdėstytus projekto išlaidoms taikomus reikalavimus.</w:t>
                </w:r>
              </w:p>
              <w:p>
                <w:pPr>
                  <w:tabs>
                    <w:tab w:val="left" w:pos="570"/>
                    <w:tab w:val="left" w:pos="739"/>
                  </w:tabs>
                  <w:ind w:left="30"/>
                  <w:jc w:val="both"/>
                  <w:rPr>
                    <w:szCs w:val="24"/>
                  </w:rPr>
                </w:pPr>
                <w:r>
                  <w:rPr>
                    <w:bCs/>
                    <w:szCs w:val="24"/>
                  </w:rPr>
                  <w:t>9.2.</w:t>
                  <w:tab/>
                </w:r>
                <w:r>
                  <w:rPr>
                    <w:szCs w:val="24"/>
                  </w:rPr>
                  <w:t>Netinkamos finansuoti projekto lėšos:</w:t>
                </w:r>
              </w:p>
              <w:p>
                <w:pPr>
                  <w:tabs>
                    <w:tab w:val="left" w:pos="662"/>
                  </w:tabs>
                  <w:ind w:left="30"/>
                  <w:jc w:val="both"/>
                  <w:rPr>
                    <w:szCs w:val="24"/>
                    <w:lang w:eastAsia="lt-LT"/>
                  </w:rPr>
                </w:pPr>
                <w:r>
                  <w:rPr>
                    <w:szCs w:val="24"/>
                    <w:lang w:eastAsia="lt-LT"/>
                  </w:rPr>
                  <w:t>9.2.1.</w:t>
                  <w:tab/>
                </w:r>
                <w:r>
                  <w:rPr>
                    <w:szCs w:val="24"/>
                  </w:rPr>
                  <w:t xml:space="preserve">žemės įsigijimo išlaidos, viršijančios </w:t>
                </w:r>
                <w:r>
                  <w:rPr>
                    <w:szCs w:val="24"/>
                    <w:lang w:eastAsia="lt-LT"/>
                  </w:rPr>
                  <w:t>5 procentus visų tinkamų finansuoti projekto išlaidų;</w:t>
                </w:r>
              </w:p>
              <w:p>
                <w:pPr>
                  <w:tabs>
                    <w:tab w:val="left" w:pos="662"/>
                  </w:tabs>
                  <w:ind w:left="30"/>
                  <w:jc w:val="both"/>
                  <w:rPr>
                    <w:szCs w:val="24"/>
                    <w:lang w:eastAsia="lt-LT"/>
                  </w:rPr>
                </w:pPr>
                <w:r>
                  <w:rPr>
                    <w:szCs w:val="24"/>
                    <w:lang w:eastAsia="lt-LT"/>
                  </w:rPr>
                  <w:t>9.2.2.</w:t>
                  <w:tab/>
                  <w:t>žemės nuomos išlaidos;</w:t>
                </w:r>
              </w:p>
              <w:p>
                <w:pPr>
                  <w:tabs>
                    <w:tab w:val="left" w:pos="662"/>
                  </w:tabs>
                  <w:ind w:left="30"/>
                  <w:jc w:val="both"/>
                  <w:rPr>
                    <w:szCs w:val="24"/>
                    <w:lang w:eastAsia="lt-LT"/>
                  </w:rPr>
                </w:pPr>
                <w:r>
                  <w:rPr>
                    <w:szCs w:val="24"/>
                    <w:lang w:eastAsia="lt-LT"/>
                  </w:rPr>
                  <w:t>9.2.3.</w:t>
                  <w:tab/>
                  <w:t>nekilnojamojo turto įsigijimo išlaidos;</w:t>
                </w:r>
              </w:p>
              <w:p>
                <w:pPr>
                  <w:tabs>
                    <w:tab w:val="left" w:pos="662"/>
                  </w:tabs>
                  <w:ind w:left="30"/>
                  <w:jc w:val="both"/>
                  <w:rPr>
                    <w:szCs w:val="24"/>
                    <w:lang w:eastAsia="lt-LT"/>
                  </w:rPr>
                </w:pPr>
                <w:r>
                  <w:rPr>
                    <w:szCs w:val="24"/>
                    <w:lang w:eastAsia="lt-LT"/>
                  </w:rPr>
                  <w:t>9.2.4.</w:t>
                  <w:tab/>
                  <w:t>paprastojo ir kapitalinio remonto išlaidos;</w:t>
                </w:r>
              </w:p>
              <w:p>
                <w:pPr>
                  <w:tabs>
                    <w:tab w:val="left" w:pos="662"/>
                  </w:tabs>
                  <w:ind w:left="30"/>
                  <w:jc w:val="both"/>
                  <w:rPr>
                    <w:szCs w:val="24"/>
                    <w:lang w:eastAsia="lt-LT"/>
                  </w:rPr>
                </w:pPr>
                <w:r>
                  <w:rPr>
                    <w:szCs w:val="24"/>
                    <w:lang w:eastAsia="lt-LT"/>
                  </w:rPr>
                  <w:t>9.2.5.</w:t>
                  <w:tab/>
                  <w:t>įrangos, įrenginių ir kito turto lizingo (finansinės nuomos) išlaidos;</w:t>
                </w:r>
              </w:p>
              <w:p>
                <w:pPr>
                  <w:tabs>
                    <w:tab w:val="left" w:pos="662"/>
                  </w:tabs>
                  <w:ind w:left="30"/>
                  <w:jc w:val="both"/>
                  <w:rPr>
                    <w:szCs w:val="24"/>
                    <w:lang w:eastAsia="lt-LT"/>
                  </w:rPr>
                </w:pPr>
                <w:r>
                  <w:rPr>
                    <w:szCs w:val="24"/>
                    <w:lang w:eastAsia="lt-LT"/>
                  </w:rPr>
                  <w:t>9.2.6.</w:t>
                  <w:tab/>
                  <w:t>įrangos, įrenginių ir kito turto atsarginių ir (arba) pakaitinių dalių įsigijimo išlaidos;</w:t>
                </w:r>
              </w:p>
              <w:p>
                <w:pPr>
                  <w:tabs>
                    <w:tab w:val="left" w:pos="662"/>
                  </w:tabs>
                  <w:ind w:left="30"/>
                  <w:jc w:val="both"/>
                  <w:rPr>
                    <w:szCs w:val="24"/>
                    <w:lang w:eastAsia="lt-LT"/>
                  </w:rPr>
                </w:pPr>
                <w:r>
                  <w:rPr>
                    <w:szCs w:val="24"/>
                    <w:lang w:eastAsia="lt-LT"/>
                  </w:rPr>
                  <w:t>9.2.7.</w:t>
                  <w:tab/>
                </w:r>
                <w:r>
                  <w:rPr>
                    <w:szCs w:val="24"/>
                  </w:rPr>
                  <w:t>transporto priemonių pirkimo, lizingo (finansinės nuomos), eksploatavimo ir susijusios išlaidos;</w:t>
                </w:r>
              </w:p>
              <w:p>
                <w:pPr>
                  <w:tabs>
                    <w:tab w:val="left" w:pos="662"/>
                  </w:tabs>
                  <w:ind w:left="30"/>
                  <w:jc w:val="both"/>
                  <w:rPr>
                    <w:szCs w:val="24"/>
                    <w:lang w:eastAsia="lt-LT"/>
                  </w:rPr>
                </w:pPr>
                <w:r>
                  <w:rPr>
                    <w:szCs w:val="24"/>
                    <w:lang w:eastAsia="lt-LT"/>
                  </w:rPr>
                  <w:t>9.2.8.</w:t>
                  <w:tab/>
                  <w:t>naudojamo ilgalaikio turto nusidėvėjimo (amortizacijos) sąnaudos;</w:t>
                </w:r>
              </w:p>
              <w:p>
                <w:pPr>
                  <w:tabs>
                    <w:tab w:val="left" w:pos="662"/>
                  </w:tabs>
                  <w:ind w:left="30"/>
                  <w:jc w:val="both"/>
                  <w:rPr>
                    <w:szCs w:val="24"/>
                    <w:lang w:eastAsia="lt-LT"/>
                  </w:rPr>
                </w:pPr>
                <w:r>
                  <w:rPr>
                    <w:szCs w:val="24"/>
                    <w:lang w:eastAsia="lt-LT"/>
                  </w:rPr>
                  <w:t>9.2.9.</w:t>
                  <w:tab/>
                  <w:t>PĮP parengimo ir projekto vykdymo išlaidos, išskyrus investicijų projekto parengimo išlaidas;</w:t>
                </w:r>
              </w:p>
              <w:p>
                <w:pPr>
                  <w:tabs>
                    <w:tab w:val="left" w:pos="750"/>
                  </w:tabs>
                  <w:ind w:left="30"/>
                  <w:jc w:val="both"/>
                  <w:rPr>
                    <w:szCs w:val="24"/>
                    <w:lang w:eastAsia="lt-LT"/>
                  </w:rPr>
                </w:pPr>
                <w:r>
                  <w:rPr>
                    <w:szCs w:val="24"/>
                    <w:lang w:eastAsia="lt-LT"/>
                  </w:rPr>
                  <w:t>9.2.10.</w:t>
                  <w:tab/>
                  <w:t>netiesioginės išlaidos ir kitos išlaidos pagal fiksuotąją projekto išlaidų normą;</w:t>
                </w:r>
              </w:p>
              <w:p>
                <w:pPr>
                  <w:tabs>
                    <w:tab w:val="left" w:pos="750"/>
                  </w:tabs>
                  <w:ind w:left="30"/>
                  <w:jc w:val="both"/>
                  <w:rPr>
                    <w:szCs w:val="24"/>
                    <w:lang w:eastAsia="lt-LT"/>
                  </w:rPr>
                </w:pPr>
                <w:r>
                  <w:rPr>
                    <w:szCs w:val="24"/>
                    <w:lang w:eastAsia="lt-LT"/>
                  </w:rPr>
                  <w:t>9.2.11.</w:t>
                  <w:tab/>
                  <w:t>išlaidos, susijusios su leidimų ir (arba) kitų dokumentų gavimu, kai už jų gavimą teisės aktų nustatyta tvarka yra atsakingas projekto vykdytojas ar partneris;</w:t>
                </w:r>
              </w:p>
              <w:p>
                <w:pPr>
                  <w:tabs>
                    <w:tab w:val="left" w:pos="750"/>
                  </w:tabs>
                  <w:ind w:left="30"/>
                  <w:jc w:val="both"/>
                  <w:rPr>
                    <w:szCs w:val="24"/>
                  </w:rPr>
                </w:pPr>
                <w:r>
                  <w:rPr>
                    <w:szCs w:val="24"/>
                  </w:rPr>
                  <w:t>9.2.12.</w:t>
                  <w:tab/>
                </w:r>
                <w:r>
                  <w:rPr>
                    <w:color w:val="000000"/>
                    <w:szCs w:val="24"/>
                    <w:shd w:val="clear" w:color="auto" w:fill="FFFFFF"/>
                  </w:rPr>
                  <w:t>baudos, bylinėjimosi išlaidos, delspinigiai</w:t>
                </w:r>
                <w:r>
                  <w:rPr>
                    <w:szCs w:val="24"/>
                    <w:lang w:eastAsia="lt-LT"/>
                  </w:rPr>
                  <w:t>.</w:t>
                </w:r>
              </w:p>
              <w:p>
                <w:pPr>
                  <w:tabs>
                    <w:tab w:val="left" w:pos="570"/>
                    <w:tab w:val="left" w:pos="739"/>
                  </w:tabs>
                  <w:ind w:left="30"/>
                  <w:jc w:val="both"/>
                  <w:rPr>
                    <w:szCs w:val="24"/>
                    <w:lang w:eastAsia="lt-LT"/>
                  </w:rPr>
                </w:pPr>
                <w:r>
                  <w:rPr>
                    <w:bCs/>
                    <w:szCs w:val="24"/>
                    <w:lang w:eastAsia="lt-LT"/>
                  </w:rPr>
                  <w:t>9.3.</w:t>
                  <w:tab/>
                </w:r>
                <w:r>
                  <w:rPr>
                    <w:szCs w:val="24"/>
                  </w:rPr>
                  <w:t>Didžiausia galima projekto finansuojamoji dalis sudaro iki 85 procentų visų tinkamų finansuoti projekto išlaidų.</w:t>
                </w:r>
                <w:r>
                  <w:rPr>
                    <w:szCs w:val="24"/>
                    <w:lang w:eastAsia="lt-LT"/>
                  </w:rPr>
                  <w:t xml:space="preserve"> Pareiškėjas privalo prisidėti prie projekto finansavimo ne mažiau kaip 15 procentų visų tinkamų finansuoti projekto išlaidų.</w:t>
                </w:r>
              </w:p>
              <w:p>
                <w:pPr>
                  <w:tabs>
                    <w:tab w:val="left" w:pos="570"/>
                  </w:tabs>
                  <w:ind w:left="30"/>
                  <w:jc w:val="both"/>
                  <w:rPr>
                    <w:szCs w:val="24"/>
                    <w:lang w:eastAsia="lt-LT"/>
                  </w:rPr>
                </w:pPr>
                <w:r>
                  <w:rPr>
                    <w:bCs/>
                    <w:szCs w:val="24"/>
                    <w:lang w:eastAsia="lt-LT"/>
                  </w:rPr>
                  <w:t>9.4.</w:t>
                  <w:tab/>
                </w:r>
                <w:r>
                  <w:rPr>
                    <w:szCs w:val="24"/>
                    <w:lang w:eastAsia="lt-LT"/>
                  </w:rPr>
                  <w:t xml:space="preserve">Projekto tinkamų finansuoti išlaidų dalis, kurios nepadengia projektui skiriamo finansavimo lėšos, taip pat visos netinkamos finansuoti išlaidos turi būti finansuojamos iš </w:t>
                </w:r>
                <w:r>
                  <w:rPr>
                    <w:color w:val="000000"/>
                    <w:szCs w:val="24"/>
                  </w:rPr>
                  <w:t xml:space="preserve">pareiškėjo </w:t>
                </w:r>
                <w:r>
                  <w:rPr>
                    <w:szCs w:val="24"/>
                    <w:lang w:eastAsia="lt-LT"/>
                  </w:rPr>
                  <w:t>lėšų.</w:t>
                </w:r>
              </w:p>
              <w:p>
                <w:pPr>
                  <w:tabs>
                    <w:tab w:val="left" w:pos="570"/>
                  </w:tabs>
                  <w:ind w:left="30"/>
                  <w:jc w:val="both"/>
                  <w:rPr>
                    <w:szCs w:val="24"/>
                    <w:lang w:eastAsia="lt-LT"/>
                  </w:rPr>
                </w:pPr>
                <w:r>
                  <w:rPr>
                    <w:bCs/>
                    <w:szCs w:val="24"/>
                    <w:lang w:eastAsia="lt-LT"/>
                  </w:rPr>
                  <w:t>9.5.</w:t>
                  <w:tab/>
                </w:r>
                <w:r>
                  <w:rPr>
                    <w:szCs w:val="24"/>
                    <w:lang w:eastAsia="lt-LT"/>
                  </w:rPr>
                  <w:t xml:space="preserve">Nepiniginis </w:t>
                </w:r>
                <w:r>
                  <w:rPr>
                    <w:color w:val="000000"/>
                    <w:szCs w:val="24"/>
                  </w:rPr>
                  <w:t xml:space="preserve">pareiškėjo </w:t>
                </w:r>
                <w:r>
                  <w:rPr>
                    <w:szCs w:val="24"/>
                    <w:lang w:eastAsia="lt-LT"/>
                  </w:rPr>
                  <w:t>ir (arba) partnerio įnašas laikomas netinkamomis finansuoti išlaidomis.</w:t>
                </w:r>
              </w:p>
              <w:p>
                <w:pPr>
                  <w:tabs>
                    <w:tab w:val="left" w:pos="482"/>
                  </w:tabs>
                  <w:ind w:left="30"/>
                  <w:jc w:val="both"/>
                  <w:rPr>
                    <w:szCs w:val="24"/>
                    <w:lang w:eastAsia="lt-LT"/>
                  </w:rPr>
                </w:pPr>
                <w:r>
                  <w:rPr>
                    <w:bCs/>
                    <w:szCs w:val="24"/>
                    <w:lang w:eastAsia="lt-LT"/>
                  </w:rPr>
                  <w:t>9.6.</w:t>
                  <w:tab/>
                </w:r>
                <w:r>
                  <w:rPr>
                    <w:szCs w:val="24"/>
                    <w:lang w:eastAsia="lt-LT"/>
                  </w:rPr>
                  <w:t>Pareiškėjas privalo savo lėšomis sumokėti statybos darbų išlaidas, susijusias su inžineriniais tinklais, kaip tai apibrėžta Statybos įstatyme, išskyrus šiuos atvejus:</w:t>
                </w:r>
              </w:p>
              <w:p>
                <w:pPr>
                  <w:tabs>
                    <w:tab w:val="left" w:pos="660"/>
                  </w:tabs>
                  <w:ind w:left="30"/>
                  <w:jc w:val="both"/>
                  <w:rPr>
                    <w:szCs w:val="24"/>
                    <w:lang w:eastAsia="lt-LT"/>
                  </w:rPr>
                </w:pPr>
                <w:r>
                  <w:rPr>
                    <w:szCs w:val="24"/>
                    <w:lang w:eastAsia="lt-LT"/>
                  </w:rPr>
                  <w:t>9.6.1.</w:t>
                  <w:tab/>
                  <w:t>kai inžineriniai tinklai patikėjimo teise ar nuosavybės teise priklauso pareiškėjui ir (arba) partneriui (-iams) ir yra būtini statiniuose vykstantiems technologiniams procesams ir technologinių įrenginių normaliam darbui užtikrinti;</w:t>
                </w:r>
              </w:p>
              <w:p>
                <w:pPr>
                  <w:tabs>
                    <w:tab w:val="left" w:pos="660"/>
                  </w:tabs>
                  <w:ind w:left="30"/>
                  <w:jc w:val="both"/>
                  <w:rPr>
                    <w:szCs w:val="24"/>
                    <w:lang w:eastAsia="lt-LT"/>
                  </w:rPr>
                </w:pPr>
                <w:r>
                  <w:rPr>
                    <w:szCs w:val="24"/>
                    <w:lang w:eastAsia="lt-LT"/>
                  </w:rPr>
                  <w:t>9.6.2.</w:t>
                  <w:tab/>
                  <w:t>kai inžineriniai tinklai yra kelio statiniai, kurie, vadovaujantis Lietuvos Respublikos kelių įstatymu, yra kelio sudėtinė dalis ir yra kelio juostoje, o pagrįstais atvejais – ir didesniame plote, kaip tai apibrėžta kelių techniniame reglamente KTR 1.01:2008 „Automobilių keliai“, patvirtintame Lietuvos Respublikos aplinkos ministro ir Lietuvos Respublikos susisiekimo ministro 2008 m. sausio 9 d. įsakymu Nr. D1-11/3-3 „Dėl kelių techninio reglamento KTR 1.01:2008 „Automobilių keliai“ patvirtinimo“.</w:t>
                </w:r>
              </w:p>
              <w:p>
                <w:pPr>
                  <w:tabs>
                    <w:tab w:val="left" w:pos="570"/>
                    <w:tab w:val="left" w:pos="739"/>
                  </w:tabs>
                  <w:ind w:left="30"/>
                  <w:jc w:val="both"/>
                  <w:rPr>
                    <w:szCs w:val="24"/>
                  </w:rPr>
                </w:pPr>
                <w:r>
                  <w:rPr>
                    <w:bCs/>
                    <w:szCs w:val="24"/>
                  </w:rPr>
                  <w:t>9.7.</w:t>
                  <w:tab/>
                </w:r>
                <w:r>
                  <w:rPr>
                    <w:color w:val="000000"/>
                    <w:szCs w:val="24"/>
                  </w:rPr>
                  <w:t>Pareiškėj</w:t>
                </w:r>
                <w:r>
                  <w:rPr>
                    <w:szCs w:val="24"/>
                  </w:rPr>
                  <w:t>o prašymu, išankstiniai (avansiniai) mokėjimai gali būti atliekami Projektų taisyklėse numatyta tvarka.</w:t>
                </w:r>
              </w:p>
              <w:p>
                <w:pPr>
                  <w:tabs>
                    <w:tab w:val="left" w:pos="570"/>
                  </w:tabs>
                  <w:ind w:left="30"/>
                  <w:jc w:val="both"/>
                  <w:rPr>
                    <w:i/>
                    <w:iCs/>
                    <w:szCs w:val="24"/>
                  </w:rPr>
                </w:pPr>
                <w:r>
                  <w:rPr>
                    <w:bCs/>
                    <w:szCs w:val="24"/>
                  </w:rPr>
                  <w:t>9.8.</w:t>
                  <w:tab/>
                </w:r>
                <w:r>
                  <w:rPr>
                    <w:szCs w:val="24"/>
                    <w:lang w:eastAsia="lt-LT"/>
                  </w:rPr>
                  <w:t>Pagal Aprašą kryžminis finansavimas netaikomas.</w:t>
                </w:r>
              </w:p>
              <w:p>
                <w:pPr>
                  <w:tabs>
                    <w:tab w:val="left" w:pos="570"/>
                  </w:tabs>
                  <w:ind w:left="30"/>
                  <w:jc w:val="both"/>
                  <w:rPr>
                    <w:b/>
                    <w:szCs w:val="24"/>
                  </w:rPr>
                </w:pPr>
                <w:r>
                  <w:rPr>
                    <w:bCs/>
                    <w:szCs w:val="24"/>
                  </w:rPr>
                  <w:t>9.9.</w:t>
                  <w:tab/>
                </w:r>
                <w:r>
                  <w:rPr>
                    <w:szCs w:val="24"/>
                  </w:rPr>
                  <w:t>Projektas gali būti finansuojamas iš daugiau kaip vieno Europos Sąjungos fondo, užtikrinant, kad tos pačios išlaidos nėra finansuojamos daugiau kaip vieną kartą.</w:t>
                </w:r>
              </w:p>
              <w:p>
                <w:pPr>
                  <w:tabs>
                    <w:tab w:val="left" w:pos="570"/>
                  </w:tabs>
                  <w:spacing w:line="259" w:lineRule="auto"/>
                  <w:ind w:left="30"/>
                  <w:jc w:val="both"/>
                  <w:rPr>
                    <w:b/>
                    <w:szCs w:val="24"/>
                  </w:rPr>
                </w:pPr>
              </w:p>
            </w:tc>
          </w:tr>
          <w:tr>
            <w:trPr>
              <w:trHeight w:val="349"/>
            </w:trPr>
            <w:tc>
              <w:tcPr>
                <w:tcW w:w="15848" w:type="dxa"/>
              </w:tcPr>
              <w:p>
                <w:pPr>
                  <w:jc w:val="both"/>
                  <w:rPr>
                    <w:szCs w:val="24"/>
                  </w:rPr>
                </w:pPr>
                <w:r>
                  <w:rPr>
                    <w:b/>
                    <w:szCs w:val="24"/>
                  </w:rPr>
                  <w:t>10. Projektų veiklų ir jungtinio projekto projektų įgyvendinimui taikomi supaprastintai apmokamų išlaidų dydžiai</w:t>
                </w:r>
              </w:p>
            </w:tc>
          </w:tr>
          <w:tr>
            <w:tc>
              <w:tcPr>
                <w:tcW w:w="15848" w:type="dxa"/>
              </w:tcPr>
              <w:tbl>
                <w:tblPr>
                  <w:tblW w:w="19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0"/>
                  <w:gridCol w:w="1620"/>
                  <w:gridCol w:w="1620"/>
                  <w:gridCol w:w="3966"/>
                  <w:gridCol w:w="6294"/>
                </w:tblGrid>
                <w:tr>
                  <w:tc>
                    <w:tcPr>
                      <w:tcW w:w="19280"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b/>
                          <w:bCs/>
                          <w:sz w:val="22"/>
                          <w:szCs w:val="22"/>
                        </w:rPr>
                        <w:t>[X] Indeksuojama</w:t>
                      </w:r>
                    </w:p>
                    <w:p>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tc>
                    <w:tcPr>
                      <w:tcW w:w="578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162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162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3966"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6294" w:type="dxa"/>
                      <w:tcBorders>
                        <w:top w:val="single" w:sz="8" w:space="0" w:color="auto"/>
                        <w:left w:val="single" w:sz="8" w:space="0" w:color="auto"/>
                        <w:bottom w:val="single" w:sz="8" w:space="0" w:color="auto"/>
                        <w:right w:val="single" w:sz="8" w:space="0" w:color="auto"/>
                      </w:tcBorders>
                      <w:vAlign w:val="center"/>
                    </w:tcPr>
                    <w:p>
                      <w:pPr>
                        <w:rPr>
                          <w:b/>
                          <w:bCs/>
                          <w:sz w:val="22"/>
                          <w:szCs w:val="22"/>
                        </w:rPr>
                      </w:pPr>
                      <w:r>
                        <w:rPr>
                          <w:b/>
                          <w:bCs/>
                          <w:sz w:val="22"/>
                          <w:szCs w:val="22"/>
                        </w:rPr>
                        <w:t>Papildoma informacija</w:t>
                      </w:r>
                    </w:p>
                  </w:tc>
                </w:tr>
                <w:tr>
                  <w:trPr>
                    <w:trHeight w:val="2895"/>
                  </w:trPr>
                  <w:tc>
                    <w:tcPr>
                      <w:tcW w:w="5780" w:type="dxa"/>
                      <w:vMerge w:val="restart"/>
                      <w:tcBorders>
                        <w:top w:val="single" w:sz="8" w:space="0" w:color="auto"/>
                        <w:left w:val="single" w:sz="8" w:space="0" w:color="auto"/>
                        <w:right w:val="single" w:sz="8" w:space="0" w:color="auto"/>
                      </w:tcBorders>
                    </w:tcPr>
                    <w:p>
                      <w:pPr>
                        <w:jc w:val="both"/>
                        <w:rPr>
                          <w:i/>
                          <w:iCs/>
                          <w:sz w:val="20"/>
                        </w:rPr>
                      </w:pPr>
                      <w:r>
                        <w:rPr>
                          <w:szCs w:val="24"/>
                        </w:rPr>
                        <w:t>Privalomos projektų matomumo ir informavimo apie projektus priemonės ir išlaidos</w:t>
                      </w:r>
                      <w:r>
                        <w:rPr>
                          <w:i/>
                          <w:iCs/>
                          <w:sz w:val="20"/>
                        </w:rPr>
                        <w:t>.</w:t>
                      </w:r>
                    </w:p>
                    <w:p>
                      <w:pPr>
                        <w:jc w:val="both"/>
                        <w:rPr>
                          <w:szCs w:val="24"/>
                          <w:lang w:eastAsia="lt-LT"/>
                        </w:rPr>
                      </w:pPr>
                      <w:r>
                        <w:rPr>
                          <w:szCs w:val="24"/>
                          <w:lang w:eastAsia="lt-LT"/>
                        </w:rPr>
                        <w:t>Fiksuotąją sumą sudaro visų antrojo privalomų matomumo ir informavimo priemonių rinkinio išlaidos, kai:</w:t>
                      </w:r>
                    </w:p>
                    <w:p>
                      <w:pPr>
                        <w:jc w:val="both"/>
                        <w:rPr>
                          <w:szCs w:val="24"/>
                          <w:lang w:eastAsia="lt-LT"/>
                        </w:rPr>
                      </w:pPr>
                      <w:r>
                        <w:rPr>
                          <w:szCs w:val="24"/>
                          <w:lang w:eastAsia="lt-LT"/>
                        </w:rPr>
                        <w:t>a) projekto įgyvendinimo pradžioje projekto vykdytojo oficialioje interneto svetainėje, jei tokia yra, ir socialinės žiniasklaidos svetainėse pateikta informacija – trumpas veiksmo, įskaitant jo tikslus ir rezultatus, aprašymas, proporcingas paramos dydžiui, bei informavimas apie iš Europos Sąjungos gaunamą finansinę paramą;</w:t>
                      </w:r>
                    </w:p>
                    <w:p>
                      <w:pPr>
                        <w:jc w:val="both"/>
                        <w:rPr>
                          <w:szCs w:val="24"/>
                          <w:lang w:eastAsia="lt-LT"/>
                        </w:rPr>
                      </w:pPr>
                      <w:r>
                        <w:rPr>
                          <w:szCs w:val="24"/>
                          <w:lang w:eastAsia="lt-LT"/>
                        </w:rPr>
                        <w:t>b) visuomenei arba dalyviams skirtuose dokumentuose ir komunikacijos medžiagoje, susijusioje su veiksmo įgyvendinimu, pateiktas gerai matomas pareiškimas, kuriame akcentuojama gaunama Europos Sąjungos parama;</w:t>
                      </w:r>
                    </w:p>
                    <w:p>
                      <w:pPr>
                        <w:jc w:val="both"/>
                        <w:rPr>
                          <w:i/>
                          <w:iCs/>
                          <w:sz w:val="20"/>
                        </w:rPr>
                      </w:pPr>
                      <w:r>
                        <w:rPr>
                          <w:szCs w:val="24"/>
                          <w:lang w:eastAsia="lt-LT"/>
                        </w:rPr>
                        <w:t>c) kai tik pradedami fiziškai vykdyti veiksmai, susiję su fizinėmis investicijomis, arba sumontuojama nupirkta įranga, visuomenei gerai matomoje vietoje iškabinamos ilgalaikės lentelės ar informacinės lentos su Europos Sąjungos emblema.</w:t>
                      </w:r>
                    </w:p>
                  </w:tc>
                  <w:tc>
                    <w:tcPr>
                      <w:tcW w:w="1620" w:type="dxa"/>
                      <w:tcBorders>
                        <w:top w:val="single" w:sz="8" w:space="0" w:color="auto"/>
                        <w:left w:val="single" w:sz="8" w:space="0" w:color="auto"/>
                        <w:bottom w:val="single" w:sz="8" w:space="0" w:color="auto"/>
                        <w:right w:val="single" w:sz="8" w:space="0" w:color="auto"/>
                      </w:tcBorders>
                    </w:tcPr>
                    <w:p>
                      <w:pPr>
                        <w:jc w:val="center"/>
                        <w:rPr>
                          <w:i/>
                          <w:iCs/>
                          <w:sz w:val="20"/>
                        </w:rPr>
                      </w:pPr>
                      <w:r>
                        <w:rPr>
                          <w:color w:val="000000"/>
                          <w:szCs w:val="24"/>
                          <w:lang w:eastAsia="lt-LT"/>
                        </w:rPr>
                        <w:t>FS-01-03</w:t>
                      </w:r>
                    </w:p>
                  </w:tc>
                  <w:tc>
                    <w:tcPr>
                      <w:tcW w:w="1620" w:type="dxa"/>
                      <w:tcBorders>
                        <w:top w:val="single" w:sz="8" w:space="0" w:color="auto"/>
                        <w:left w:val="single" w:sz="8" w:space="0" w:color="auto"/>
                        <w:right w:val="single" w:sz="8" w:space="0" w:color="auto"/>
                      </w:tcBorders>
                    </w:tcPr>
                    <w:p>
                      <w:pPr>
                        <w:jc w:val="center"/>
                        <w:rPr>
                          <w:i/>
                          <w:iCs/>
                          <w:sz w:val="20"/>
                        </w:rPr>
                      </w:pPr>
                      <w:r>
                        <w:rPr>
                          <w:szCs w:val="24"/>
                        </w:rPr>
                        <w:t>-</w:t>
                      </w:r>
                    </w:p>
                  </w:tc>
                  <w:tc>
                    <w:tcPr>
                      <w:tcW w:w="3966" w:type="dxa"/>
                      <w:tcBorders>
                        <w:top w:val="single" w:sz="8" w:space="0" w:color="auto"/>
                        <w:left w:val="single" w:sz="8" w:space="0" w:color="auto"/>
                        <w:right w:val="single" w:sz="8" w:space="0" w:color="auto"/>
                      </w:tcBorders>
                    </w:tcPr>
                    <w:p>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be PVM.</w:t>
                      </w:r>
                    </w:p>
                    <w:p>
                      <w:pPr>
                        <w:jc w:val="both"/>
                        <w:rPr>
                          <w:szCs w:val="24"/>
                        </w:rPr>
                      </w:pPr>
                    </w:p>
                  </w:tc>
                  <w:tc>
                    <w:tcPr>
                      <w:tcW w:w="6294" w:type="dxa"/>
                      <w:vMerge w:val="restart"/>
                      <w:tcBorders>
                        <w:top w:val="single" w:sz="8" w:space="0" w:color="auto"/>
                        <w:left w:val="single" w:sz="8" w:space="0" w:color="auto"/>
                        <w:right w:val="single" w:sz="8" w:space="0" w:color="auto"/>
                      </w:tcBorders>
                    </w:tcPr>
                    <w:p>
                      <w:pPr>
                        <w:ind w:right="3588"/>
                        <w:jc w:val="both"/>
                        <w:rPr>
                          <w:color w:val="000000"/>
                          <w:szCs w:val="24"/>
                          <w:lang w:eastAsia="lt-LT"/>
                        </w:rPr>
                      </w:pPr>
                      <w:r>
                        <w:rPr>
                          <w:color w:val="000000"/>
                          <w:szCs w:val="24"/>
                          <w:lang w:eastAsia="lt-LT"/>
                        </w:rPr>
                        <w:t xml:space="preserve">Fiksuotosios sumos skelbiamos svetainėje </w:t>
                      </w:r>
                      <w:r>
                        <w:rPr>
                          <w:i/>
                          <w:iCs/>
                          <w:color w:val="000000"/>
                          <w:szCs w:val="24"/>
                          <w:lang w:eastAsia="lt-LT"/>
                        </w:rPr>
                        <w:t>esinvesticijos.lt</w:t>
                      </w:r>
                      <w:r>
                        <w:rPr>
                          <w:color w:val="000000"/>
                          <w:szCs w:val="24"/>
                          <w:lang w:eastAsia="lt-LT"/>
                        </w:rPr>
                        <w:t xml:space="preserve"> (https://2021.esinvesticijos.lt/dokumentai/supaprastintai-apmokamu-islaidu-dydziu-registras)</w:t>
                      </w:r>
                    </w:p>
                  </w:tc>
                </w:tr>
                <w:tr>
                  <w:trPr>
                    <w:trHeight w:val="2895"/>
                  </w:trPr>
                  <w:tc>
                    <w:tcPr>
                      <w:tcW w:w="5780" w:type="dxa"/>
                      <w:vMerge/>
                      <w:tcBorders>
                        <w:left w:val="single" w:sz="8" w:space="0" w:color="auto"/>
                        <w:bottom w:val="single" w:sz="8" w:space="0" w:color="auto"/>
                        <w:right w:val="single" w:sz="8" w:space="0" w:color="auto"/>
                      </w:tcBorders>
                    </w:tcPr>
                    <w:p>
                      <w:pPr>
                        <w:jc w:val="both"/>
                        <w:rPr>
                          <w:szCs w:val="24"/>
                        </w:rPr>
                      </w:pPr>
                    </w:p>
                  </w:tc>
                  <w:tc>
                    <w:tcPr>
                      <w:tcW w:w="1620" w:type="dxa"/>
                      <w:tcBorders>
                        <w:top w:val="single" w:sz="8" w:space="0" w:color="auto"/>
                        <w:left w:val="single" w:sz="8" w:space="0" w:color="auto"/>
                        <w:bottom w:val="single" w:sz="8" w:space="0" w:color="auto"/>
                        <w:right w:val="single" w:sz="8" w:space="0" w:color="auto"/>
                      </w:tcBorders>
                    </w:tcPr>
                    <w:p>
                      <w:pPr>
                        <w:jc w:val="center"/>
                        <w:rPr>
                          <w:color w:val="000000"/>
                          <w:szCs w:val="24"/>
                          <w:lang w:eastAsia="lt-LT"/>
                        </w:rPr>
                      </w:pPr>
                      <w:r>
                        <w:rPr>
                          <w:color w:val="000000"/>
                          <w:szCs w:val="24"/>
                          <w:lang w:eastAsia="lt-LT"/>
                        </w:rPr>
                        <w:t>FS-01-04</w:t>
                      </w:r>
                    </w:p>
                  </w:tc>
                  <w:tc>
                    <w:tcPr>
                      <w:tcW w:w="1620" w:type="dxa"/>
                      <w:tcBorders>
                        <w:left w:val="single" w:sz="8" w:space="0" w:color="auto"/>
                        <w:bottom w:val="single" w:sz="8" w:space="0" w:color="auto"/>
                        <w:right w:val="single" w:sz="8" w:space="0" w:color="auto"/>
                      </w:tcBorders>
                    </w:tcPr>
                    <w:p>
                      <w:pPr>
                        <w:jc w:val="center"/>
                        <w:rPr>
                          <w:szCs w:val="24"/>
                        </w:rPr>
                      </w:pPr>
                      <w:r>
                        <w:rPr>
                          <w:szCs w:val="24"/>
                        </w:rPr>
                        <w:t>-</w:t>
                      </w:r>
                    </w:p>
                  </w:tc>
                  <w:tc>
                    <w:tcPr>
                      <w:tcW w:w="3966" w:type="dxa"/>
                      <w:tcBorders>
                        <w:left w:val="single" w:sz="8" w:space="0" w:color="auto"/>
                        <w:bottom w:val="single" w:sz="8" w:space="0" w:color="auto"/>
                        <w:right w:val="single" w:sz="8" w:space="0" w:color="auto"/>
                      </w:tcBorders>
                    </w:tcPr>
                    <w:p>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su PVM.</w:t>
                      </w:r>
                    </w:p>
                    <w:p>
                      <w:pPr>
                        <w:jc w:val="both"/>
                        <w:rPr>
                          <w:color w:val="000000"/>
                          <w:szCs w:val="24"/>
                          <w:lang w:eastAsia="lt-LT"/>
                        </w:rPr>
                      </w:pPr>
                    </w:p>
                  </w:tc>
                  <w:tc>
                    <w:tcPr>
                      <w:tcW w:w="6294" w:type="dxa"/>
                      <w:vMerge/>
                      <w:tcBorders>
                        <w:left w:val="single" w:sz="8" w:space="0" w:color="auto"/>
                        <w:bottom w:val="single" w:sz="8" w:space="0" w:color="auto"/>
                        <w:right w:val="single" w:sz="8" w:space="0" w:color="auto"/>
                      </w:tcBorders>
                    </w:tcPr>
                    <w:p>
                      <w:pPr>
                        <w:jc w:val="both"/>
                        <w:rPr>
                          <w:color w:val="000000"/>
                          <w:szCs w:val="24"/>
                          <w:lang w:eastAsia="lt-LT"/>
                        </w:rPr>
                      </w:pPr>
                    </w:p>
                  </w:tc>
                </w:tr>
              </w:tbl>
              <w:p>
                <w:pPr>
                  <w:jc w:val="both"/>
                  <w:rPr>
                    <w:i/>
                    <w:iCs/>
                  </w:rPr>
                </w:pPr>
              </w:p>
            </w:tc>
          </w:tr>
        </w:tbl>
        <w:sdt>
          <w:sdtPr>
            <w:alias w:val="pabaiga"/>
            <w:tag w:val="part_a0006625876a4cd4b58f1c5eabfd79b4"/>
            <w:lock w:val="sdtLocked"/>
            <w:richText/>
          </w:sdtPr>
          <w:sdtContent>
            <w:p>
              <w:pPr>
                <w:spacing w:line="276" w:lineRule="auto"/>
                <w:jc w:val="center"/>
                <w:rPr>
                  <w:rFonts w:eastAsia="Calibri"/>
                  <w:szCs w:val="24"/>
                </w:rPr>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1701" w:right="567" w:bottom="1134" w:left="1701" w:header="567" w:footer="567" w:gutter="0"/>
                  <w:cols w:space="1296"/>
                  <w:titlePg/>
                  <w:docGrid w:linePitch="360"/>
                </w:sectPr>
              </w:pPr>
              <w:r>
                <w:rPr>
                  <w:rFonts w:eastAsia="Calibri"/>
                  <w:szCs w:val="24"/>
                </w:rPr>
                <w:t>________________</w:t>
              </w:r>
            </w:p>
            <w:p>
              <w:pPr>
                <w:rPr>
                  <w:sz w:val="18"/>
                  <w:szCs w:val="18"/>
                </w:rPr>
              </w:pPr>
            </w:p>
            <w:p>
              <w:pPr>
                <w:tabs>
                  <w:tab w:val="center" w:pos="4819"/>
                  <w:tab w:val="right" w:pos="9638"/>
                </w:tabs>
                <w:rPr>
                  <w:sz w:val="22"/>
                  <w:szCs w:val="22"/>
                </w:rPr>
              </w:pPr>
            </w:p>
          </w:sdtContent>
        </w:sdt>
      </w:sdtContent>
    </w:sdt>
    <w:sdt>
      <w:sdtPr>
        <w:alias w:val="1 pr."/>
        <w:tag w:val="part_3e5df676d92943c6abd3e5a70dcf3616"/>
        <w:lock w:val="sdtLocked"/>
        <w:richText/>
      </w:sdtPr>
      <w:sdtContent>
        <w:p>
          <w:pPr>
            <w:ind w:left="9639"/>
            <w:jc w:val="both"/>
            <w:rPr>
              <w:szCs w:val="24"/>
              <w:lang w:eastAsia="lt-LT"/>
            </w:rPr>
          </w:pPr>
          <w:r>
            <w:rPr>
              <w:szCs w:val="24"/>
              <w:lang w:eastAsia="lt-LT"/>
            </w:rPr>
            <w:t xml:space="preserve">2022–2030 metų plėtros programos valdytojos Lietuvos Respublikos susisiekimo ministerijos susisiekimo plėtros programos pažangos priemonės </w:t>
          </w:r>
          <w:r>
            <w:rPr>
              <w:szCs w:val="24"/>
            </w:rPr>
            <w:t xml:space="preserve">Nr. 10-001-05-03-06 „Gerinti eismo saugą“ veiklų „Eismo kontrolės sistemų diegimas“ ir „Vieno lygio geležinkelio pervažų modernizavimas“ </w:t>
          </w:r>
          <w:r>
            <w:rPr>
              <w:szCs w:val="24"/>
              <w:lang w:eastAsia="lt-LT"/>
            </w:rPr>
            <w:t xml:space="preserve">projektų finansavimo sąlygų aprašo </w:t>
          </w:r>
        </w:p>
        <w:p>
          <w:pPr>
            <w:ind w:left="9639"/>
            <w:jc w:val="both"/>
            <w:rPr>
              <w:szCs w:val="24"/>
            </w:rPr>
          </w:pPr>
          <w:sdt>
            <w:sdtPr>
              <w:alias w:val="Numeris"/>
              <w:tag w:val="nr_3e5df676d92943c6abd3e5a70dcf3616"/>
              <w:lock w:val="sdtLocked"/>
              <w:richText/>
            </w:sdtPr>
            <w:sdtContent>
              <w:r>
                <w:rPr>
                  <w:szCs w:val="24"/>
                </w:rPr>
                <w:t>1</w:t>
              </w:r>
            </w:sdtContent>
          </w:sdt>
          <w:r>
            <w:rPr>
              <w:szCs w:val="24"/>
            </w:rPr>
            <w:t xml:space="preserve"> priedas</w:t>
          </w:r>
        </w:p>
        <w:p>
          <w:pPr>
            <w:jc w:val="center"/>
            <w:rPr>
              <w:i/>
              <w:iCs/>
              <w:szCs w:val="24"/>
            </w:rPr>
          </w:pPr>
        </w:p>
        <w:p>
          <w:pPr>
            <w:jc w:val="center"/>
            <w:rPr>
              <w:rFonts w:eastAsia="Calibri"/>
              <w:b/>
              <w:bCs/>
              <w:szCs w:val="24"/>
            </w:rPr>
          </w:pPr>
        </w:p>
        <w:p>
          <w:pPr>
            <w:jc w:val="center"/>
            <w:rPr>
              <w:rFonts w:eastAsia="Calibri"/>
              <w:b/>
              <w:bCs/>
              <w:szCs w:val="24"/>
            </w:rPr>
          </w:pPr>
          <w:sdt>
            <w:sdtPr>
              <w:alias w:val="Pavadinimas"/>
              <w:tag w:val="title_3e5df676d92943c6abd3e5a70dcf3616"/>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 xml:space="preserve">Ekonomikos gaivinimo ir atsparumo didinimo priemonė </w:t>
          </w:r>
        </w:p>
        <w:p>
          <w:pPr>
            <w:spacing w:line="276" w:lineRule="auto"/>
            <w:jc w:val="both"/>
            <w:rPr>
              <w:rFonts w:eastAsia="Calibri"/>
              <w:bCs/>
              <w:strike/>
              <w:szCs w:val="24"/>
            </w:rPr>
          </w:pPr>
          <w:r>
            <w:t>[X] Europos Sąjungos fondų i</w:t>
          </w:r>
          <w:r>
            <w:rPr>
              <w:rFonts w:eastAsia="Calibri"/>
              <w:bCs/>
              <w:szCs w:val="24"/>
            </w:rPr>
            <w:t xml:space="preserve">nvesticijų programa </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8088"/>
            <w:gridCol w:w="4752"/>
          </w:tblGrid>
          <w:tr>
            <w:tc>
              <w:tcPr>
                <w:tcW w:w="2009" w:type="dxa"/>
              </w:tcPr>
              <w:p>
                <w:pPr>
                  <w:jc w:val="center"/>
                  <w:rPr>
                    <w:rFonts w:eastAsia="Calibri"/>
                    <w:b/>
                    <w:szCs w:val="24"/>
                  </w:rPr>
                </w:pPr>
                <w:r>
                  <w:rPr>
                    <w:rFonts w:eastAsia="Calibri"/>
                    <w:b/>
                    <w:szCs w:val="24"/>
                  </w:rPr>
                  <w:t>Aplinkos tikslai</w:t>
                </w:r>
              </w:p>
            </w:tc>
            <w:tc>
              <w:tcPr>
                <w:tcW w:w="8088" w:type="dxa"/>
              </w:tcPr>
              <w:p>
                <w:pPr>
                  <w:jc w:val="center"/>
                  <w:rPr>
                    <w:rFonts w:eastAsia="Calibri"/>
                    <w:b/>
                    <w:szCs w:val="24"/>
                  </w:rPr>
                </w:pPr>
                <w:r>
                  <w:rPr>
                    <w:rFonts w:eastAsia="Calibri"/>
                    <w:b/>
                    <w:szCs w:val="24"/>
                  </w:rPr>
                  <w:t>Pagrindimas</w:t>
                </w:r>
              </w:p>
            </w:tc>
            <w:tc>
              <w:tcPr>
                <w:tcW w:w="4752" w:type="dxa"/>
              </w:tcPr>
              <w:p>
                <w:pPr>
                  <w:jc w:val="center"/>
                  <w:rPr>
                    <w:rFonts w:eastAsia="Calibri"/>
                    <w:i/>
                    <w:szCs w:val="24"/>
                  </w:rPr>
                </w:pPr>
                <w:r>
                  <w:rPr>
                    <w:rFonts w:eastAsia="Calibri"/>
                    <w:b/>
                    <w:szCs w:val="24"/>
                  </w:rPr>
                  <w:t>Pagrindimo dokumentai</w:t>
                </w:r>
              </w:p>
            </w:tc>
          </w:tr>
          <w:tr>
            <w:tc>
              <w:tcPr>
                <w:tcW w:w="2009" w:type="dxa"/>
              </w:tcPr>
              <w:p>
                <w:pPr>
                  <w:tabs>
                    <w:tab w:val="left" w:pos="289"/>
                  </w:tabs>
                  <w:ind w:firstLine="5"/>
                  <w:rPr>
                    <w:rFonts w:eastAsia="Calibri"/>
                    <w:szCs w:val="24"/>
                  </w:rPr>
                </w:pPr>
                <w:r>
                  <w:rPr>
                    <w:rFonts w:eastAsia="Calibri"/>
                    <w:szCs w:val="24"/>
                  </w:rPr>
                  <w:t>1.</w:t>
                  <w:tab/>
                  <w:t>Klimato kaitos švelninimas</w:t>
                </w:r>
              </w:p>
            </w:tc>
            <w:tc>
              <w:tcPr>
                <w:tcW w:w="8088" w:type="dxa"/>
              </w:tcPr>
              <w:p>
                <w:pPr>
                  <w:jc w:val="both"/>
                  <w:rPr>
                    <w:iCs/>
                    <w:szCs w:val="24"/>
                  </w:rPr>
                </w:pPr>
                <w:r>
                  <w:rPr>
                    <w:rFonts w:eastAsia="Calibri"/>
                    <w:bCs/>
                    <w:iCs/>
                    <w:szCs w:val="24"/>
                  </w:rPr>
                  <w:t>Į</w:t>
                </w:r>
                <w:r>
                  <w:rPr>
                    <w:bCs/>
                    <w:iCs/>
                    <w:szCs w:val="24"/>
                  </w:rPr>
                  <w:t xml:space="preserve">gyvendinant pagal 2022–2030 metų plėtros programos valdytojos Lietuvos Respublikos susisiekimo ministerijos susisiekimo plėtros programos pažangos priemonės </w:t>
                </w:r>
                <w:r>
                  <w:rPr>
                    <w:szCs w:val="24"/>
                  </w:rPr>
                  <w:t xml:space="preserve">Nr. 10-001-05-03-06 „Gerinti eismo saugą“ veiklų „Eismo kontrolės sistemų diegimas“ ir „Vieno lygio geležinkelio pervažų modernizavimas“ </w:t>
                </w:r>
                <w:r>
                  <w:rPr>
                    <w:bCs/>
                    <w:iCs/>
                    <w:szCs w:val="24"/>
                  </w:rPr>
                  <w:t>projektų finansavimo sąlygų aprašą finansuojamas veiklas</w:t>
                </w:r>
                <w:r>
                  <w:rPr>
                    <w:iCs/>
                    <w:szCs w:val="24"/>
                  </w:rPr>
                  <w:t xml:space="preserve"> bus investuojama į eismo saugos priemonių diegimą TEN-T tinklui priklausančiuose automobilių keliuose ir geležinkeliuose.</w:t>
                </w:r>
              </w:p>
              <w:p>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pPr>
                  <w:jc w:val="both"/>
                  <w:rPr>
                    <w:szCs w:val="24"/>
                  </w:rPr>
                </w:pPr>
                <w:r>
                  <w:rPr>
                    <w:szCs w:val="24"/>
                  </w:rPr>
                  <w:t xml:space="preserve">2. Pagal 2011 m. gruodžio 13 d. Europos Parlamento ir Tarybos direktyvą 2011/92/ES dėl tam tikrų valstybės ir privačių projektų poveikio aplinkai vertinimo bus atliktas poveikio aplinkai vertinimas (toliau – PAV) arba analizės </w:t>
                </w:r>
                <w:r>
                  <w:rPr>
                    <w:color w:val="000000"/>
                    <w:szCs w:val="24"/>
                  </w:rPr>
                  <w:t>procedūra, pagal kurią kompetentinga institucija nustato, ar turi būti atliekamas Direktyvos 2011/92/ES II priede išvardytų projektų PAV, kaip nurodyta Direktyvos 2011/92/ES 4 straipsnio 2 dalyje (toliau – analizė</w:t>
                </w:r>
                <w:r>
                  <w:rPr>
                    <w:szCs w:val="24"/>
                  </w:rPr>
                  <w:t>). Jei bus atliktas PAV, aplinkos apsaugos tikslais bus įgyvendintos reikiamos poveikio švelninimo ir kompensuojamosios priemonės.</w:t>
                </w:r>
              </w:p>
              <w:p>
                <w:pPr>
                  <w:jc w:val="both"/>
                  <w:rPr>
                    <w:rFonts w:eastAsia="Calibri"/>
                    <w:bCs/>
                    <w:i/>
                    <w:sz w:val="20"/>
                  </w:rPr>
                </w:pPr>
                <w:r>
                  <w:rPr>
                    <w:rFonts w:eastAsia="Calibri"/>
                  </w:rPr>
                  <w:t>Vertinama, kad planuojamos įgyvendinti veiklos neturi jokio numatomo poveikio šiam aplinkos tikslui arba numatomas jų poveikis yra nereikšmingas, t. y. nedaro tiesioginio ir pirminio netiesioginio poveikio per visą gyvavimo ciklą.</w:t>
                </w:r>
              </w:p>
            </w:tc>
            <w:tc>
              <w:tcPr>
                <w:tcW w:w="4752" w:type="dxa"/>
              </w:tcPr>
              <w:p>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pPr>
                  <w:tabs>
                    <w:tab w:val="left" w:pos="589"/>
                  </w:tabs>
                  <w:jc w:val="both"/>
                  <w:rPr>
                    <w:rFonts w:eastAsia="Calibri"/>
                    <w:sz w:val="20"/>
                  </w:rPr>
                </w:pPr>
                <w:r>
                  <w:rPr>
                    <w:bCs/>
                    <w:szCs w:val="24"/>
                  </w:rPr>
                  <w:t xml:space="preserve">2. Vadovaujantis Lietuvos Respublikos planuojamos ūkinės veiklos poveikio aplinkai vertinimo įstatymu, iki projekto įgyvendinimo plano (toliau – PĮP) pateikimo pareiškėjas turi būti atlikęs </w:t>
                </w:r>
                <w:r>
                  <w:t>PAV</w:t>
                </w:r>
                <w:r>
                  <w:rPr>
                    <w:bCs/>
                    <w:szCs w:val="24"/>
                  </w:rPr>
                  <w:t xml:space="preserve"> ir turi būti pateikti atsakingos institucijos galiojantys dokumentai (jeigu taikoma).</w:t>
                </w:r>
              </w:p>
            </w:tc>
          </w:tr>
          <w:tr>
            <w:tc>
              <w:tcPr>
                <w:tcW w:w="2009" w:type="dxa"/>
              </w:tcPr>
              <w:p>
                <w:pPr>
                  <w:tabs>
                    <w:tab w:val="left" w:pos="289"/>
                  </w:tabs>
                  <w:ind w:firstLine="5"/>
                  <w:rPr>
                    <w:rFonts w:eastAsia="Calibri"/>
                    <w:szCs w:val="24"/>
                  </w:rPr>
                </w:pPr>
                <w:r>
                  <w:rPr>
                    <w:rFonts w:eastAsia="Calibri"/>
                    <w:szCs w:val="24"/>
                  </w:rPr>
                  <w:t>2.</w:t>
                  <w:tab/>
                  <w:t>Prisitaikymas prie klimato kaitos</w:t>
                </w:r>
              </w:p>
            </w:tc>
            <w:tc>
              <w:tcPr>
                <w:tcW w:w="8088" w:type="dxa"/>
              </w:tcPr>
              <w:p>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pPr>
                  <w:jc w:val="both"/>
                  <w:rPr>
                    <w:szCs w:val="24"/>
                  </w:rPr>
                </w:pPr>
                <w:r>
                  <w:rPr>
                    <w:szCs w:val="24"/>
                  </w:rPr>
                  <w:t>2. Pagal Direktyvą 2011/92/ES bus atliktas PAV arba analizė, įgyvendintos reikiamos poveikio švelninimo ir kompensuojamosios priemonės.</w:t>
                </w:r>
              </w:p>
              <w:p>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prisitaikymo prie klimato kaitos tikslą ir neturės neigiamos įtakos žmonėms, gamtai ar turtui.</w:t>
                </w:r>
              </w:p>
            </w:tc>
            <w:tc>
              <w:tcPr>
                <w:tcW w:w="4752" w:type="dxa"/>
              </w:tcPr>
              <w:p>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pPr>
                  <w:jc w:val="both"/>
                  <w:rPr>
                    <w:rFonts w:eastAsia="Calibri"/>
                    <w:b/>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tc>
          </w:tr>
          <w:tr>
            <w:tc>
              <w:tcPr>
                <w:tcW w:w="2009" w:type="dxa"/>
              </w:tcPr>
              <w:p>
                <w:pPr>
                  <w:tabs>
                    <w:tab w:val="left" w:pos="289"/>
                  </w:tabs>
                  <w:ind w:firstLine="5"/>
                  <w:rPr>
                    <w:rFonts w:eastAsia="Calibri"/>
                    <w:szCs w:val="24"/>
                  </w:rPr>
                </w:pPr>
                <w:r>
                  <w:rPr>
                    <w:rFonts w:eastAsia="Calibri"/>
                    <w:szCs w:val="24"/>
                  </w:rPr>
                  <w:t>3.</w:t>
                  <w:tab/>
                  <w:t>Tausus vandens ir jūrų išteklių naudojimas ir apsauga</w:t>
                </w:r>
              </w:p>
            </w:tc>
            <w:tc>
              <w:tcPr>
                <w:tcW w:w="8088" w:type="dxa"/>
              </w:tcPr>
              <w:p>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pPr>
                  <w:jc w:val="both"/>
                  <w:rPr>
                    <w:szCs w:val="24"/>
                  </w:rPr>
                </w:pPr>
                <w:r>
                  <w:rPr>
                    <w:szCs w:val="24"/>
                  </w:rPr>
                  <w:t>2. Pagal Direktyvą 2011/92/ES bus atliktas PAV arba analizė, įgyvendintos reikiamos poveikio švelninimo ir kompensuojamosios priemonės.</w:t>
                </w:r>
              </w:p>
              <w:p>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4752" w:type="dxa"/>
              </w:tcPr>
              <w:p>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p>
              <w:p>
                <w:pPr>
                  <w:jc w:val="both"/>
                  <w:rPr>
                    <w:bCs/>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p>
                <w:pPr>
                  <w:jc w:val="both"/>
                  <w:rPr>
                    <w:rFonts w:eastAsia="Calibri"/>
                    <w:bCs/>
                    <w:szCs w:val="24"/>
                  </w:rPr>
                </w:pPr>
                <w:r>
                  <w:rPr>
                    <w:rFonts w:eastAsia="Calibri"/>
                    <w:bCs/>
                    <w:szCs w:val="24"/>
                  </w:rPr>
                  <w:t xml:space="preserve">3. </w:t>
                </w:r>
                <w:r>
                  <w:t xml:space="preserve">PĮP pateikiama informacija apie vietovę, kurioje rekonstruojama </w:t>
                </w:r>
                <w:r>
                  <w:rPr>
                    <w:rFonts w:eastAsia="Calibri"/>
                    <w:iCs/>
                    <w:szCs w:val="24"/>
                  </w:rPr>
                  <w:t xml:space="preserve">automobilių kelių arba </w:t>
                </w:r>
                <w:r>
                  <w:t>geležinkelių infrastruktūra, su vietovės žemėlapio kopijomis, įrodančiomis, kad neplanuojama statyti jokios infrastruktūros vandens telkinių apsaugos zonose, arti vandens telkinių, kur galėtų atsirasti neigiamas poveikis tausaus vandens ir jūrų išteklių naudojimui.</w:t>
                </w:r>
              </w:p>
            </w:tc>
          </w:tr>
          <w:tr>
            <w:tc>
              <w:tcPr>
                <w:tcW w:w="2009" w:type="dxa"/>
              </w:tcPr>
              <w:p>
                <w:pPr>
                  <w:tabs>
                    <w:tab w:val="left" w:pos="289"/>
                  </w:tabs>
                  <w:ind w:firstLine="5"/>
                  <w:rPr>
                    <w:rFonts w:eastAsia="Calibri"/>
                    <w:szCs w:val="24"/>
                  </w:rPr>
                </w:pPr>
                <w:r>
                  <w:rPr>
                    <w:rFonts w:eastAsia="Calibri"/>
                    <w:szCs w:val="24"/>
                  </w:rPr>
                  <w:t>4.</w:t>
                  <w:tab/>
                  <w:t>Perėjimas prie žiedinės ekonomikos, įskaitant atliekų prevenciją ir perdirbimą</w:t>
                </w:r>
              </w:p>
            </w:tc>
            <w:tc>
              <w:tcPr>
                <w:tcW w:w="8088" w:type="dxa"/>
              </w:tcPr>
              <w:p>
                <w:pPr>
                  <w:tabs>
                    <w:tab w:val="left" w:pos="520"/>
                  </w:tabs>
                  <w:jc w:val="both"/>
                  <w:rPr>
                    <w:rFonts w:eastAsia="Calibri"/>
                    <w:b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rFonts w:eastAsia="Calibri"/>
                    <w:iCs/>
                    <w:szCs w:val="24"/>
                  </w:rPr>
                  <w:t>P</w:t>
                </w:r>
                <w:r>
                  <w:rPr>
                    <w:iCs/>
                    <w:szCs w:val="24"/>
                  </w:rPr>
                  <w:t>l</w:t>
                </w:r>
                <w:r>
                  <w:rPr>
                    <w:szCs w:val="24"/>
                  </w:rPr>
                  <w:t xml:space="preserve">anuojama rekonstruoti infrastruktūra turės atitikti statybos techninių reglamentų bei kitų teisės aktų reikalavimus, </w:t>
                </w:r>
                <w:r>
                  <w:t>bus</w:t>
                </w:r>
                <w:r>
                  <w:rPr>
                    <w:szCs w:val="24"/>
                  </w:rPr>
                  <w:t xml:space="preserve"> užtikrinamas efektyvus atliekų susirinkimas, skatinamas atskirų dalių pakartotinis naudojimas, statytojams </w:t>
                </w:r>
                <w:r>
                  <w:t>bus</w:t>
                </w:r>
                <w:r>
                  <w:rPr>
                    <w:szCs w:val="24"/>
                  </w:rPr>
                  <w:t xml:space="preserve"> numatyti reikalavimai riboti atliekų susidarymą rangos darbų metu, taikyti naujausius metodus, pakartotinį medžiagų naudojimą ar perdirbimą, naudojantis pažangiomis statybinių atliekų rūšiavimo sistemomis.</w:t>
                </w:r>
              </w:p>
              <w:p>
                <w:pPr>
                  <w:jc w:val="both"/>
                  <w:rPr>
                    <w:iCs/>
                    <w:szCs w:val="24"/>
                  </w:rPr>
                </w:pPr>
                <w:r>
                  <w:rPr>
                    <w:iCs/>
                    <w:szCs w:val="24"/>
                  </w:rPr>
                  <w:t xml:space="preserve">Mažiausiai 70 procentų (pagal svorį) nepavojingų statybinių ir griovimo atliekų (išskyrus natūraliai atsirandančias medžiagas, nurodytas 2000 m. gegužės 3 d. Komisijos sprendimo 2000/532/EB, keičiančio sprendimą 94/3/EB, nustatantį atliekų sąrašą pagal Tarybos direktyvos 75/442/EEB dėl atliekų 1 straipsnio a dalį, ir Tarybos sprendimą 94/904/EB, nustatantį pavojingų atliekų sąrašą pagal Tarybos direktyvos 91/698/EEB dėl pavojingų medžiagų 1 straipsnio 4 dalį, 17 05 04 kategorijoje), statybvietėje susidarančios atliekos turėtų būti parengtos pakartotinai naudoti, perdirbti ar galimos panaudoti kitoms medžiagoms, įskaitant užpildymo operacijas, naudojant atliekas kitoms medžiagoms pakeisti, laikantis atliekų hierarchijos, nustatytos </w:t>
                </w:r>
                <w:r>
                  <w:t>2008 m. lapkričio 19 d. Europos Parlamento ir Tarybos direktyvoje 2008/98/EB dėl atliekų ir panaikinančioje kai kurias direktyvas,</w:t>
                </w:r>
                <w:r>
                  <w:rPr>
                    <w:iCs/>
                    <w:szCs w:val="24"/>
                  </w:rPr>
                  <w:t xml:space="preserve"> ir Europos Sąjungos statybos ir griovimo atliekų tvarkymo protokolo.</w:t>
                </w:r>
              </w:p>
              <w:p>
                <w:pPr>
                  <w:shd w:val="clear" w:color="auto" w:fill="FFFFFF"/>
                  <w:jc w:val="both"/>
                  <w:rPr>
                    <w:rFonts w:eastAsia="Calibri"/>
                    <w:iCs/>
                    <w:szCs w:val="24"/>
                  </w:rPr>
                </w:pPr>
                <w:r>
                  <w:rPr>
                    <w:iCs/>
                    <w:szCs w:val="24"/>
                  </w:rPr>
                  <w:t>Projekto vykdytojai, rangovai (subrangovai) bus įpareigoti riboti atliekų susidarymą procesuose, susijusiuose su statyba ir griovimu, laikydamiesi Europos Sąjungos statybos ir griovimo atliekų tvarkymo protokolo, atsižvelgdami į geriausius taikomus metodus ir naudodami selektyvų griovimą, kad būtų galima pašalinti ir saugiai tvarkyti pavojingas medžiagas ir palengvinti pakartotinį jų perdirbimą.</w:t>
                </w:r>
                <w:r>
                  <w:rPr>
                    <w:rFonts w:eastAsia="Calibri"/>
                    <w:iCs/>
                    <w:szCs w:val="24"/>
                  </w:rPr>
                  <w:t xml:space="preserve"> Statybinės atliekos Lietuvos Respublikos atliekų tvarkymo įstatymo ir kitų teisės aktų nustatyta tvarka bus perduodamos atliekų tvarkytojams, turintiems teisę tvarkyti tokias atliekas (</w:t>
                </w:r>
                <w:r>
                  <w:rPr>
                    <w:iCs/>
                    <w:szCs w:val="24"/>
                  </w:rPr>
                  <w:t xml:space="preserve">Atliekų tvarkymo įstatymo 4 straipsnio 1 dalis, Atliekų tvarkymo taisyklių, patvirtintų </w:t>
                </w:r>
                <w:r>
                  <w:rPr>
                    <w:rFonts w:eastAsia="Calibri"/>
                    <w:iCs/>
                    <w:szCs w:val="24"/>
                  </w:rPr>
                  <w:t xml:space="preserve">Lietuvos Respublikos aplinkos ministro </w:t>
                </w:r>
                <w:r>
                  <w:rPr>
                    <w:iCs/>
                    <w:szCs w:val="24"/>
                  </w:rPr>
                  <w:t xml:space="preserve">1999 m. liepos 14 d. </w:t>
                </w:r>
                <w:r>
                  <w:rPr>
                    <w:rFonts w:eastAsia="Calibri"/>
                    <w:iCs/>
                    <w:szCs w:val="24"/>
                  </w:rPr>
                  <w:t xml:space="preserve">įsakymu Nr. 217 „Dėl Atliekų tvarkymo taisyklių patvirtinimo“, </w:t>
                </w:r>
                <w:r>
                  <w:rPr>
                    <w:iCs/>
                    <w:szCs w:val="24"/>
                  </w:rPr>
                  <w:t>7 ir 9 punktai)</w:t>
                </w:r>
                <w:r>
                  <w:rPr>
                    <w:iCs/>
                    <w:szCs w:val="24"/>
                    <w:lang w:eastAsia="en-GB"/>
                  </w:rPr>
                  <w:t>.</w:t>
                </w:r>
                <w:r>
                  <w:rPr>
                    <w:rFonts w:eastAsia="Calibri"/>
                    <w:iCs/>
                    <w:szCs w:val="24"/>
                  </w:rPr>
                  <w:t xml:space="preserve"> Statybinių atliekų tvarkymo taisyklių, </w:t>
                </w:r>
                <w:r>
                  <w:rPr>
                    <w:iCs/>
                    <w:szCs w:val="24"/>
                  </w:rPr>
                  <w:t>patvirtintų Lietuvos Respublikos aplinkos ministro 2006 m. gruodžio 29 d. įsakymu Nr. D1-637 „Dėl Statybinių atliekų tvarkymo taisyklių patvirtinimo“, 7 punkte</w:t>
                </w:r>
                <w:r>
                  <w:rPr>
                    <w:rFonts w:eastAsia="Calibri"/>
                    <w:iCs/>
                    <w:szCs w:val="24"/>
                  </w:rPr>
                  <w:t xml:space="preserve"> nustatyta,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w:t>
                </w:r>
                <w:r>
                  <w:rPr>
                    <w:iCs/>
                    <w:szCs w:val="24"/>
                  </w:rPr>
                  <w:t>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w:t>
                </w:r>
                <w:r>
                  <w:rPr>
                    <w:iCs/>
                    <w:szCs w:val="24"/>
                    <w:bdr w:val="none" w:sz="0" w:space="0" w:color="auto" w:frame="1"/>
                    <w:lang w:eastAsia="lt-LT"/>
                  </w:rPr>
                  <w:t xml:space="preserve"> 43 punktas)</w:t>
                </w:r>
                <w:r>
                  <w:rPr>
                    <w:rFonts w:eastAsia="Calibri"/>
                    <w:iCs/>
                    <w:szCs w:val="24"/>
                  </w:rPr>
                  <w:t>. Tvarkant atliekas bus vadovaujamasi Europos Sąjungos geriausiais prieinamais gamybos būdais, taikomais apdorojant atliekas (</w:t>
                </w:r>
                <w:r>
                  <w:rPr>
                    <w:iCs/>
                    <w:szCs w:val="24"/>
                  </w:rPr>
                  <w:t>http://193.219.53.9/aaa/Anotacijos%20%28LT%29/atlieku%20apdorojimui.pdf)</w:t>
                </w:r>
                <w:r>
                  <w:rPr>
                    <w:rFonts w:eastAsia="Calibri"/>
                    <w:iCs/>
                    <w:szCs w:val="24"/>
                  </w:rPr>
                  <w:t>.</w:t>
                </w:r>
              </w:p>
              <w:p>
                <w:pPr>
                  <w:jc w:val="both"/>
                  <w:rPr>
                    <w:rFonts w:eastAsia="Calibri"/>
                    <w:b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žiedinės ekonomikos, įskaitant atliekų prevenciją ir perdirbimą, tikslą.</w:t>
                </w:r>
              </w:p>
            </w:tc>
            <w:tc>
              <w:tcPr>
                <w:tcW w:w="4752" w:type="dxa"/>
              </w:tcPr>
              <w:p>
                <w:pPr>
                  <w:tabs>
                    <w:tab w:val="left" w:pos="556"/>
                  </w:tabs>
                  <w:jc w:val="both"/>
                  <w:rPr>
                    <w:szCs w:val="24"/>
                  </w:rPr>
                </w:pPr>
                <w:r>
                  <w:rPr>
                    <w:szCs w:val="24"/>
                  </w:rPr>
                  <w:t>1. Pateikiama nuoroda į viešųjų pirkimų dokumentus, techninį projektą arba techninę specifikaciją (</w:t>
                </w:r>
                <w:r>
                  <w:rPr>
                    <w:color w:val="000000"/>
                    <w:szCs w:val="24"/>
                  </w:rPr>
                  <w:t xml:space="preserve">kai perkama įranga, rangos darbai kartu su projektavimo paslaugomis ir pan.), </w:t>
                </w:r>
                <w:r>
                  <w:rPr>
                    <w:szCs w:val="24"/>
                  </w:rPr>
                  <w:t>kuriuose numatyti reikalavimai dėl atliekų susidarymo, vadovaujantis Lietuvos Respublikos aplinkos ministro 2006 m. gruodžio 29 d. įsakymu Nr. D1-637 „Dėl Statybinių atliekų tvarkymo taisyklių patvirtinimo“ patvirtintomis Statybinių atliekų tvarkymo taisyklėmis, kurios aiškiai apibrėžia atliekų rūšiavimą statybvietėje.</w:t>
                </w:r>
              </w:p>
              <w:p>
                <w:pPr>
                  <w:jc w:val="both"/>
                  <w:rPr>
                    <w:rFonts w:eastAsia="Calibri"/>
                    <w:szCs w:val="24"/>
                  </w:rPr>
                </w:pPr>
              </w:p>
              <w:p>
                <w:pPr>
                  <w:jc w:val="both"/>
                  <w:rPr>
                    <w:rFonts w:eastAsia="Calibri"/>
                    <w:szCs w:val="24"/>
                  </w:rPr>
                </w:pPr>
                <w:r>
                  <w:rPr>
                    <w:rFonts w:eastAsia="Calibri"/>
                    <w:szCs w:val="24"/>
                  </w:rPr>
                  <w:t>2. Statybvietėje pildomas atliekų apskaitos žurnalas, tvarkoma susidariusių ir perduotų tvarkyti statybinių atliekų apskaita, nurodomas jų kiekis, rengiamos atliekų apskaitos ataskaitos.</w:t>
                </w:r>
              </w:p>
            </w:tc>
          </w:tr>
          <w:tr>
            <w:tc>
              <w:tcPr>
                <w:tcW w:w="2009" w:type="dxa"/>
              </w:tcPr>
              <w:p>
                <w:pPr>
                  <w:tabs>
                    <w:tab w:val="left" w:pos="289"/>
                  </w:tabs>
                  <w:ind w:firstLine="5"/>
                  <w:rPr>
                    <w:rFonts w:eastAsia="Calibri"/>
                    <w:szCs w:val="24"/>
                  </w:rPr>
                </w:pPr>
                <w:r>
                  <w:rPr>
                    <w:rFonts w:eastAsia="Calibri"/>
                    <w:szCs w:val="24"/>
                  </w:rPr>
                  <w:t>5.</w:t>
                  <w:tab/>
                </w:r>
                <w:r>
                  <w:rPr>
                    <w:rFonts w:eastAsia="Calibri"/>
                    <w:bCs/>
                    <w:szCs w:val="24"/>
                  </w:rPr>
                  <w:t>Oro, vandens ar žemės taršos prevencija ir kontrolė</w:t>
                </w:r>
              </w:p>
            </w:tc>
            <w:tc>
              <w:tcPr>
                <w:tcW w:w="8088" w:type="dxa"/>
              </w:tcPr>
              <w:p>
                <w:pPr>
                  <w:tabs>
                    <w:tab w:val="left" w:pos="520"/>
                  </w:tabs>
                  <w:jc w:val="both"/>
                  <w:rPr>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szCs w:val="24"/>
                  </w:rPr>
                  <w:t>R</w:t>
                </w:r>
                <w:r>
                  <w:rPr>
                    <w:rFonts w:eastAsia="Calibri"/>
                    <w:iCs/>
                    <w:szCs w:val="24"/>
                  </w:rPr>
                  <w:t xml:space="preserve">ekonstruojant infrastruktūrą bus </w:t>
                </w:r>
                <w:r>
                  <w:rPr>
                    <w:szCs w:val="24"/>
                  </w:rPr>
                  <w:t>naudojamos statybos techniniuose reglamentuose ir kituose teisės aktuose leistinos medžiagos, atitinkančios aplinkos apsaugos reikalavimus.</w:t>
                </w:r>
              </w:p>
              <w:p>
                <w:pPr>
                  <w:tabs>
                    <w:tab w:val="left" w:pos="520"/>
                  </w:tabs>
                  <w:jc w:val="both"/>
                  <w:rPr>
                    <w:szCs w:val="24"/>
                  </w:rPr>
                </w:pPr>
                <w:r>
                  <w:rPr>
                    <w:szCs w:val="24"/>
                  </w:rPr>
                  <w:t>Numatoma, kad:</w:t>
                </w:r>
              </w:p>
              <w:p>
                <w:pPr>
                  <w:tabs>
                    <w:tab w:val="left" w:pos="520"/>
                  </w:tabs>
                  <w:jc w:val="both"/>
                  <w:rPr>
                    <w:szCs w:val="24"/>
                    <w:highlight w:val="yellow"/>
                  </w:rPr>
                </w:pPr>
                <w:r>
                  <w:rPr>
                    <w:szCs w:val="24"/>
                  </w:rPr>
                  <w:t>1. Statybose naudojamose medžiagose ir komponentuose nebus asbesto ir labai didelį susirūpinimą keliančių medžiagų, nustatytų remiantis medžiagų, kurioms reikalingas leidimas, sąrašu, nurodytu</w:t>
                </w:r>
                <w:r>
                  <w:t xml:space="preserve"> </w:t>
                </w:r>
                <w:r>
                  <w:rPr>
                    <w:szCs w:val="24"/>
                  </w:rPr>
                  <w:t>2006 m. gruodžio 18 d. Europos Parlamento ir Tarybos reglamento (EB)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 XIV priede.</w:t>
                </w:r>
              </w:p>
              <w:p>
                <w:pPr>
                  <w:jc w:val="both"/>
                  <w:rPr>
                    <w:szCs w:val="24"/>
                  </w:rPr>
                </w:pPr>
                <w:r>
                  <w:rPr>
                    <w:szCs w:val="24"/>
                  </w:rPr>
                  <w:t xml:space="preserve">2. Tam tikrais atvejais, atsižvelgiant į paveiktos teritorijos jautrumą, visų pirma atsižvelgiant į gyventojų, kuriems daromas poveikis, skaičių, naudojant infrastruktūrą sukeliamas triukšmas ir vibracija švelninami atvirais grioviais, sienos užtvaromis ar kitomis priemonėmis ir jie turi atitikti </w:t>
                </w:r>
                <w:r>
                  <w:rPr>
                    <w:color w:val="000000"/>
                    <w:szCs w:val="24"/>
                  </w:rPr>
                  <w:t>2002 m. birželio 25 d. Europos Parlamento ir Tarybos direktyvą 2002/49/EB dėl aplinkos triukšmo įvertinimo ir valdymo</w:t>
                </w:r>
                <w:r>
                  <w:rPr>
                    <w:szCs w:val="24"/>
                  </w:rPr>
                  <w:t>. Imamasi priemonių, kuriomis mažinamas atliekant statybos ar techninės priežiūros darbus keliamas triukšmas ir susidarantis dulkių bei išmetamųjų teršalų kiekis.</w:t>
                </w:r>
              </w:p>
              <w:p>
                <w:pPr>
                  <w:jc w:val="both"/>
                  <w:rPr>
                    <w:i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oro, vandens ar žemės taršos prevencijos ir kontrolės tikslą.</w:t>
                </w:r>
              </w:p>
            </w:tc>
            <w:tc>
              <w:tcPr>
                <w:tcW w:w="4752" w:type="dxa"/>
              </w:tcPr>
              <w:p>
                <w:pPr>
                  <w:tabs>
                    <w:tab w:val="left" w:pos="460"/>
                  </w:tabs>
                  <w:ind w:left="35"/>
                  <w:jc w:val="both"/>
                  <w:rPr>
                    <w:rFonts w:eastAsia="Calibri"/>
                    <w:szCs w:val="24"/>
                  </w:rPr>
                </w:pPr>
                <w:r>
                  <w:t>1.</w:t>
                </w:r>
                <w:r>
                  <w:rPr>
                    <w:szCs w:val="24"/>
                  </w:rPr>
                  <w:t xml:space="preserve"> Pateikiama nuoroda į techninį projektą arba techninę specifikaciją (</w:t>
                </w:r>
                <w:r>
                  <w:rPr>
                    <w:color w:val="000000"/>
                    <w:szCs w:val="24"/>
                  </w:rPr>
                  <w:t xml:space="preserve">kai perkama įranga,  rangos darbai kartu su projektavimo paslaugomis ir pan.)</w:t>
                </w:r>
                <w:r>
                  <w:rPr>
                    <w:szCs w:val="24"/>
                  </w:rPr>
                  <w:t>, kuriuose patvirtinama, kad įgyvendinant projektą statybose naudojamose medžiagose nebus naudojama asbesto ir labai didelį susirūpinimą keliančių medžiagų.</w:t>
                </w:r>
              </w:p>
              <w:p>
                <w:pPr>
                  <w:ind w:left="35"/>
                  <w:jc w:val="both"/>
                  <w:rPr>
                    <w:rFonts w:eastAsia="Calibri"/>
                    <w:szCs w:val="24"/>
                  </w:rPr>
                </w:pPr>
                <w:r>
                  <w:rPr>
                    <w:rFonts w:eastAsia="Calibri"/>
                    <w:szCs w:val="24"/>
                  </w:rPr>
                  <w:t xml:space="preserve">2. </w:t>
                </w:r>
                <w:r>
                  <w:rPr>
                    <w:szCs w:val="24"/>
                  </w:rPr>
                  <w:t>Pateikiama nuoroda į techninį projektą arba techninę specifikaciją (</w:t>
                </w:r>
                <w:r>
                  <w:rPr>
                    <w:color w:val="000000"/>
                    <w:szCs w:val="24"/>
                  </w:rPr>
                  <w:t xml:space="preserve">kai perkama įranga,  rangos darbai kartu su projektavimo paslaugomis ir pan.)</w:t>
                </w:r>
                <w:r>
                  <w:rPr>
                    <w:szCs w:val="24"/>
                  </w:rPr>
                  <w:t>, kuriuose numatyti reikalavimai dėl triukšmo, dulkių kiekio mažinimo ir išmetamų teršalų kiekio suvaldymo, jei tokių būtų.</w:t>
                </w:r>
              </w:p>
            </w:tc>
          </w:tr>
          <w:tr>
            <w:tc>
              <w:tcPr>
                <w:tcW w:w="2009" w:type="dxa"/>
              </w:tcPr>
              <w:p>
                <w:pPr>
                  <w:tabs>
                    <w:tab w:val="left" w:pos="289"/>
                  </w:tabs>
                  <w:ind w:left="5" w:firstLine="5"/>
                  <w:rPr>
                    <w:rFonts w:eastAsia="Calibri"/>
                    <w:szCs w:val="24"/>
                  </w:rPr>
                </w:pPr>
                <w:r>
                  <w:rPr>
                    <w:rFonts w:eastAsia="Calibri"/>
                    <w:szCs w:val="24"/>
                  </w:rPr>
                  <w:t>6.</w:t>
                  <w:tab/>
                  <w:t>Biologinės įvairovės ir ekosistemų apsauga ir atkūrimas</w:t>
                </w:r>
              </w:p>
            </w:tc>
            <w:tc>
              <w:tcPr>
                <w:tcW w:w="8088" w:type="dxa"/>
              </w:tcPr>
              <w:p>
                <w:pPr>
                  <w:jc w:val="both"/>
                  <w:rPr>
                    <w:rFonts w:eastAsia="Calibri"/>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Iki PĮP pateikimo turi būti parengta informacija apie projektui taikomus aplinkosaugos reikalavimus:</w:t>
                </w:r>
              </w:p>
              <w:p>
                <w:pPr>
                  <w:jc w:val="both"/>
                  <w:rPr>
                    <w:szCs w:val="24"/>
                  </w:rPr>
                </w:pPr>
                <w:r>
                  <w:rPr>
                    <w:szCs w:val="24"/>
                  </w:rPr>
                  <w:t>1. Pagal Direktyvą 2011/92/ES bus atliktas PAV arba analizė, įgyvendintos reikiamos poveikio švelninimo ir kompensuojamosios priemonės.</w:t>
                </w:r>
              </w:p>
              <w:p>
                <w:pPr>
                  <w:jc w:val="both"/>
                  <w:rPr>
                    <w:rFonts w:eastAsia="Calibri"/>
                    <w:bCs/>
                    <w:szCs w:val="24"/>
                    <w:highlight w:val="yellow"/>
                  </w:rPr>
                </w:pPr>
                <w:r>
                  <w:rPr>
                    <w:szCs w:val="24"/>
                  </w:rPr>
                  <w:t>2. Bus atliktas atitinkamas vertinimas (</w:t>
                </w:r>
                <w:r>
                  <w:rPr>
                    <w:color w:val="000000"/>
                    <w:szCs w:val="24"/>
                  </w:rPr>
                  <w:t xml:space="preserve">pagal </w:t>
                </w:r>
                <w:r>
                  <w:rPr>
                    <w:szCs w:val="24"/>
                  </w:rPr>
                  <w:t>1992 m. gegužės 21 d. Tarybos direktyvą 92/43/EEB dėl natūralių buveinių ir laukinės faunos bei floros apsaugos</w:t>
                </w:r>
                <w:r>
                  <w:rPr>
                    <w:color w:val="000000"/>
                    <w:szCs w:val="24"/>
                  </w:rPr>
                  <w:t xml:space="preserve"> ir </w:t>
                </w:r>
                <w:r>
                  <w:rPr>
                    <w:szCs w:val="24"/>
                  </w:rPr>
                  <w:t xml:space="preserve">2009 m. lapkričio 30 d. Europos Parlamento ir Tarybos direktyvą 2009/147/EB dėl laukinių paukščių apsaugos) siekiant užtikrinti, kad </w:t>
                </w:r>
                <w:r>
                  <w:rPr>
                    <w:color w:val="000000"/>
                    <w:szCs w:val="24"/>
                  </w:rPr>
                  <w:t>veiklos neturėtų reikšmingo poveikio saugomos teritorijos apsaugos tikslams, p</w:t>
                </w:r>
                <w:r>
                  <w:rPr>
                    <w:szCs w:val="24"/>
                  </w:rPr>
                  <w:t>ažeidžiamos biologinės įvairovės vietovėse (įskaitant „Natura 2000“ saugomų teritorijų tinklą, UNESCO pasaulio paveldo objektus ir pagrindines biologinės įvairovės teritorijas, taip pat kitas saugomas teritorijas) arba šalia jų esančiose vietovėse, remiantis šio vertinimo išvadomis, įgyvendintos būtinos poveikio švelninimo priemonės.</w:t>
                </w:r>
              </w:p>
              <w:p>
                <w:pPr>
                  <w:jc w:val="both"/>
                  <w:rPr>
                    <w:i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biologinės įvairovės ir ekosistemų apsaugos ir atkūrimo tikslą.</w:t>
                </w:r>
              </w:p>
              <w:p>
                <w:pPr>
                  <w:jc w:val="both"/>
                  <w:rPr>
                    <w:rFonts w:eastAsia="Calibri"/>
                    <w:b/>
                    <w:szCs w:val="24"/>
                  </w:rPr>
                </w:pPr>
              </w:p>
            </w:tc>
            <w:tc>
              <w:tcPr>
                <w:tcW w:w="4752" w:type="dxa"/>
              </w:tcPr>
              <w:p>
                <w:pPr>
                  <w:ind w:left="30"/>
                  <w:jc w:val="both"/>
                  <w:rPr>
                    <w:szCs w:val="24"/>
                  </w:rPr>
                </w:pPr>
                <w:r>
                  <w:rPr>
                    <w:szCs w:val="24"/>
                  </w:rPr>
                  <w:t>1. Vadovaujantis Planuojamos ūkinės veiklos poveikio aplinkai vertinimo įstatymu, iki PĮP pateikimo pareiškėjas turi būti atlikęs PAV ir turi būti pateikti atsakingos institucijos galiojantys dokumentai (jeigu taikoma).</w:t>
                </w:r>
              </w:p>
              <w:p>
                <w:pPr>
                  <w:jc w:val="both"/>
                  <w:rPr>
                    <w:rFonts w:eastAsia="Calibri"/>
                    <w:szCs w:val="24"/>
                  </w:rPr>
                </w:pPr>
                <w:r>
                  <w:rPr>
                    <w:szCs w:val="24"/>
                  </w:rPr>
                  <w:t>2. Vadovaujantis Planų ar programų ir planuojamos ūkinės veiklos įgyvendinimo poveikio įsteigtoms ar potencialioms „Natura 2000“ teritorijoms reikšmingumo nustatymo tvarkos aprašo, patvirtinto Lietuvos Respublikos aplinkos ministro 2006 m. gegužės 22 d. įsakymu Nr. D1-255 „Dėl Planų ar programų ir planuojamos ūkinės veiklos įgyvendinimo poveikio įsteigtoms ar potencialioms „Natura 2000“ teritorijoms reikšmingumo nustatymo tvarkos aprašo patvirtinimo“, nuostatomis nustatytas poveikio „Natura 2000“ teritorijom reikšmingumas (jeigu taikoma).</w:t>
                </w:r>
              </w:p>
            </w:tc>
          </w:tr>
        </w:tbl>
        <w:p/>
        <w:sdt>
          <w:sdtPr>
            <w:alias w:val="pabaiga"/>
            <w:tag w:val="part_dbb49131a92c411c9cfa4fc8c94bea08"/>
            <w:lock w:val="sdtLocked"/>
            <w:richText/>
          </w:sdtPr>
          <w:sdtContent>
            <w:p>
              <w:pPr>
                <w:spacing w:line="276" w:lineRule="auto"/>
                <w:jc w:val="center"/>
                <w:rPr>
                  <w:rFonts w:ascii="Calibri" w:eastAsia="Calibri" w:hAnsi="Calibri"/>
                  <w:sz w:val="22"/>
                  <w:szCs w:val="22"/>
                  <w:u w:val="single"/>
                </w:rPr>
              </w:pPr>
              <w:r>
                <w:rPr>
                  <w:rFonts w:ascii="Calibri" w:eastAsia="Calibri" w:hAnsi="Calibri"/>
                  <w:sz w:val="22"/>
                  <w:szCs w:val="22"/>
                  <w:u w:val="single"/>
                </w:rPr>
                <w:t>________________</w:t>
              </w:r>
            </w:p>
            <w:p>
              <w:pPr>
                <w:spacing w:line="259" w:lineRule="auto"/>
                <w:rPr>
                  <w:rFonts w:ascii="Calibri" w:eastAsia="Calibri" w:hAnsi="Calibri"/>
                  <w:sz w:val="22"/>
                  <w:szCs w:val="22"/>
                  <w:u w:val="single"/>
                </w:rPr>
                <w:sectPr>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u w:val="single"/>
                </w:rPr>
                <w:br w:type="page"/>
              </w:r>
            </w:p>
            <w:p>
              <w:pPr>
                <w:rPr>
                  <w:sz w:val="14"/>
                  <w:szCs w:val="14"/>
                </w:rPr>
              </w:pPr>
            </w:p>
            <w:p>
              <w:pPr>
                <w:tabs>
                  <w:tab w:val="center" w:pos="4819"/>
                  <w:tab w:val="right" w:pos="9638"/>
                </w:tabs>
                <w:rPr>
                  <w:sz w:val="22"/>
                  <w:szCs w:val="22"/>
                </w:rPr>
              </w:pPr>
            </w:p>
          </w:sdtContent>
        </w:sdt>
      </w:sdtContent>
    </w:sdt>
    <w:sdt>
      <w:sdtPr>
        <w:alias w:val="2 pr."/>
        <w:tag w:val="part_f65dbd2017b44820a66ddd36fb9f0ab0"/>
        <w:lock w:val="sdtLocked"/>
        <w:richText/>
      </w:sdtPr>
      <w:sdtContent>
        <w:p>
          <w:pPr>
            <w:ind w:left="9360"/>
            <w:jc w:val="both"/>
          </w:pPr>
          <w:r>
            <w:rPr>
              <w:szCs w:val="24"/>
              <w:lang w:eastAsia="lt-LT"/>
            </w:rPr>
            <w:t xml:space="preserve">2022–2030 metų plėtros programos valdytojos Lietuvos Respublikos susisiekimo ministerijos susisiekimo plėtros programos pažangos priemonės </w:t>
          </w:r>
          <w:r>
            <w:rPr>
              <w:szCs w:val="24"/>
            </w:rPr>
            <w:t xml:space="preserve">Nr. 10-001-05-03-06 „Gerinti eismo saugą“ veiklų „Eismo kontrolės sistemų diegimas“ ir „Vieno lygio geležinkelio pervažų modernizavimas“ </w:t>
          </w:r>
          <w:r>
            <w:rPr>
              <w:szCs w:val="24"/>
              <w:lang w:eastAsia="lt-LT"/>
            </w:rPr>
            <w:t>projektų finansavimo sąlygų aprašo</w:t>
          </w:r>
        </w:p>
        <w:p>
          <w:pPr>
            <w:ind w:left="9360"/>
            <w:jc w:val="both"/>
          </w:pPr>
          <w:sdt>
            <w:sdtPr>
              <w:alias w:val="Numeris"/>
              <w:tag w:val="nr_f65dbd2017b44820a66ddd36fb9f0ab0"/>
              <w:lock w:val="sdtLocked"/>
              <w:richText/>
            </w:sdtPr>
            <w:sdtContent>
              <w:r>
                <w:rPr>
                  <w:szCs w:val="24"/>
                </w:rPr>
                <w:t>2</w:t>
              </w:r>
            </w:sdtContent>
          </w:sdt>
          <w:r>
            <w:rPr>
              <w:szCs w:val="24"/>
            </w:rPr>
            <w:t xml:space="preserve"> priedas</w:t>
          </w:r>
        </w:p>
        <w:p>
          <w:pPr>
            <w:spacing w:line="276" w:lineRule="auto"/>
            <w:jc w:val="center"/>
            <w:rPr>
              <w:szCs w:val="24"/>
            </w:rPr>
          </w:pPr>
        </w:p>
        <w:tbl>
          <w:tblPr>
            <w:tblW w:w="15435" w:type="dxa"/>
            <w:tblLayout w:type="fixed"/>
            <w:tblLook w:val="04A0" w:firstRow="1" w:lastRow="0" w:firstColumn="1" w:lastColumn="0" w:noHBand="0" w:noVBand="1"/>
          </w:tblPr>
          <w:tblGrid>
            <w:gridCol w:w="511"/>
            <w:gridCol w:w="1289"/>
            <w:gridCol w:w="1440"/>
            <w:gridCol w:w="1440"/>
            <w:gridCol w:w="1620"/>
            <w:gridCol w:w="1170"/>
            <w:gridCol w:w="30"/>
            <w:gridCol w:w="1320"/>
            <w:gridCol w:w="1080"/>
            <w:gridCol w:w="90"/>
            <w:gridCol w:w="1110"/>
            <w:gridCol w:w="150"/>
            <w:gridCol w:w="1170"/>
            <w:gridCol w:w="90"/>
            <w:gridCol w:w="990"/>
            <w:gridCol w:w="1080"/>
            <w:gridCol w:w="855"/>
          </w:tblGrid>
          <w:tr>
            <w:trPr>
              <w:gridAfter w:val="1"/>
              <w:wAfter w:w="855" w:type="dxa"/>
              <w:trHeight w:val="290"/>
            </w:trPr>
            <w:tc>
              <w:tcPr>
                <w:tcW w:w="14580" w:type="dxa"/>
                <w:gridSpan w:val="16"/>
                <w:tcBorders>
                  <w:top w:val="nil"/>
                  <w:left w:val="nil"/>
                  <w:bottom w:val="nil"/>
                  <w:right w:val="nil"/>
                </w:tcBorders>
                <w:shd w:val="clear" w:color="auto" w:fill="auto"/>
                <w:vAlign w:val="bottom"/>
                <w:hideMark/>
              </w:tcPr>
              <w:p>
                <w:pPr>
                  <w:jc w:val="center"/>
                  <w:rPr>
                    <w:b/>
                    <w:bCs/>
                    <w:color w:val="000000"/>
                    <w:szCs w:val="24"/>
                    <w:lang w:eastAsia="lt-LT"/>
                  </w:rPr>
                </w:pPr>
                <w:r>
                  <w:rPr>
                    <w:b/>
                    <w:bCs/>
                    <w:color w:val="000000"/>
                    <w:szCs w:val="24"/>
                    <w:lang w:eastAsia="lt-LT"/>
                  </w:rPr>
                  <w:t>PAŽYMA</w:t>
                </w:r>
              </w:p>
            </w:tc>
          </w:tr>
          <w:tr>
            <w:trPr>
              <w:gridAfter w:val="1"/>
              <w:wAfter w:w="855" w:type="dxa"/>
              <w:trHeight w:val="80"/>
            </w:trPr>
            <w:tc>
              <w:tcPr>
                <w:tcW w:w="511"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pPr>
                  <w:rPr>
                    <w:sz w:val="20"/>
                    <w:lang w:eastAsia="lt-LT"/>
                  </w:rPr>
                </w:pPr>
              </w:p>
            </w:tc>
            <w:tc>
              <w:tcPr>
                <w:tcW w:w="1440" w:type="dxa"/>
                <w:tcBorders>
                  <w:top w:val="nil"/>
                  <w:left w:val="nil"/>
                  <w:bottom w:val="nil"/>
                  <w:right w:val="nil"/>
                </w:tcBorders>
                <w:shd w:val="clear" w:color="auto" w:fill="auto"/>
                <w:noWrap/>
                <w:vAlign w:val="bottom"/>
                <w:hideMark/>
              </w:tcPr>
              <w:p>
                <w:pPr>
                  <w:rPr>
                    <w:sz w:val="20"/>
                    <w:lang w:eastAsia="lt-LT"/>
                  </w:rPr>
                </w:pPr>
              </w:p>
            </w:tc>
            <w:tc>
              <w:tcPr>
                <w:tcW w:w="1440" w:type="dxa"/>
                <w:tcBorders>
                  <w:top w:val="nil"/>
                  <w:left w:val="nil"/>
                  <w:bottom w:val="nil"/>
                  <w:right w:val="nil"/>
                </w:tcBorders>
                <w:shd w:val="clear" w:color="auto" w:fill="auto"/>
                <w:noWrap/>
                <w:vAlign w:val="bottom"/>
                <w:hideMark/>
              </w:tcPr>
              <w:p>
                <w:pPr>
                  <w:rPr>
                    <w:sz w:val="20"/>
                    <w:lang w:eastAsia="lt-LT"/>
                  </w:rPr>
                </w:pPr>
              </w:p>
            </w:tc>
            <w:tc>
              <w:tcPr>
                <w:tcW w:w="1620" w:type="dxa"/>
                <w:tcBorders>
                  <w:top w:val="nil"/>
                  <w:left w:val="nil"/>
                  <w:bottom w:val="nil"/>
                  <w:right w:val="nil"/>
                </w:tcBorders>
                <w:shd w:val="clear" w:color="auto" w:fill="auto"/>
                <w:noWrap/>
                <w:vAlign w:val="bottom"/>
                <w:hideMark/>
              </w:tcPr>
              <w:p>
                <w:pPr>
                  <w:rPr>
                    <w:sz w:val="20"/>
                    <w:lang w:eastAsia="lt-LT"/>
                  </w:rPr>
                </w:pPr>
              </w:p>
            </w:tc>
            <w:tc>
              <w:tcPr>
                <w:tcW w:w="1170" w:type="dxa"/>
                <w:tcBorders>
                  <w:top w:val="nil"/>
                  <w:left w:val="nil"/>
                  <w:bottom w:val="nil"/>
                  <w:right w:val="nil"/>
                </w:tcBorders>
                <w:shd w:val="clear" w:color="auto" w:fill="auto"/>
                <w:noWrap/>
                <w:vAlign w:val="bottom"/>
                <w:hideMark/>
              </w:tcPr>
              <w:p>
                <w:pPr>
                  <w:rPr>
                    <w:sz w:val="20"/>
                    <w:lang w:eastAsia="lt-LT"/>
                  </w:rPr>
                </w:pPr>
              </w:p>
            </w:tc>
            <w:tc>
              <w:tcPr>
                <w:tcW w:w="1350" w:type="dxa"/>
                <w:gridSpan w:val="2"/>
                <w:tcBorders>
                  <w:top w:val="nil"/>
                  <w:left w:val="nil"/>
                  <w:bottom w:val="nil"/>
                  <w:right w:val="nil"/>
                </w:tcBorders>
                <w:shd w:val="clear" w:color="auto" w:fill="auto"/>
                <w:noWrap/>
                <w:vAlign w:val="bottom"/>
                <w:hideMark/>
              </w:tcPr>
              <w:p>
                <w:pPr>
                  <w:rPr>
                    <w:szCs w:val="24"/>
                    <w:lang w:eastAsia="lt-LT"/>
                  </w:rPr>
                </w:pPr>
              </w:p>
            </w:tc>
            <w:tc>
              <w:tcPr>
                <w:tcW w:w="1170" w:type="dxa"/>
                <w:gridSpan w:val="2"/>
                <w:tcBorders>
                  <w:top w:val="nil"/>
                  <w:left w:val="nil"/>
                  <w:bottom w:val="nil"/>
                  <w:right w:val="nil"/>
                </w:tcBorders>
                <w:shd w:val="clear" w:color="auto" w:fill="auto"/>
                <w:noWrap/>
                <w:vAlign w:val="bottom"/>
                <w:hideMark/>
              </w:tcPr>
              <w:p>
                <w:pPr>
                  <w:rPr>
                    <w:sz w:val="20"/>
                    <w:lang w:eastAsia="lt-LT"/>
                  </w:rPr>
                </w:pPr>
              </w:p>
            </w:tc>
            <w:tc>
              <w:tcPr>
                <w:tcW w:w="1260" w:type="dxa"/>
                <w:gridSpan w:val="2"/>
                <w:tcBorders>
                  <w:top w:val="nil"/>
                  <w:left w:val="nil"/>
                  <w:bottom w:val="nil"/>
                  <w:right w:val="nil"/>
                </w:tcBorders>
                <w:shd w:val="clear" w:color="auto" w:fill="auto"/>
                <w:noWrap/>
                <w:vAlign w:val="bottom"/>
                <w:hideMark/>
              </w:tcPr>
              <w:p>
                <w:pPr>
                  <w:rPr>
                    <w:sz w:val="20"/>
                    <w:lang w:eastAsia="lt-LT"/>
                  </w:rPr>
                </w:pPr>
              </w:p>
            </w:tc>
            <w:tc>
              <w:tcPr>
                <w:tcW w:w="1260" w:type="dxa"/>
                <w:gridSpan w:val="2"/>
                <w:tcBorders>
                  <w:top w:val="nil"/>
                  <w:left w:val="nil"/>
                  <w:bottom w:val="nil"/>
                  <w:right w:val="nil"/>
                </w:tcBorders>
                <w:shd w:val="clear" w:color="auto" w:fill="auto"/>
                <w:noWrap/>
                <w:vAlign w:val="bottom"/>
                <w:hideMark/>
              </w:tcPr>
              <w:p>
                <w:pPr>
                  <w:rPr>
                    <w:sz w:val="20"/>
                    <w:lang w:eastAsia="lt-LT"/>
                  </w:rPr>
                </w:pPr>
              </w:p>
            </w:tc>
            <w:tc>
              <w:tcPr>
                <w:tcW w:w="990" w:type="dxa"/>
                <w:tcBorders>
                  <w:top w:val="nil"/>
                  <w:left w:val="nil"/>
                  <w:bottom w:val="nil"/>
                  <w:right w:val="nil"/>
                </w:tcBorders>
                <w:shd w:val="clear" w:color="auto" w:fill="auto"/>
                <w:noWrap/>
                <w:vAlign w:val="bottom"/>
                <w:hideMark/>
              </w:tcPr>
              <w:p>
                <w:pPr>
                  <w:rPr>
                    <w:sz w:val="20"/>
                    <w:lang w:eastAsia="lt-LT"/>
                  </w:rPr>
                </w:pPr>
              </w:p>
            </w:tc>
            <w:tc>
              <w:tcPr>
                <w:tcW w:w="1080" w:type="dxa"/>
                <w:tcBorders>
                  <w:top w:val="nil"/>
                  <w:left w:val="nil"/>
                  <w:bottom w:val="nil"/>
                  <w:right w:val="nil"/>
                </w:tcBorders>
                <w:shd w:val="clear" w:color="auto" w:fill="auto"/>
                <w:noWrap/>
                <w:vAlign w:val="bottom"/>
                <w:hideMark/>
              </w:tcPr>
              <w:p>
                <w:pPr>
                  <w:rPr>
                    <w:sz w:val="20"/>
                    <w:lang w:eastAsia="lt-LT"/>
                  </w:rPr>
                </w:pPr>
              </w:p>
            </w:tc>
          </w:tr>
          <w:tr>
            <w:trPr>
              <w:gridAfter w:val="1"/>
              <w:wAfter w:w="855" w:type="dxa"/>
              <w:trHeight w:val="290"/>
            </w:trPr>
            <w:tc>
              <w:tcPr>
                <w:tcW w:w="14580" w:type="dxa"/>
                <w:gridSpan w:val="16"/>
                <w:tcBorders>
                  <w:top w:val="nil"/>
                  <w:left w:val="nil"/>
                  <w:bottom w:val="nil"/>
                  <w:right w:val="nil"/>
                </w:tcBorders>
                <w:shd w:val="clear" w:color="auto" w:fill="auto"/>
                <w:noWrap/>
                <w:vAlign w:val="center"/>
                <w:hideMark/>
              </w:tcPr>
              <w:p>
                <w:pPr>
                  <w:jc w:val="center"/>
                  <w:rPr>
                    <w:b/>
                    <w:bCs/>
                    <w:color w:val="000000"/>
                    <w:szCs w:val="24"/>
                    <w:lang w:eastAsia="lt-LT"/>
                  </w:rPr>
                </w:pPr>
                <w:r>
                  <w:rPr>
                    <w:b/>
                    <w:bCs/>
                    <w:color w:val="000000"/>
                    <w:szCs w:val="24"/>
                    <w:lang w:eastAsia="lt-LT"/>
                  </w:rPr>
                  <w:t>DĖL PROJEKTO TINKAMŲ IR NETINKAMŲ IŠLAIDŲ DETALIZAVIMO</w:t>
                </w:r>
              </w:p>
            </w:tc>
          </w:tr>
          <w:tr>
            <w:trPr>
              <w:gridAfter w:val="1"/>
              <w:wAfter w:w="855" w:type="dxa"/>
              <w:trHeight w:val="126"/>
            </w:trPr>
            <w:tc>
              <w:tcPr>
                <w:tcW w:w="511" w:type="dxa"/>
                <w:tcBorders>
                  <w:top w:val="nil"/>
                  <w:left w:val="nil"/>
                  <w:bottom w:val="nil"/>
                  <w:right w:val="nil"/>
                </w:tcBorders>
                <w:shd w:val="clear" w:color="auto" w:fill="auto"/>
                <w:noWrap/>
                <w:vAlign w:val="bottom"/>
                <w:hideMark/>
              </w:tcPr>
              <w:p>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pPr>
                  <w:rPr>
                    <w:sz w:val="20"/>
                    <w:lang w:eastAsia="lt-LT"/>
                  </w:rPr>
                </w:pPr>
              </w:p>
            </w:tc>
            <w:tc>
              <w:tcPr>
                <w:tcW w:w="1440" w:type="dxa"/>
                <w:tcBorders>
                  <w:top w:val="nil"/>
                  <w:left w:val="nil"/>
                  <w:bottom w:val="nil"/>
                  <w:right w:val="nil"/>
                </w:tcBorders>
                <w:shd w:val="clear" w:color="auto" w:fill="auto"/>
                <w:noWrap/>
                <w:vAlign w:val="bottom"/>
                <w:hideMark/>
              </w:tcPr>
              <w:p>
                <w:pPr>
                  <w:rPr>
                    <w:sz w:val="20"/>
                    <w:lang w:eastAsia="lt-LT"/>
                  </w:rPr>
                </w:pPr>
              </w:p>
            </w:tc>
            <w:tc>
              <w:tcPr>
                <w:tcW w:w="1440" w:type="dxa"/>
                <w:tcBorders>
                  <w:top w:val="nil"/>
                  <w:left w:val="nil"/>
                  <w:bottom w:val="nil"/>
                  <w:right w:val="nil"/>
                </w:tcBorders>
                <w:shd w:val="clear" w:color="auto" w:fill="auto"/>
                <w:noWrap/>
                <w:vAlign w:val="bottom"/>
                <w:hideMark/>
              </w:tcPr>
              <w:p>
                <w:pPr>
                  <w:rPr>
                    <w:sz w:val="20"/>
                    <w:lang w:eastAsia="lt-LT"/>
                  </w:rPr>
                </w:pPr>
              </w:p>
            </w:tc>
            <w:tc>
              <w:tcPr>
                <w:tcW w:w="1620" w:type="dxa"/>
                <w:tcBorders>
                  <w:top w:val="nil"/>
                  <w:left w:val="nil"/>
                  <w:bottom w:val="nil"/>
                  <w:right w:val="nil"/>
                </w:tcBorders>
                <w:shd w:val="clear" w:color="auto" w:fill="auto"/>
                <w:noWrap/>
                <w:vAlign w:val="bottom"/>
                <w:hideMark/>
              </w:tcPr>
              <w:p>
                <w:pPr>
                  <w:rPr>
                    <w:sz w:val="20"/>
                    <w:lang w:eastAsia="lt-LT"/>
                  </w:rPr>
                </w:pPr>
              </w:p>
            </w:tc>
            <w:tc>
              <w:tcPr>
                <w:tcW w:w="1170" w:type="dxa"/>
                <w:tcBorders>
                  <w:top w:val="nil"/>
                  <w:left w:val="nil"/>
                  <w:bottom w:val="nil"/>
                  <w:right w:val="nil"/>
                </w:tcBorders>
                <w:shd w:val="clear" w:color="auto" w:fill="auto"/>
                <w:noWrap/>
                <w:vAlign w:val="bottom"/>
                <w:hideMark/>
              </w:tcPr>
              <w:p>
                <w:pPr>
                  <w:rPr>
                    <w:sz w:val="20"/>
                    <w:lang w:eastAsia="lt-LT"/>
                  </w:rPr>
                </w:pPr>
              </w:p>
            </w:tc>
            <w:tc>
              <w:tcPr>
                <w:tcW w:w="1350" w:type="dxa"/>
                <w:gridSpan w:val="2"/>
                <w:tcBorders>
                  <w:top w:val="nil"/>
                  <w:left w:val="nil"/>
                  <w:bottom w:val="nil"/>
                  <w:right w:val="nil"/>
                </w:tcBorders>
                <w:shd w:val="clear" w:color="auto" w:fill="auto"/>
                <w:noWrap/>
                <w:vAlign w:val="bottom"/>
                <w:hideMark/>
              </w:tcPr>
              <w:p>
                <w:pPr>
                  <w:rPr>
                    <w:sz w:val="20"/>
                    <w:lang w:eastAsia="lt-LT"/>
                  </w:rPr>
                </w:pPr>
              </w:p>
            </w:tc>
            <w:tc>
              <w:tcPr>
                <w:tcW w:w="1170" w:type="dxa"/>
                <w:gridSpan w:val="2"/>
                <w:tcBorders>
                  <w:top w:val="nil"/>
                  <w:left w:val="nil"/>
                  <w:bottom w:val="nil"/>
                  <w:right w:val="nil"/>
                </w:tcBorders>
                <w:shd w:val="clear" w:color="auto" w:fill="auto"/>
                <w:noWrap/>
                <w:vAlign w:val="bottom"/>
                <w:hideMark/>
              </w:tcPr>
              <w:p>
                <w:pPr>
                  <w:rPr>
                    <w:sz w:val="20"/>
                    <w:lang w:eastAsia="lt-LT"/>
                  </w:rPr>
                </w:pPr>
              </w:p>
            </w:tc>
            <w:tc>
              <w:tcPr>
                <w:tcW w:w="1260" w:type="dxa"/>
                <w:gridSpan w:val="2"/>
                <w:tcBorders>
                  <w:top w:val="nil"/>
                  <w:left w:val="nil"/>
                  <w:bottom w:val="nil"/>
                  <w:right w:val="nil"/>
                </w:tcBorders>
                <w:shd w:val="clear" w:color="auto" w:fill="auto"/>
                <w:noWrap/>
                <w:vAlign w:val="bottom"/>
                <w:hideMark/>
              </w:tcPr>
              <w:p>
                <w:pPr>
                  <w:rPr>
                    <w:sz w:val="20"/>
                    <w:lang w:eastAsia="lt-LT"/>
                  </w:rPr>
                </w:pPr>
              </w:p>
            </w:tc>
            <w:tc>
              <w:tcPr>
                <w:tcW w:w="1260" w:type="dxa"/>
                <w:gridSpan w:val="2"/>
                <w:tcBorders>
                  <w:top w:val="nil"/>
                  <w:left w:val="nil"/>
                  <w:bottom w:val="nil"/>
                  <w:right w:val="nil"/>
                </w:tcBorders>
                <w:shd w:val="clear" w:color="auto" w:fill="auto"/>
                <w:noWrap/>
                <w:vAlign w:val="bottom"/>
                <w:hideMark/>
              </w:tcPr>
              <w:p>
                <w:pPr>
                  <w:rPr>
                    <w:sz w:val="20"/>
                    <w:lang w:eastAsia="lt-LT"/>
                  </w:rPr>
                </w:pPr>
              </w:p>
            </w:tc>
            <w:tc>
              <w:tcPr>
                <w:tcW w:w="990" w:type="dxa"/>
                <w:tcBorders>
                  <w:top w:val="nil"/>
                  <w:left w:val="nil"/>
                  <w:bottom w:val="nil"/>
                  <w:right w:val="nil"/>
                </w:tcBorders>
                <w:shd w:val="clear" w:color="auto" w:fill="auto"/>
                <w:noWrap/>
                <w:vAlign w:val="bottom"/>
                <w:hideMark/>
              </w:tcPr>
              <w:p>
                <w:pPr>
                  <w:rPr>
                    <w:sz w:val="20"/>
                    <w:lang w:eastAsia="lt-LT"/>
                  </w:rPr>
                </w:pPr>
              </w:p>
            </w:tc>
            <w:tc>
              <w:tcPr>
                <w:tcW w:w="1080" w:type="dxa"/>
                <w:tcBorders>
                  <w:top w:val="nil"/>
                  <w:left w:val="nil"/>
                  <w:bottom w:val="nil"/>
                  <w:right w:val="nil"/>
                </w:tcBorders>
                <w:shd w:val="clear" w:color="auto" w:fill="auto"/>
                <w:noWrap/>
                <w:vAlign w:val="bottom"/>
                <w:hideMark/>
              </w:tcPr>
              <w:p>
                <w:pPr>
                  <w:rPr>
                    <w:sz w:val="20"/>
                    <w:lang w:eastAsia="lt-LT"/>
                  </w:rPr>
                </w:pPr>
              </w:p>
            </w:tc>
          </w:tr>
          <w:tr>
            <w:trPr>
              <w:gridAfter w:val="1"/>
              <w:wAfter w:w="855" w:type="dxa"/>
              <w:trHeight w:val="1370"/>
            </w:trPr>
            <w:tc>
              <w:tcPr>
                <w:tcW w:w="511" w:type="dxa"/>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Eil. Nr.</w:t>
                </w:r>
              </w:p>
            </w:tc>
            <w:tc>
              <w:tcPr>
                <w:tcW w:w="1289"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 xml:space="preserve">Pareiškėjas / partneris </w:t>
                  <w:br/>
                  <w:t>(-iai)</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Išlaidų kategorijos pavadinimas</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Pavadinimas (sutarties Nr. / pirkimo objektas)</w:t>
                </w:r>
              </w:p>
            </w:tc>
            <w:tc>
              <w:tcPr>
                <w:tcW w:w="162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pPr>
                  <w:jc w:val="center"/>
                  <w:rPr>
                    <w:b/>
                    <w:bCs/>
                    <w:color w:val="000000"/>
                    <w:sz w:val="20"/>
                    <w:lang w:eastAsia="lt-LT"/>
                  </w:rPr>
                </w:pPr>
                <w:r>
                  <w:rPr>
                    <w:b/>
                    <w:bCs/>
                    <w:color w:val="000000"/>
                    <w:sz w:val="20"/>
                    <w:lang w:eastAsia="lt-LT"/>
                  </w:rPr>
                  <w:t>Žiniaraščio pavadinimas / eil. Nr.</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Tinkamos</w:t>
                </w:r>
              </w:p>
              <w:p>
                <w:pPr>
                  <w:jc w:val="center"/>
                  <w:rPr>
                    <w:b/>
                    <w:bCs/>
                    <w:color w:val="000000"/>
                    <w:sz w:val="20"/>
                    <w:lang w:eastAsia="lt-LT"/>
                  </w:rPr>
                </w:pPr>
                <w:r>
                  <w:rPr>
                    <w:b/>
                    <w:bCs/>
                    <w:color w:val="000000"/>
                    <w:sz w:val="20"/>
                    <w:lang w:eastAsia="lt-LT"/>
                  </w:rPr>
                  <w:t>finansuoti išlaidos, Eur be PVM</w:t>
                </w:r>
              </w:p>
            </w:tc>
            <w:tc>
              <w:tcPr>
                <w:tcW w:w="132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Netinkamos finansuoti išlaidos, Eur be PVM</w:t>
                </w:r>
              </w:p>
            </w:tc>
            <w:tc>
              <w:tcPr>
                <w:tcW w:w="108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pPr>
                  <w:jc w:val="center"/>
                  <w:rPr>
                    <w:b/>
                    <w:bCs/>
                    <w:color w:val="000000"/>
                    <w:sz w:val="20"/>
                    <w:lang w:eastAsia="lt-LT"/>
                  </w:rPr>
                </w:pPr>
                <w:r>
                  <w:rPr>
                    <w:b/>
                    <w:bCs/>
                    <w:color w:val="000000"/>
                    <w:sz w:val="20"/>
                    <w:lang w:eastAsia="lt-LT"/>
                  </w:rPr>
                  <w:t>Iš viso, Eur be PVM</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Tinkamos finansuoti išlaidos, Eur su PVM</w:t>
                </w:r>
              </w:p>
            </w:tc>
            <w:tc>
              <w:tcPr>
                <w:tcW w:w="1320" w:type="dxa"/>
                <w:gridSpan w:val="2"/>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pPr>
                  <w:jc w:val="center"/>
                  <w:rPr>
                    <w:b/>
                    <w:bCs/>
                    <w:color w:val="000000"/>
                    <w:sz w:val="20"/>
                    <w:lang w:eastAsia="lt-LT"/>
                  </w:rPr>
                </w:pPr>
                <w:r>
                  <w:rPr>
                    <w:b/>
                    <w:bCs/>
                    <w:color w:val="000000"/>
                    <w:sz w:val="20"/>
                    <w:lang w:eastAsia="lt-LT"/>
                  </w:rPr>
                  <w:t>Netinkamos finansuoti išlaidos, Eur su PVM</w:t>
                </w:r>
              </w:p>
            </w:tc>
            <w:tc>
              <w:tcPr>
                <w:tcW w:w="1080" w:type="dxa"/>
                <w:gridSpan w:val="2"/>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pPr>
                  <w:jc w:val="center"/>
                  <w:rPr>
                    <w:b/>
                    <w:bCs/>
                    <w:color w:val="000000"/>
                    <w:sz w:val="20"/>
                    <w:lang w:eastAsia="lt-LT"/>
                  </w:rPr>
                </w:pPr>
                <w:r>
                  <w:rPr>
                    <w:b/>
                    <w:bCs/>
                    <w:color w:val="000000"/>
                    <w:sz w:val="20"/>
                    <w:lang w:eastAsia="lt-LT"/>
                  </w:rPr>
                  <w:t>Iš viso, Eur su PVM</w:t>
                </w:r>
              </w:p>
            </w:tc>
            <w:tc>
              <w:tcPr>
                <w:tcW w:w="1080"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
              <w:p>
                <w:pPr>
                  <w:jc w:val="center"/>
                  <w:rPr>
                    <w:b/>
                    <w:bCs/>
                    <w:color w:val="000000"/>
                    <w:sz w:val="20"/>
                    <w:lang w:eastAsia="lt-LT"/>
                  </w:rPr>
                </w:pPr>
                <w:r>
                  <w:rPr>
                    <w:b/>
                    <w:bCs/>
                    <w:color w:val="000000"/>
                    <w:sz w:val="20"/>
                    <w:lang w:eastAsia="lt-LT"/>
                  </w:rPr>
                  <w:t>Pastabos</w:t>
                </w:r>
              </w:p>
            </w:tc>
          </w:tr>
          <w:tr>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pPr>
                  <w:rPr>
                    <w:b/>
                    <w:bCs/>
                    <w:color w:val="000000"/>
                    <w:sz w:val="20"/>
                    <w:lang w:eastAsia="lt-LT"/>
                  </w:rPr>
                </w:pPr>
              </w:p>
            </w:tc>
            <w:tc>
              <w:tcPr>
                <w:tcW w:w="855" w:type="dxa"/>
                <w:tcBorders>
                  <w:top w:val="nil"/>
                  <w:left w:val="nil"/>
                  <w:bottom w:val="nil"/>
                  <w:right w:val="nil"/>
                </w:tcBorders>
                <w:shd w:val="clear" w:color="auto" w:fill="auto"/>
                <w:noWrap/>
                <w:vAlign w:val="bottom"/>
              </w:tcPr>
              <w:p>
                <w:pPr>
                  <w:jc w:val="center"/>
                  <w:rPr>
                    <w:b/>
                    <w:bCs/>
                    <w:color w:val="000000"/>
                    <w:sz w:val="20"/>
                    <w:lang w:eastAsia="lt-LT"/>
                  </w:rPr>
                </w:pPr>
              </w:p>
            </w:tc>
          </w:tr>
          <w:tr>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pPr>
                  <w:rPr>
                    <w:b/>
                    <w:bCs/>
                    <w:color w:val="000000"/>
                    <w:sz w:val="20"/>
                    <w:lang w:eastAsia="lt-LT"/>
                  </w:rPr>
                </w:pPr>
              </w:p>
            </w:tc>
            <w:tc>
              <w:tcPr>
                <w:tcW w:w="855" w:type="dxa"/>
                <w:tcBorders>
                  <w:top w:val="nil"/>
                  <w:left w:val="nil"/>
                  <w:bottom w:val="nil"/>
                  <w:right w:val="nil"/>
                </w:tcBorders>
                <w:shd w:val="clear" w:color="auto" w:fill="auto"/>
                <w:noWrap/>
                <w:vAlign w:val="bottom"/>
                <w:hideMark/>
              </w:tcPr>
              <w:p>
                <w:pPr>
                  <w:rPr>
                    <w:sz w:val="20"/>
                    <w:lang w:eastAsia="lt-LT"/>
                  </w:rPr>
                </w:pPr>
              </w:p>
            </w:tc>
          </w:tr>
          <w:tr>
            <w:trPr>
              <w:trHeight w:val="30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pPr>
                  <w:jc w:val="center"/>
                  <w:rPr>
                    <w:color w:val="000000"/>
                    <w:sz w:val="20"/>
                    <w:lang w:eastAsia="lt-LT"/>
                  </w:rPr>
                </w:pPr>
                <w:r>
                  <w:rPr>
                    <w:color w:val="000000"/>
                    <w:sz w:val="20"/>
                    <w:lang w:eastAsia="lt-LT"/>
                  </w:rPr>
                  <w:t>1.</w:t>
                </w:r>
              </w:p>
            </w:tc>
            <w:tc>
              <w:tcPr>
                <w:tcW w:w="1289"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pPr>
                  <w:ind w:firstLine="53"/>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29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pPr>
                  <w:jc w:val="center"/>
                  <w:rPr>
                    <w:color w:val="000000"/>
                    <w:sz w:val="20"/>
                    <w:lang w:eastAsia="lt-LT"/>
                  </w:rPr>
                </w:pPr>
                <w:r>
                  <w:rPr>
                    <w:color w:val="000000"/>
                    <w:sz w:val="20"/>
                    <w:lang w:eastAsia="lt-LT"/>
                  </w:rPr>
                  <w:t xml:space="preserve">2. </w:t>
                </w:r>
              </w:p>
            </w:tc>
            <w:tc>
              <w:tcPr>
                <w:tcW w:w="1289"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300"/>
            </w:trPr>
            <w:tc>
              <w:tcPr>
                <w:tcW w:w="511" w:type="dxa"/>
                <w:tcBorders>
                  <w:top w:val="nil"/>
                  <w:left w:val="single" w:sz="12" w:space="0" w:color="000000"/>
                  <w:bottom w:val="single" w:sz="12" w:space="0" w:color="000000"/>
                  <w:right w:val="single" w:sz="8" w:space="0" w:color="000000"/>
                </w:tcBorders>
                <w:shd w:val="clear" w:color="auto" w:fill="auto"/>
                <w:vAlign w:val="center"/>
                <w:hideMark/>
              </w:tcPr>
              <w:p>
                <w:pPr>
                  <w:jc w:val="center"/>
                  <w:rPr>
                    <w:color w:val="000000"/>
                    <w:sz w:val="20"/>
                    <w:lang w:eastAsia="lt-LT"/>
                  </w:rPr>
                </w:pPr>
                <w:r>
                  <w:rPr>
                    <w:color w:val="000000"/>
                    <w:sz w:val="20"/>
                    <w:lang w:eastAsia="lt-LT"/>
                  </w:rPr>
                  <w:t>....</w:t>
                </w:r>
              </w:p>
            </w:tc>
            <w:tc>
              <w:tcPr>
                <w:tcW w:w="1289"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62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276"/>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pPr>
                  <w:jc w:val="right"/>
                  <w:rPr>
                    <w:b/>
                    <w:bCs/>
                    <w:color w:val="000000"/>
                    <w:sz w:val="20"/>
                    <w:lang w:eastAsia="lt-LT"/>
                  </w:rPr>
                </w:pPr>
                <w:r>
                  <w:rPr>
                    <w:b/>
                    <w:bCs/>
                    <w:color w:val="000000"/>
                    <w:sz w:val="20"/>
                    <w:lang w:eastAsia="lt-LT"/>
                  </w:rPr>
                  <w:t>Iš viso pagal sutartį Nr. ____ / pirkimo objektą ____, Eur:</w:t>
                </w: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300"/>
            </w:trPr>
            <w:tc>
              <w:tcPr>
                <w:tcW w:w="6300" w:type="dxa"/>
                <w:gridSpan w:val="5"/>
                <w:tcBorders>
                  <w:top w:val="single" w:sz="12" w:space="0" w:color="000000"/>
                  <w:left w:val="single" w:sz="12" w:space="0" w:color="000000"/>
                  <w:bottom w:val="single" w:sz="4" w:space="0" w:color="000000"/>
                  <w:right w:val="single" w:sz="12" w:space="0" w:color="000000"/>
                </w:tcBorders>
                <w:shd w:val="clear" w:color="auto" w:fill="auto"/>
                <w:vAlign w:val="center"/>
                <w:hideMark/>
              </w:tcPr>
              <w:p>
                <w:pPr>
                  <w:jc w:val="right"/>
                  <w:rPr>
                    <w:b/>
                    <w:bCs/>
                    <w:color w:val="000000"/>
                    <w:sz w:val="20"/>
                    <w:lang w:eastAsia="lt-LT"/>
                  </w:rPr>
                </w:pPr>
                <w:r>
                  <w:rPr>
                    <w:b/>
                    <w:bCs/>
                    <w:color w:val="000000"/>
                    <w:sz w:val="20"/>
                    <w:lang w:eastAsia="lt-LT"/>
                  </w:rPr>
                  <w:t>Iš viso pagal pareiškėją, Eur:</w:t>
                </w: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300"/>
            </w:trPr>
            <w:tc>
              <w:tcPr>
                <w:tcW w:w="6300" w:type="dxa"/>
                <w:gridSpan w:val="5"/>
                <w:tcBorders>
                  <w:top w:val="single" w:sz="4" w:space="0" w:color="000000"/>
                  <w:left w:val="single" w:sz="12" w:space="0" w:color="000000"/>
                  <w:bottom w:val="single" w:sz="12" w:space="0" w:color="000000"/>
                  <w:right w:val="single" w:sz="12" w:space="0" w:color="000000"/>
                </w:tcBorders>
                <w:shd w:val="clear" w:color="auto" w:fill="auto"/>
                <w:vAlign w:val="center"/>
                <w:hideMark/>
              </w:tcPr>
              <w:p>
                <w:pPr>
                  <w:jc w:val="right"/>
                  <w:rPr>
                    <w:b/>
                    <w:bCs/>
                    <w:color w:val="000000"/>
                    <w:sz w:val="20"/>
                    <w:lang w:eastAsia="lt-LT"/>
                  </w:rPr>
                </w:pPr>
                <w:r>
                  <w:rPr>
                    <w:b/>
                    <w:bCs/>
                    <w:color w:val="000000"/>
                    <w:sz w:val="20"/>
                    <w:lang w:eastAsia="lt-LT"/>
                  </w:rPr>
                  <w:t>Iš viso pagal partnerį ____, Eur:</w:t>
                </w: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r>
            <w:trPr>
              <w:trHeight w:val="310"/>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pPr>
                  <w:jc w:val="right"/>
                  <w:rPr>
                    <w:b/>
                    <w:bCs/>
                    <w:color w:val="000000"/>
                    <w:sz w:val="20"/>
                    <w:lang w:eastAsia="lt-LT"/>
                  </w:rPr>
                </w:pPr>
                <w:r>
                  <w:rPr>
                    <w:b/>
                    <w:bCs/>
                    <w:color w:val="000000"/>
                    <w:sz w:val="20"/>
                    <w:lang w:eastAsia="lt-LT"/>
                  </w:rPr>
                  <w:t>Iš viso, Eur:</w:t>
                </w: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pPr>
                  <w:ind w:firstLine="53"/>
                  <w:jc w:val="center"/>
                  <w:rPr>
                    <w:color w:val="000000"/>
                    <w:sz w:val="20"/>
                    <w:lang w:eastAsia="lt-LT"/>
                  </w:rPr>
                </w:pPr>
              </w:p>
            </w:tc>
            <w:tc>
              <w:tcPr>
                <w:tcW w:w="855" w:type="dxa"/>
                <w:vAlign w:val="center"/>
                <w:hideMark/>
              </w:tcPr>
              <w:p>
                <w:pPr>
                  <w:rPr>
                    <w:sz w:val="20"/>
                    <w:lang w:eastAsia="lt-LT"/>
                  </w:rPr>
                </w:pPr>
              </w:p>
            </w:tc>
          </w:tr>
        </w:tbl>
        <w:sdt>
          <w:sdtPr>
            <w:alias w:val="pabaiga"/>
            <w:tag w:val="part_c0490231f1724f21be8f369b0eb80290"/>
            <w:lock w:val="sdtLocked"/>
            <w:richText/>
          </w:sdtPr>
          <w:sdtContent>
            <w:p>
              <w:pPr>
                <w:spacing w:line="276" w:lineRule="auto"/>
                <w:jc w:val="center"/>
                <w:rPr>
                  <w:rFonts w:eastAsia="Calibri"/>
                  <w:szCs w:val="24"/>
                </w:rPr>
              </w:pPr>
              <w:r>
                <w:rPr>
                  <w:rFonts w:ascii="Calibri" w:eastAsia="Calibri" w:hAnsi="Calibri"/>
                  <w:szCs w:val="24"/>
                </w:rPr>
                <w:t>________________</w:t>
              </w:r>
            </w:p>
          </w:sdtContent>
        </w:sdt>
      </w:sdtContent>
    </w:sdt>
    <w:sectPr>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w:t>
    </w:r>
    <w:r>
      <w:rPr>
        <w:szCs w:val="22"/>
      </w:rPr>
      <w:fldChar w:fldCharType="end"/>
    </w:r>
  </w:p>
  <w:p>
    <w:pPr>
      <w:tabs>
        <w:tab w:val="center" w:pos="4819"/>
        <w:tab w:val="right" w:pos="9638"/>
      </w:tabs>
      <w:jc w:val="right"/>
      <w:rPr>
        <w:sz w:val="22"/>
        <w:szCs w:val="22"/>
      </w:rPr>
    </w:pP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23FE6FE-71FE-49B5-99E6-CA14E5313B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22391852">
      <w:bodyDiv w:val="1"/>
      <w:marLeft w:val="0"/>
      <w:marRight w:val="0"/>
      <w:marTop w:val="0"/>
      <w:marBottom w:val="0"/>
      <w:divBdr>
        <w:top w:val="none" w:sz="0" w:space="0" w:color="auto"/>
        <w:left w:val="none" w:sz="0" w:space="0" w:color="auto"/>
        <w:bottom w:val="none" w:sz="0" w:space="0" w:color="auto"/>
        <w:right w:val="none" w:sz="0" w:space="0" w:color="auto"/>
      </w:divBdr>
    </w:div>
    <w:div w:id="537162316">
      <w:bodyDiv w:val="1"/>
      <w:marLeft w:val="0"/>
      <w:marRight w:val="0"/>
      <w:marTop w:val="0"/>
      <w:marBottom w:val="0"/>
      <w:divBdr>
        <w:top w:val="none" w:sz="0" w:space="0" w:color="auto"/>
        <w:left w:val="none" w:sz="0" w:space="0" w:color="auto"/>
        <w:bottom w:val="none" w:sz="0" w:space="0" w:color="auto"/>
        <w:right w:val="none" w:sz="0" w:space="0" w:color="auto"/>
      </w:divBdr>
    </w:div>
    <w:div w:id="7484996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28457688">
      <w:bodyDiv w:val="1"/>
      <w:marLeft w:val="0"/>
      <w:marRight w:val="0"/>
      <w:marTop w:val="0"/>
      <w:marBottom w:val="0"/>
      <w:divBdr>
        <w:top w:val="none" w:sz="0" w:space="0" w:color="auto"/>
        <w:left w:val="none" w:sz="0" w:space="0" w:color="auto"/>
        <w:bottom w:val="none" w:sz="0" w:space="0" w:color="auto"/>
        <w:right w:val="none" w:sz="0" w:space="0" w:color="auto"/>
      </w:divBdr>
    </w:div>
    <w:div w:id="1476603432">
      <w:bodyDiv w:val="1"/>
      <w:marLeft w:val="0"/>
      <w:marRight w:val="0"/>
      <w:marTop w:val="0"/>
      <w:marBottom w:val="0"/>
      <w:divBdr>
        <w:top w:val="none" w:sz="0" w:space="0" w:color="auto"/>
        <w:left w:val="none" w:sz="0" w:space="0" w:color="auto"/>
        <w:bottom w:val="none" w:sz="0" w:space="0" w:color="auto"/>
        <w:right w:val="none" w:sz="0" w:space="0" w:color="auto"/>
      </w:divBdr>
    </w:div>
    <w:div w:id="1580797505">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Abbr="pr." Title="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DocPartId="2d1042fb2cb44b9eae6961c99ab4f8b2" PartId="20b1a93c32fc4015b5bf21a6d4df3218">
    <Part Type="pabaiga" DocPartId="f028507376284851903c62970bcfeb63" PartId="a0006625876a4cd4b58f1c5eabfd79b4"/>
  </Part>
  <Part Type="priedas" Nr="1" Abbr="1 pr." Title="PROJEKTO (ĮSKAITANT JUNGTINĮ PROJEKTĄ) ATITIKTIES REIKŠMINGOS ŽALOS NEDARYMO HORIZONTALIAJAM PRINCIPUI VERTINIMO REIKALAVIMŲ APRAŠAS" DocPartId="7571865ee6244c6caf4a5e58e52ac475" PartId="3e5df676d92943c6abd3e5a70dcf3616">
    <Part Type="pabaiga" DocPartId="5b33f920513e4778b7fede00b3b2268f" PartId="dbb49131a92c411c9cfa4fc8c94bea08"/>
  </Part>
  <Part Type="priedas" Nr="2" Abbr="2 pr." DocPartId="f7bce7dcbac94f1ea418a02ce31b71fe" PartId="f65dbd2017b44820a66ddd36fb9f0ab0">
    <Part Type="pabaiga" DocPartId="e9bcb80ea77a4baabc677429e40508f9" PartId="c0490231f1724f21be8f369b0eb80290"/>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E0EB830F-83E5-499B-AA5A-E56235785F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C6C003A-BAA3-4A99-A9D7-C4322F2CDEDB}">
  <ds:schemaRefs>
    <ds:schemaRef ds:uri="http://schemas.openxmlformats.org/officeDocument/2006/bibliography"/>
  </ds:schemaRefs>
</ds:datastoreItem>
</file>

<file path=customXml/itemProps5.xml><?xml version="1.0" encoding="utf-8"?>
<ds:datastoreItem xmlns:ds="http://schemas.openxmlformats.org/officeDocument/2006/customXml" ds:itemID="{337853A5-C5A1-4765-82F4-7111996CC954}">
  <ds:schemaRefs>
    <ds:schemaRef ds:uri="http://schemas.openxmlformats.org/officeDocument/2006/bibliography"/>
  </ds:schemaRefs>
</ds:datastoreItem>
</file>

<file path=customXml/itemProps6.xml><?xml version="1.0" encoding="utf-8"?>
<ds:datastoreItem xmlns:ds="http://schemas.openxmlformats.org/officeDocument/2006/customXml" ds:itemID="{3568E590-087A-4233-BF9B-0EA7689C8E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4755</Words>
  <Characters>34808</Characters>
  <Application>Microsoft Office Word</Application>
  <DocSecurity>4</DocSecurity>
  <Lines>916</Lines>
  <Paragraphs>316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10-001-05-03-01_PFSA _2022-07-27 pastabos</vt:lpstr>
      <vt:lpstr>10-001-05-03-01_PFSA _2022-07-27 pastabos</vt:lpstr>
    </vt:vector>
  </TitlesOfParts>
  <Company>HP Inc.</Company>
  <LinksUpToDate>false</LinksUpToDate>
  <CharactersWithSpaces>39247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2022-12-22T07:23:00Z</dcterms:created>
  <dc:creator>Virginija Levinskienė</dc:creator>
  <lastModifiedBy>adlibuser</lastModifiedBy>
  <dcterms:modified xsi:type="dcterms:W3CDTF">2022-12-22T07:23:00Z</dcterms:modified>
  <revision>2</revision>
  <dc:title>10-001-05-03-01_PFSA _2022-07-27 pastabos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700;#Mantas Grigaliūnas;#703;#Veronika Griganavičiūtė;#696;#Kęstutis Kviklys;#91;#Vitalijus Leonas;#721;#Laura Šimonytė;#1089;#Rasa Mockutė;#165;#Lina Šimkevičienė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3171;#Transporto tinklų projektų skyrius|3517cb01-3d8d-4d7f-9b7b-034113f42e80;#3308;#Procesų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y fmtid="{D5CDD505-2E9C-101B-9397-08002B2CF9AE}" pid="8" name="DmsWaitingForSign">
    <vt:bool>true</vt:bool>
  </property>
</Properties>
</file>