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ae4c709c22240d59c2d6a801836f2a3"/>
        <w:lock w:val="sdtLocked"/>
        <w:richText/>
      </w:sdtPr>
      <w:sdtContent>
        <w:tbl>
          <w:tblPr>
            <w:tblW w:w="0" w:type="auto"/>
            <w:tblLook w:val="04A0" w:firstRow="1" w:lastRow="0" w:firstColumn="1" w:lastColumn="0" w:noHBand="0" w:noVBand="1"/>
          </w:tblPr>
          <w:tblGrid>
            <w:gridCol w:w="4536"/>
          </w:tblGrid>
          <w:tr>
            <w:trPr>
              <w:trHeight w:val="851"/>
            </w:trPr>
            <w:tc>
              <w:tcPr>
                <w:tcW w:w="4536" w:type="dxa"/>
                <w:shd w:val="clear" w:color="auto" w:fill="auto"/>
              </w:tcPr>
              <w:p>
                <w:pPr>
                  <w:ind w:right="141"/>
                  <w:rPr>
                    <w:bCs/>
                    <w:szCs w:val="24"/>
                  </w:rPr>
                </w:pPr>
                <w:r>
                  <w:rPr>
                    <w:bCs/>
                    <w:szCs w:val="24"/>
                  </w:rPr>
                  <w:t xml:space="preserve">PATVIRTINTA                                                    Alytaus rajono savivaldybės tarybos                                                                           2022 m. vasario 17 d. sprendimu Nr. K-1                                                                           </w:t>
                </w:r>
              </w:p>
            </w:tc>
          </w:tr>
        </w:tbl>
        <w:p>
          <w:pPr>
            <w:ind w:right="141"/>
            <w:jc w:val="right"/>
            <w:rPr>
              <w:bCs/>
              <w:szCs w:val="24"/>
            </w:rPr>
          </w:pPr>
        </w:p>
        <w:p>
          <w:pPr>
            <w:ind w:right="141"/>
            <w:jc w:val="right"/>
            <w:rPr>
              <w:bCs/>
              <w:szCs w:val="24"/>
            </w:rPr>
          </w:pPr>
        </w:p>
        <w:p>
          <w:pPr>
            <w:ind w:right="141" w:firstLine="3472"/>
            <w:jc w:val="right"/>
            <w:rPr>
              <w:bCs/>
              <w:szCs w:val="24"/>
            </w:rPr>
          </w:pPr>
        </w:p>
        <w:sdt>
          <w:sdtPr>
            <w:alias w:val="1 frm."/>
            <w:tag w:val="part_6d673b995c5e4e96aef2ab82b9e4a606"/>
            <w:lock w:val="sdtLocked"/>
            <w:richText/>
          </w:sdtPr>
          <w:sdtContent>
            <w:p>
              <w:pPr>
                <w:ind w:right="141" w:firstLine="558"/>
                <w:jc w:val="right"/>
                <w:rPr>
                  <w:bCs/>
                  <w:szCs w:val="24"/>
                </w:rPr>
              </w:pPr>
              <w:r>
                <w:rPr>
                  <w:bCs/>
                  <w:szCs w:val="24"/>
                </w:rPr>
                <w:t>1 priedas</w:t>
              </w:r>
            </w:p>
            <w:p>
              <w:pPr>
                <w:ind w:right="141" w:firstLine="372"/>
                <w:jc w:val="right"/>
                <w:rPr>
                  <w:bCs/>
                  <w:szCs w:val="24"/>
                </w:rPr>
              </w:pPr>
              <w:r>
                <w:rPr>
                  <w:bCs/>
                  <w:szCs w:val="24"/>
                </w:rPr>
                <w:t>1 b forma</w:t>
              </w:r>
            </w:p>
            <w:p>
              <w:pPr>
                <w:jc w:val="center"/>
                <w:rPr>
                  <w:i/>
                  <w:iCs/>
                  <w:sz w:val="22"/>
                  <w:szCs w:val="22"/>
                </w:rPr>
              </w:pPr>
            </w:p>
            <w:sdt>
              <w:sdtPr>
                <w:alias w:val="Pavadinimas"/>
                <w:tag w:val="title_6d673b995c5e4e96aef2ab82b9e4a606"/>
                <w:lock w:val="sdtLocked"/>
                <w:richText/>
              </w:sdtPr>
              <w:sdtContent>
                <w:p>
                  <w:pPr>
                    <w:jc w:val="center"/>
                    <w:rPr>
                      <w:b/>
                      <w:strike/>
                      <w:sz w:val="28"/>
                      <w:szCs w:val="24"/>
                    </w:rPr>
                  </w:pPr>
                  <w:r>
                    <w:rPr>
                      <w:b/>
                      <w:iCs/>
                      <w:sz w:val="28"/>
                      <w:szCs w:val="22"/>
                    </w:rPr>
                    <w:t>INFORMACINĖS VISUOMENĖS PLĖTROS</w:t>
                  </w:r>
                </w:p>
                <w:p>
                  <w:pPr>
                    <w:ind w:firstLine="72"/>
                    <w:jc w:val="center"/>
                    <w:rPr>
                      <w:b/>
                      <w:bCs/>
                      <w:sz w:val="28"/>
                      <w:szCs w:val="22"/>
                    </w:rPr>
                  </w:pPr>
                  <w:r>
                    <w:rPr>
                      <w:b/>
                      <w:bCs/>
                      <w:sz w:val="28"/>
                      <w:szCs w:val="22"/>
                    </w:rPr>
                    <w:t>PROGRAMOS APRAŠYMAS</w:t>
                  </w:r>
                </w:p>
              </w:sdtContent>
            </w:sdt>
            <w:p>
              <w:pPr>
                <w:rPr>
                  <w:b/>
                  <w:bCs/>
                  <w:szCs w:val="22"/>
                </w:rPr>
              </w:pPr>
            </w:p>
          </w:sdtContent>
        </w:sdt>
      </w:sdtContent>
    </w:sdt>
    <w:sdt>
      <w:sdtPr>
        <w:alias w:val="lentele"/>
        <w:tag w:val="part_1713e13f3b18495cb28c2a8c6159424d"/>
        <w:lock w:val="sdtLocked"/>
        <w:richText/>
      </w:sdtPr>
      <w:sdtContent>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72"/>
          </w:tblGrid>
          <w:tr>
            <w:tc>
              <w:tcPr>
                <w:tcW w:w="2988" w:type="dxa"/>
                <w:vAlign w:val="center"/>
              </w:tcPr>
              <w:p>
                <w:pPr>
                  <w:keepNext/>
                  <w:rPr>
                    <w:b/>
                    <w:bCs/>
                    <w:sz w:val="22"/>
                  </w:rPr>
                </w:pPr>
                <w:r>
                  <w:rPr>
                    <w:b/>
                    <w:bCs/>
                    <w:sz w:val="22"/>
                  </w:rPr>
                  <w:t>Biudžetiniai metai</w:t>
                </w:r>
              </w:p>
            </w:tc>
            <w:tc>
              <w:tcPr>
                <w:tcW w:w="7072" w:type="dxa"/>
                <w:vAlign w:val="center"/>
              </w:tcPr>
              <w:p>
                <w:pPr>
                  <w:rPr>
                    <w:b/>
                    <w:sz w:val="22"/>
                    <w:szCs w:val="24"/>
                  </w:rPr>
                </w:pPr>
                <w:r>
                  <w:rPr>
                    <w:b/>
                    <w:sz w:val="22"/>
                    <w:szCs w:val="24"/>
                  </w:rPr>
                  <w:t>2022 metai</w:t>
                </w:r>
              </w:p>
            </w:tc>
          </w:tr>
          <w:tr>
            <w:tc>
              <w:tcPr>
                <w:tcW w:w="2988" w:type="dxa"/>
                <w:vAlign w:val="center"/>
              </w:tcPr>
              <w:p>
                <w:pPr>
                  <w:keepNext/>
                  <w:rPr>
                    <w:b/>
                    <w:bCs/>
                    <w:sz w:val="22"/>
                  </w:rPr>
                </w:pPr>
                <w:r>
                  <w:rPr>
                    <w:b/>
                    <w:bCs/>
                    <w:sz w:val="22"/>
                  </w:rPr>
                  <w:t xml:space="preserve">Asignavimų valdytojas (-ai), kodas </w:t>
                </w:r>
                <w:r>
                  <w:rPr>
                    <w:b/>
                  </w:rPr>
                  <w:t>(-ai)</w:t>
                </w:r>
              </w:p>
            </w:tc>
            <w:tc>
              <w:tcPr>
                <w:tcW w:w="7072" w:type="dxa"/>
                <w:vAlign w:val="center"/>
              </w:tcPr>
              <w:p>
                <w:pPr>
                  <w:rPr>
                    <w:b/>
                    <w:szCs w:val="24"/>
                  </w:rPr>
                </w:pPr>
                <w:r>
                  <w:rPr>
                    <w:szCs w:val="24"/>
                  </w:rPr>
                  <w:t>Alytaus rajono savivaldybės administracijos direktorius, 188718528</w:t>
                </w:r>
              </w:p>
            </w:tc>
          </w:tr>
          <w:tr>
            <w:trPr>
              <w:trHeight w:val="319"/>
            </w:trPr>
            <w:tc>
              <w:tcPr>
                <w:tcW w:w="2988" w:type="dxa"/>
                <w:vAlign w:val="center"/>
              </w:tcPr>
              <w:p>
                <w:pPr>
                  <w:keepNext/>
                  <w:rPr>
                    <w:b/>
                    <w:bCs/>
                    <w:sz w:val="22"/>
                  </w:rPr>
                </w:pPr>
                <w:r>
                  <w:rPr>
                    <w:b/>
                    <w:bCs/>
                    <w:sz w:val="22"/>
                  </w:rPr>
                  <w:t>Vykdytojas (-ai)</w:t>
                </w:r>
                <w:r>
                  <w:rPr>
                    <w:b/>
                  </w:rPr>
                  <w:t>, kodas(-ai)</w:t>
                </w:r>
              </w:p>
            </w:tc>
            <w:tc>
              <w:tcPr>
                <w:tcW w:w="7072" w:type="dxa"/>
                <w:vAlign w:val="center"/>
              </w:tcPr>
              <w:p>
                <w:pPr>
                  <w:rPr>
                    <w:szCs w:val="24"/>
                  </w:rPr>
                </w:pPr>
                <w:r>
                  <w:rPr>
                    <w:szCs w:val="24"/>
                  </w:rPr>
                  <w:t>Komunikacijos skyrius, A8</w:t>
                </w:r>
              </w:p>
            </w:tc>
          </w:tr>
        </w:tbl>
        <w:p>
          <w:pPr>
            <w:jc w:val="center"/>
            <w:rPr>
              <w:b/>
              <w:strike/>
              <w:sz w:val="22"/>
              <w:szCs w:val="24"/>
            </w:rPr>
          </w:pPr>
        </w:p>
      </w:sdtContent>
    </w:sdt>
    <w:sdt>
      <w:sdtPr>
        <w:alias w:val="lentele"/>
        <w:tag w:val="part_85587e21aa9b4e72abb6a8f0381602ca"/>
        <w:lock w:val="sdtLocked"/>
        <w:richText/>
      </w:sdtPr>
      <w:sdtContent>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90"/>
            <w:gridCol w:w="4943"/>
            <w:gridCol w:w="18"/>
            <w:gridCol w:w="882"/>
            <w:gridCol w:w="26"/>
            <w:gridCol w:w="1106"/>
          </w:tblGrid>
          <w:tr>
            <w:trPr>
              <w:trHeight w:val="473"/>
            </w:trPr>
            <w:tc>
              <w:tcPr>
                <w:tcW w:w="3090" w:type="dxa"/>
                <w:vAlign w:val="center"/>
              </w:tcPr>
              <w:p>
                <w:pPr>
                  <w:keepNext/>
                  <w:tabs>
                    <w:tab w:val="left" w:pos="0"/>
                    <w:tab w:val="left" w:pos="180"/>
                  </w:tabs>
                  <w:ind w:right="-766"/>
                  <w:outlineLvl w:val="2"/>
                  <w:rPr>
                    <w:b/>
                    <w:bCs/>
                    <w:szCs w:val="24"/>
                  </w:rPr>
                </w:pPr>
                <w:r>
                  <w:rPr>
                    <w:b/>
                    <w:bCs/>
                    <w:szCs w:val="24"/>
                  </w:rPr>
                  <w:t>Programos pavadinimas</w:t>
                </w:r>
              </w:p>
            </w:tc>
            <w:tc>
              <w:tcPr>
                <w:tcW w:w="4943" w:type="dxa"/>
                <w:vAlign w:val="center"/>
              </w:tcPr>
              <w:p>
                <w:pPr>
                  <w:rPr>
                    <w:b/>
                    <w:bCs/>
                    <w:strike/>
                    <w:szCs w:val="24"/>
                  </w:rPr>
                </w:pPr>
                <w:r>
                  <w:rPr>
                    <w:b/>
                    <w:iCs/>
                    <w:szCs w:val="24"/>
                  </w:rPr>
                  <w:t>INFORMACINĖS VISUOMENĖS PLĖTRA</w:t>
                </w:r>
              </w:p>
            </w:tc>
            <w:tc>
              <w:tcPr>
                <w:tcW w:w="900" w:type="dxa"/>
                <w:gridSpan w:val="2"/>
                <w:vAlign w:val="center"/>
              </w:tcPr>
              <w:p>
                <w:pPr>
                  <w:keepNext/>
                  <w:jc w:val="center"/>
                  <w:outlineLvl w:val="3"/>
                  <w:rPr>
                    <w:b/>
                    <w:bCs/>
                    <w:sz w:val="22"/>
                    <w:szCs w:val="24"/>
                  </w:rPr>
                </w:pPr>
                <w:r>
                  <w:rPr>
                    <w:b/>
                    <w:bCs/>
                    <w:sz w:val="22"/>
                    <w:szCs w:val="24"/>
                  </w:rPr>
                  <w:t>Kodas</w:t>
                </w:r>
              </w:p>
            </w:tc>
            <w:tc>
              <w:tcPr>
                <w:tcW w:w="1132" w:type="dxa"/>
                <w:gridSpan w:val="2"/>
                <w:vAlign w:val="center"/>
              </w:tcPr>
              <w:p>
                <w:pPr>
                  <w:jc w:val="center"/>
                  <w:rPr>
                    <w:b/>
                    <w:sz w:val="22"/>
                    <w:szCs w:val="22"/>
                  </w:rPr>
                </w:pPr>
                <w:r>
                  <w:rPr>
                    <w:b/>
                    <w:sz w:val="22"/>
                    <w:szCs w:val="22"/>
                  </w:rPr>
                  <w:t>04</w:t>
                </w:r>
              </w:p>
            </w:tc>
          </w:tr>
          <w:tr>
            <w:trPr>
              <w:trHeight w:val="145"/>
            </w:trPr>
            <w:tc>
              <w:tcPr>
                <w:tcW w:w="3090" w:type="dxa"/>
                <w:vAlign w:val="center"/>
              </w:tcPr>
              <w:p>
                <w:pPr>
                  <w:rPr>
                    <w:b/>
                    <w:sz w:val="22"/>
                    <w:szCs w:val="22"/>
                  </w:rPr>
                </w:pPr>
                <w:r>
                  <w:rPr>
                    <w:b/>
                    <w:sz w:val="22"/>
                    <w:szCs w:val="22"/>
                  </w:rPr>
                  <w:t>Programos parengimo argumentai</w:t>
                </w:r>
              </w:p>
              <w:p>
                <w:pPr>
                  <w:rPr>
                    <w:sz w:val="22"/>
                    <w:szCs w:val="22"/>
                  </w:rPr>
                </w:pPr>
              </w:p>
            </w:tc>
            <w:tc>
              <w:tcPr>
                <w:tcW w:w="6975" w:type="dxa"/>
                <w:gridSpan w:val="5"/>
              </w:tcPr>
              <w:p>
                <w:pPr>
                  <w:jc w:val="both"/>
                  <w:rPr>
                    <w:color w:val="000000"/>
                    <w:szCs w:val="24"/>
                    <w:lang w:val="en-US"/>
                  </w:rPr>
                </w:pPr>
                <w:r>
                  <w:rPr>
                    <w:color w:val="000000"/>
                    <w:szCs w:val="24"/>
                    <w:lang w:val="en-US"/>
                  </w:rPr>
                  <w:t xml:space="preserve">Vykdydama kasdienes funkcijas, savivaldybė neatsiriboja nuo savo bendruomenės, pateikia jai kiek įmanoma išsamesnę informaciją apie svarbiausius rajono įvykius. Informacija visuomenei pateikiama įvairiose informavimo priemonėse: laikraščiuose, žurnaluose, televizijos, radijo programose, platinami pranešimai elektroninėmis priemonėmis, savivaldybės internet svetainėje </w:t>
                </w:r>
                <w:r>
                  <w:rPr>
                    <w:color w:val="0000FF"/>
                    <w:szCs w:val="24"/>
                    <w:u w:val="single"/>
                    <w:lang w:val="en-US"/>
                  </w:rPr>
                  <w:t>www.arsa.lt</w:t>
                </w:r>
                <w:r>
                  <w:rPr>
                    <w:color w:val="000000"/>
                    <w:szCs w:val="24"/>
                    <w:lang w:val="en-US"/>
                  </w:rPr>
                  <w:t xml:space="preserve">, socialiniuose tinkluose „Facebook“, „YouTube“. Vykdydama kasdienes funkcijas, savivaldybė nuolat platina informaciją rajono svečiams ir galimiems investuotojams apie rajono plėtros galimybes. </w:t>
                </w:r>
              </w:p>
              <w:p>
                <w:pPr>
                  <w:shd w:val="clear" w:color="auto" w:fill="FFFFFF"/>
                  <w:ind w:firstLine="567"/>
                  <w:jc w:val="both"/>
                  <w:textAlignment w:val="top"/>
                  <w:rPr>
                    <w:color w:val="000000"/>
                    <w:szCs w:val="24"/>
                    <w:lang w:eastAsia="lt-LT"/>
                  </w:rPr>
                </w:pPr>
                <w:r>
                  <w:rPr>
                    <w:color w:val="000000"/>
                    <w:szCs w:val="24"/>
                    <w:lang w:eastAsia="lt-LT"/>
                  </w:rPr>
                  <w:t>Ryšių su visuomene ir užsienio partneriais plėtojimas – tai rajono įvaizdžio formavimas, kuris padeda plėtoti rajono socialinius, kultūrinius ryšius bei savivaldybės ekonomiką, teigiamai nuteikia ne tik gyventojus, bet ir rajono svečius.</w:t>
                </w:r>
              </w:p>
            </w:tc>
          </w:tr>
          <w:tr>
            <w:trPr>
              <w:trHeight w:val="145"/>
            </w:trPr>
            <w:tc>
              <w:tcPr>
                <w:tcW w:w="3090" w:type="dxa"/>
                <w:vAlign w:val="center"/>
              </w:tcPr>
              <w:p>
                <w:pPr>
                  <w:rPr>
                    <w:b/>
                    <w:sz w:val="22"/>
                    <w:szCs w:val="24"/>
                  </w:rPr>
                </w:pPr>
                <w:r>
                  <w:rPr>
                    <w:b/>
                    <w:sz w:val="22"/>
                    <w:szCs w:val="24"/>
                  </w:rPr>
                  <w:t>Ilgalaikis prioritetas</w:t>
                </w:r>
              </w:p>
              <w:p>
                <w:pPr>
                  <w:rPr>
                    <w:b/>
                    <w:sz w:val="22"/>
                    <w:szCs w:val="24"/>
                  </w:rPr>
                </w:pPr>
                <w:r>
                  <w:rPr>
                    <w:b/>
                    <w:sz w:val="22"/>
                    <w:szCs w:val="24"/>
                  </w:rPr>
                  <w:t>(pagal Alytaus rajono savivaldybės strateginį plėtros planą)</w:t>
                </w:r>
              </w:p>
            </w:tc>
            <w:tc>
              <w:tcPr>
                <w:tcW w:w="4943" w:type="dxa"/>
                <w:vAlign w:val="center"/>
              </w:tcPr>
              <w:p>
                <w:pPr>
                  <w:keepNext/>
                  <w:jc w:val="both"/>
                  <w:outlineLvl w:val="4"/>
                  <w:rPr>
                    <w:b/>
                    <w:caps/>
                    <w:szCs w:val="24"/>
                  </w:rPr>
                </w:pPr>
                <w:r>
                  <w:rPr>
                    <w:b/>
                    <w:caps/>
                    <w:szCs w:val="24"/>
                  </w:rPr>
                  <w:t>Sumanios, veiklios, susitelkusios bendruomenės, pažangi, socialiai atsakinga savivalda</w:t>
                </w:r>
              </w:p>
              <w:p>
                <w:pPr>
                  <w:rPr>
                    <w:szCs w:val="24"/>
                  </w:rPr>
                </w:pPr>
              </w:p>
              <w:p>
                <w:pPr>
                  <w:keepNext/>
                  <w:jc w:val="both"/>
                  <w:outlineLvl w:val="4"/>
                  <w:rPr>
                    <w:b/>
                    <w:caps/>
                    <w:szCs w:val="24"/>
                  </w:rPr>
                </w:pPr>
                <w:r>
                  <w:rPr>
                    <w:b/>
                    <w:caps/>
                    <w:szCs w:val="24"/>
                  </w:rPr>
                  <w:t>Patogus, svetingas, žalias rajonas</w:t>
                </w:r>
              </w:p>
            </w:tc>
            <w:tc>
              <w:tcPr>
                <w:tcW w:w="926" w:type="dxa"/>
                <w:gridSpan w:val="3"/>
                <w:vAlign w:val="center"/>
              </w:tcPr>
              <w:p>
                <w:pPr>
                  <w:keepNext/>
                  <w:jc w:val="center"/>
                  <w:outlineLvl w:val="4"/>
                  <w:rPr>
                    <w:b/>
                    <w:bCs/>
                    <w:sz w:val="22"/>
                    <w:szCs w:val="24"/>
                  </w:rPr>
                </w:pPr>
                <w:r>
                  <w:rPr>
                    <w:b/>
                    <w:bCs/>
                    <w:sz w:val="22"/>
                    <w:szCs w:val="24"/>
                  </w:rPr>
                  <w:t>Kodas</w:t>
                </w:r>
              </w:p>
            </w:tc>
            <w:tc>
              <w:tcPr>
                <w:tcW w:w="1106" w:type="dxa"/>
                <w:vAlign w:val="center"/>
              </w:tcPr>
              <w:p>
                <w:pPr>
                  <w:keepNext/>
                  <w:jc w:val="center"/>
                  <w:outlineLvl w:val="4"/>
                  <w:rPr>
                    <w:b/>
                    <w:sz w:val="22"/>
                    <w:szCs w:val="24"/>
                  </w:rPr>
                </w:pPr>
                <w:r>
                  <w:rPr>
                    <w:b/>
                    <w:sz w:val="22"/>
                    <w:szCs w:val="24"/>
                  </w:rPr>
                  <w:t>02</w:t>
                </w:r>
              </w:p>
              <w:p>
                <w:pPr>
                  <w:jc w:val="center"/>
                  <w:rPr>
                    <w:b/>
                    <w:szCs w:val="24"/>
                  </w:rPr>
                </w:pPr>
              </w:p>
              <w:p>
                <w:pPr>
                  <w:jc w:val="center"/>
                  <w:rPr>
                    <w:b/>
                    <w:szCs w:val="24"/>
                  </w:rPr>
                </w:pPr>
              </w:p>
              <w:p>
                <w:pPr>
                  <w:jc w:val="center"/>
                  <w:rPr>
                    <w:szCs w:val="24"/>
                  </w:rPr>
                </w:pPr>
                <w:r>
                  <w:rPr>
                    <w:b/>
                    <w:szCs w:val="24"/>
                  </w:rPr>
                  <w:t>03</w:t>
                </w:r>
              </w:p>
            </w:tc>
          </w:tr>
          <w:tr>
            <w:trPr>
              <w:trHeight w:val="145"/>
            </w:trPr>
            <w:tc>
              <w:tcPr>
                <w:tcW w:w="3090" w:type="dxa"/>
                <w:vAlign w:val="center"/>
              </w:tcPr>
              <w:p>
                <w:pPr>
                  <w:rPr>
                    <w:b/>
                    <w:sz w:val="22"/>
                    <w:szCs w:val="24"/>
                  </w:rPr>
                </w:pPr>
                <w:r>
                  <w:rPr>
                    <w:b/>
                    <w:sz w:val="22"/>
                    <w:szCs w:val="24"/>
                  </w:rPr>
                  <w:t>Šia programa įgyvendinamas savivaldybės strateginis tikslas:</w:t>
                </w:r>
              </w:p>
            </w:tc>
            <w:tc>
              <w:tcPr>
                <w:tcW w:w="4943" w:type="dxa"/>
                <w:vAlign w:val="center"/>
              </w:tcPr>
              <w:p>
                <w:pPr>
                  <w:rPr>
                    <w:sz w:val="8"/>
                    <w:szCs w:val="8"/>
                  </w:rPr>
                </w:pPr>
              </w:p>
              <w:p>
                <w:pPr>
                  <w:suppressAutoHyphens/>
                  <w:jc w:val="both"/>
                  <w:textAlignment w:val="baseline"/>
                  <w:rPr>
                    <w:b/>
                    <w:szCs w:val="24"/>
                  </w:rPr>
                </w:pPr>
                <w:r>
                  <w:rPr>
                    <w:b/>
                    <w:szCs w:val="24"/>
                  </w:rPr>
                  <w:t>DIDINTI VALDYMO KOKYBĘ IR UGDYTI DARBUOTOJŲ KOMPETENCIJAS, SIEKIANT PATENKINTI VERSLO IR GYVENTOJŲ POREIKIUS</w:t>
                </w:r>
              </w:p>
              <w:p>
                <w:pPr>
                  <w:rPr>
                    <w:sz w:val="8"/>
                    <w:szCs w:val="8"/>
                  </w:rPr>
                </w:pPr>
              </w:p>
              <w:p>
                <w:pPr>
                  <w:suppressAutoHyphens/>
                  <w:jc w:val="both"/>
                  <w:textAlignment w:val="baseline"/>
                  <w:rPr>
                    <w:b/>
                    <w:szCs w:val="24"/>
                  </w:rPr>
                </w:pPr>
              </w:p>
              <w:p>
                <w:pPr>
                  <w:rPr>
                    <w:sz w:val="8"/>
                    <w:szCs w:val="8"/>
                  </w:rPr>
                </w:pPr>
              </w:p>
              <w:p>
                <w:pPr>
                  <w:suppressAutoHyphens/>
                  <w:jc w:val="both"/>
                  <w:textAlignment w:val="baseline"/>
                  <w:rPr>
                    <w:b/>
                    <w:szCs w:val="24"/>
                  </w:rPr>
                </w:pPr>
                <w:r>
                  <w:rPr>
                    <w:b/>
                    <w:szCs w:val="24"/>
                  </w:rPr>
                  <w:t>PLĖTOTI PATOGIAM GYVENIMUI IR ŪKINEI VEIKLAI AKTUALIĄ TVARIĄ INFRASTRUKTŪRĄ</w:t>
                </w:r>
              </w:p>
            </w:tc>
            <w:tc>
              <w:tcPr>
                <w:tcW w:w="926" w:type="dxa"/>
                <w:gridSpan w:val="3"/>
                <w:vAlign w:val="center"/>
              </w:tcPr>
              <w:p>
                <w:pPr>
                  <w:keepNext/>
                  <w:jc w:val="center"/>
                  <w:outlineLvl w:val="3"/>
                  <w:rPr>
                    <w:b/>
                    <w:bCs/>
                    <w:sz w:val="22"/>
                    <w:szCs w:val="24"/>
                  </w:rPr>
                </w:pPr>
                <w:r>
                  <w:rPr>
                    <w:b/>
                    <w:bCs/>
                    <w:sz w:val="22"/>
                    <w:szCs w:val="24"/>
                  </w:rPr>
                  <w:t>Kodas</w:t>
                </w:r>
              </w:p>
            </w:tc>
            <w:tc>
              <w:tcPr>
                <w:tcW w:w="1106" w:type="dxa"/>
                <w:vAlign w:val="center"/>
              </w:tcPr>
              <w:p>
                <w:pPr>
                  <w:jc w:val="center"/>
                  <w:rPr>
                    <w:b/>
                    <w:sz w:val="22"/>
                    <w:szCs w:val="22"/>
                  </w:rPr>
                </w:pPr>
                <w:r>
                  <w:rPr>
                    <w:b/>
                    <w:sz w:val="22"/>
                    <w:szCs w:val="22"/>
                  </w:rPr>
                  <w:t>02</w:t>
                </w:r>
              </w:p>
              <w:p>
                <w:pPr>
                  <w:jc w:val="center"/>
                  <w:rPr>
                    <w:b/>
                    <w:sz w:val="22"/>
                    <w:szCs w:val="22"/>
                  </w:rPr>
                </w:pPr>
              </w:p>
              <w:p>
                <w:pPr>
                  <w:jc w:val="center"/>
                  <w:rPr>
                    <w:b/>
                    <w:sz w:val="22"/>
                    <w:szCs w:val="22"/>
                  </w:rPr>
                </w:pPr>
              </w:p>
              <w:p>
                <w:pPr>
                  <w:jc w:val="center"/>
                  <w:rPr>
                    <w:b/>
                    <w:sz w:val="22"/>
                    <w:szCs w:val="22"/>
                  </w:rPr>
                </w:pPr>
              </w:p>
              <w:p>
                <w:pPr>
                  <w:jc w:val="center"/>
                  <w:rPr>
                    <w:b/>
                    <w:sz w:val="22"/>
                    <w:szCs w:val="22"/>
                  </w:rPr>
                </w:pPr>
              </w:p>
              <w:p>
                <w:pPr>
                  <w:jc w:val="center"/>
                  <w:rPr>
                    <w:b/>
                    <w:sz w:val="22"/>
                    <w:szCs w:val="22"/>
                  </w:rPr>
                </w:pPr>
              </w:p>
              <w:p>
                <w:pPr>
                  <w:jc w:val="center"/>
                  <w:rPr>
                    <w:b/>
                    <w:sz w:val="22"/>
                    <w:szCs w:val="22"/>
                  </w:rPr>
                </w:pPr>
                <w:r>
                  <w:rPr>
                    <w:b/>
                    <w:sz w:val="22"/>
                    <w:szCs w:val="22"/>
                  </w:rPr>
                  <w:t>01</w:t>
                </w:r>
              </w:p>
            </w:tc>
          </w:tr>
          <w:tr>
            <w:trPr>
              <w:trHeight w:val="468"/>
            </w:trPr>
            <w:tc>
              <w:tcPr>
                <w:tcW w:w="3090" w:type="dxa"/>
                <w:vAlign w:val="center"/>
              </w:tcPr>
              <w:p>
                <w:pPr>
                  <w:rPr>
                    <w:b/>
                    <w:sz w:val="22"/>
                    <w:szCs w:val="24"/>
                  </w:rPr>
                </w:pPr>
                <w:r>
                  <w:rPr>
                    <w:b/>
                    <w:szCs w:val="24"/>
                  </w:rPr>
                  <w:t>Programos tikslas</w:t>
                </w:r>
              </w:p>
            </w:tc>
            <w:tc>
              <w:tcPr>
                <w:tcW w:w="4961" w:type="dxa"/>
                <w:gridSpan w:val="2"/>
                <w:vAlign w:val="center"/>
              </w:tcPr>
              <w:p>
                <w:pPr>
                  <w:jc w:val="both"/>
                  <w:rPr>
                    <w:b/>
                    <w:caps/>
                    <w:szCs w:val="24"/>
                  </w:rPr>
                </w:pPr>
                <w:r>
                  <w:rPr>
                    <w:b/>
                    <w:caps/>
                    <w:szCs w:val="24"/>
                  </w:rPr>
                  <w:t xml:space="preserve">Visuomenės informavimas apie savivaldos vykdomą viešąją politiką  </w:t>
                </w:r>
              </w:p>
            </w:tc>
            <w:tc>
              <w:tcPr>
                <w:tcW w:w="908" w:type="dxa"/>
                <w:gridSpan w:val="2"/>
                <w:vAlign w:val="center"/>
              </w:tcPr>
              <w:p>
                <w:pPr>
                  <w:jc w:val="center"/>
                  <w:rPr>
                    <w:b/>
                    <w:szCs w:val="24"/>
                  </w:rPr>
                </w:pPr>
                <w:r>
                  <w:rPr>
                    <w:b/>
                    <w:szCs w:val="24"/>
                  </w:rPr>
                  <w:t>Kodas</w:t>
                </w:r>
              </w:p>
            </w:tc>
            <w:tc>
              <w:tcPr>
                <w:tcW w:w="1106" w:type="dxa"/>
                <w:vAlign w:val="center"/>
              </w:tcPr>
              <w:p>
                <w:pPr>
                  <w:jc w:val="center"/>
                  <w:rPr>
                    <w:b/>
                    <w:bCs/>
                    <w:szCs w:val="24"/>
                  </w:rPr>
                </w:pPr>
                <w:r>
                  <w:rPr>
                    <w:b/>
                    <w:bCs/>
                    <w:szCs w:val="24"/>
                  </w:rPr>
                  <w:t>01</w:t>
                </w:r>
              </w:p>
            </w:tc>
          </w:tr>
          <w:tr>
            <w:trPr>
              <w:trHeight w:val="672"/>
            </w:trPr>
            <w:tc>
              <w:tcPr>
                <w:tcW w:w="10065" w:type="dxa"/>
                <w:gridSpan w:val="6"/>
              </w:tcPr>
              <w:p>
                <w:pPr>
                  <w:rPr>
                    <w:b/>
                    <w:bCs/>
                    <w:szCs w:val="24"/>
                    <w:lang w:val="en-US"/>
                  </w:rPr>
                </w:pPr>
                <w:r>
                  <w:rPr>
                    <w:b/>
                    <w:bCs/>
                    <w:szCs w:val="24"/>
                    <w:lang w:val="en-US"/>
                  </w:rPr>
                  <w:t xml:space="preserve">Tikslo įgyvendinimo aprašymas: </w:t>
                </w:r>
              </w:p>
              <w:p>
                <w:pPr>
                  <w:jc w:val="both"/>
                  <w:rPr>
                    <w:szCs w:val="24"/>
                    <w:lang w:val="en-US"/>
                  </w:rPr>
                </w:pPr>
                <w:r>
                  <w:rPr>
                    <w:szCs w:val="24"/>
                    <w:lang w:val="en-US"/>
                  </w:rPr>
                  <w:t>Alytaus rajono savivaldyb</w:t>
                </w:r>
                <w:r>
                  <w:rPr>
                    <w:szCs w:val="24"/>
                  </w:rPr>
                  <w:t>ė</w:t>
                </w:r>
                <w:r>
                  <w:rPr>
                    <w:szCs w:val="24"/>
                    <w:lang w:val="en-US"/>
                  </w:rPr>
                  <w:t xml:space="preserve">, vykdydama savo funkcijas, kasdien rajono bendruomenei pateikia aktualiausią, naujausią informaciją. Informacija pateikiama objektyviai ir suprantamai. Visuomenės informavimo priemone laikoma – laikraštis, žurnalas, biuletenis ar kitas leidinys, knyga, televizijos programa, radijo programa, kino ar kita garso ir vaizdo studijų produkcija, informacinės visuomenės informavimo priemonė ir kita priemonė, kuria viešai skleidžiama informacija. </w:t>
                </w:r>
              </w:p>
              <w:p>
                <w:pPr>
                  <w:jc w:val="both"/>
                  <w:rPr>
                    <w:szCs w:val="24"/>
                    <w:lang w:val="en-US"/>
                  </w:rPr>
                </w:pPr>
                <w:r>
                  <w:rPr>
                    <w:szCs w:val="24"/>
                    <w:lang w:val="en-US"/>
                  </w:rPr>
                  <w:t>Išsamią informacij</w:t>
                </w:r>
                <w:r>
                  <w:rPr>
                    <w:szCs w:val="24"/>
                  </w:rPr>
                  <w:t xml:space="preserve">ą </w:t>
                </w:r>
                <w:r>
                  <w:rPr>
                    <w:szCs w:val="24"/>
                    <w:lang w:val="en-US"/>
                  </w:rPr>
                  <w:t>Alytaus rajono savivaldybė skelbia elektronin</w:t>
                </w:r>
                <w:r>
                  <w:rPr>
                    <w:szCs w:val="24"/>
                  </w:rPr>
                  <w:t>ėje erdvėje</w:t>
                </w:r>
                <w:r>
                  <w:rPr>
                    <w:szCs w:val="24"/>
                    <w:lang w:val="en-US"/>
                  </w:rPr>
                  <w:t xml:space="preserve">: </w:t>
                </w:r>
                <w:r>
                  <w:rPr>
                    <w:szCs w:val="24"/>
                  </w:rPr>
                  <w:t xml:space="preserve">savo interneto svetainėje </w:t>
                </w:r>
                <w:r>
                  <w:rPr>
                    <w:szCs w:val="24"/>
                    <w:lang w:val="en-US"/>
                  </w:rPr>
                  <w:t>(</w:t>
                </w:r>
                <w:r>
                  <w:rPr>
                    <w:color w:val="0000FF"/>
                    <w:szCs w:val="24"/>
                    <w:u w:val="single"/>
                    <w:lang w:val="en-GB"/>
                  </w:rPr>
                  <w:t>www.arsa.lt</w:t>
                </w:r>
                <w:r>
                  <w:rPr>
                    <w:szCs w:val="24"/>
                    <w:lang w:val="en-US"/>
                  </w:rPr>
                  <w:t>), socialiniuose tinkluose „Facebook“, „YouTube“, interneto žinių portaluose. Taip pat skleid</w:t>
                </w:r>
                <w:r>
                  <w:rPr>
                    <w:szCs w:val="24"/>
                  </w:rPr>
                  <w:t>žiama</w:t>
                </w:r>
                <w:r>
                  <w:rPr>
                    <w:szCs w:val="24"/>
                    <w:lang w:val="en-US"/>
                  </w:rPr>
                  <w:t xml:space="preserve"> informacija vietos radijuje, televizijoje, spaudoje, savivaldybės</w:t>
                </w:r>
                <w:r>
                  <w:rPr>
                    <w:szCs w:val="24"/>
                  </w:rPr>
                  <w:t xml:space="preserve"> informaciniame biuletenyje</w:t>
                </w:r>
                <w:r>
                  <w:rPr>
                    <w:szCs w:val="24"/>
                    <w:lang w:val="en-US"/>
                  </w:rPr>
                  <w:t>.</w:t>
                </w:r>
              </w:p>
              <w:p>
                <w:pPr>
                  <w:rPr>
                    <w:szCs w:val="24"/>
                    <w:lang w:val="en-US"/>
                  </w:rPr>
                </w:pPr>
                <w:r>
                  <w:rPr>
                    <w:szCs w:val="24"/>
                    <w:lang w:val="en-US"/>
                  </w:rPr>
                  <w:t xml:space="preserve">Įgyvendinant tikslą vykdomas vienas uždavinys: </w:t>
                </w:r>
              </w:p>
              <w:p>
                <w:pPr>
                  <w:rPr>
                    <w:szCs w:val="24"/>
                    <w:lang w:val="en-US"/>
                  </w:rPr>
                </w:pPr>
              </w:p>
              <w:p>
                <w:pPr>
                  <w:rPr>
                    <w:b/>
                    <w:szCs w:val="24"/>
                    <w:lang w:val="en-US"/>
                  </w:rPr>
                </w:pPr>
                <w:r>
                  <w:rPr>
                    <w:b/>
                    <w:szCs w:val="24"/>
                    <w:lang w:val="en-US"/>
                  </w:rPr>
                  <w:t>01 uždavinys</w:t>
                </w:r>
                <w:r>
                  <w:rPr>
                    <w:szCs w:val="24"/>
                    <w:lang w:val="en-US"/>
                  </w:rPr>
                  <w:t xml:space="preserve">. </w:t>
                </w:r>
                <w:r>
                  <w:rPr>
                    <w:b/>
                    <w:szCs w:val="24"/>
                    <w:lang w:val="en-US"/>
                  </w:rPr>
                  <w:t>Informuoti visuomenę informavimo priemonėmis.</w:t>
                </w:r>
              </w:p>
              <w:p>
                <w:pPr>
                  <w:jc w:val="both"/>
                  <w:rPr>
                    <w:b/>
                    <w:sz w:val="22"/>
                    <w:szCs w:val="22"/>
                    <w:lang w:val="en-US"/>
                  </w:rPr>
                </w:pPr>
                <w:r>
                  <w:rPr>
                    <w:szCs w:val="24"/>
                    <w:lang w:val="en-US"/>
                  </w:rPr>
                  <w:t xml:space="preserve">Planuojamų paskelbti informacinių pranešimų skaičius – 2022 m. – 450, </w:t>
                </w:r>
                <w:r>
                  <w:rPr>
                    <w:bCs/>
                    <w:szCs w:val="24"/>
                  </w:rPr>
                  <w:t xml:space="preserve">savivaldybės simbolių populiarinimas, komunikacijos kampanijos, renginiai, informacijos pranešimų sklaida žiniasklaidoje, tinklapio arsa.lt plėtojimas, socialinių tinklų naudojimas, informacinių leidinių leidyba,  skleidžiama informacija apie rajoną  šalyje  ir užsienyje.</w:t>
                </w:r>
              </w:p>
              <w:p>
                <w:pPr>
                  <w:shd w:val="clear" w:color="auto" w:fill="FFFFFF"/>
                  <w:rPr>
                    <w:i/>
                    <w:szCs w:val="24"/>
                    <w:lang w:val="en-US"/>
                  </w:rPr>
                </w:pPr>
                <w:r>
                  <w:rPr>
                    <w:i/>
                    <w:szCs w:val="24"/>
                    <w:u w:val="single"/>
                    <w:lang w:val="en-US"/>
                  </w:rPr>
                  <w:t>Rezultato vertinimo kriterijus</w:t>
                </w:r>
                <w:r>
                  <w:rPr>
                    <w:i/>
                    <w:szCs w:val="24"/>
                    <w:lang w:val="en-US"/>
                  </w:rPr>
                  <w:t xml:space="preserve">: </w:t>
                </w:r>
                <w:r>
                  <w:rPr>
                    <w:szCs w:val="22"/>
                    <w:lang w:val="en-US"/>
                  </w:rPr>
                  <w:t xml:space="preserve">vykdomos programos, susijusios su informacinės visuomenės plėtra, vnt. </w:t>
                </w:r>
                <w:r>
                  <w:rPr>
                    <w:sz w:val="22"/>
                    <w:szCs w:val="22"/>
                    <w:lang w:val="en-US"/>
                  </w:rPr>
                  <w:t>– 1.</w:t>
                </w:r>
              </w:p>
              <w:p>
                <w:pPr>
                  <w:shd w:val="clear" w:color="auto" w:fill="FFFFFF"/>
                  <w:ind w:firstLine="360"/>
                  <w:rPr>
                    <w:sz w:val="22"/>
                    <w:szCs w:val="22"/>
                  </w:rPr>
                </w:pPr>
              </w:p>
            </w:tc>
          </w:tr>
          <w:tr>
            <w:trPr>
              <w:trHeight w:val="468"/>
            </w:trPr>
            <w:tc>
              <w:tcPr>
                <w:tcW w:w="3090" w:type="dxa"/>
                <w:vAlign w:val="center"/>
              </w:tcPr>
              <w:p>
                <w:pPr>
                  <w:rPr>
                    <w:b/>
                    <w:szCs w:val="24"/>
                  </w:rPr>
                </w:pPr>
                <w:r>
                  <w:rPr>
                    <w:b/>
                    <w:szCs w:val="24"/>
                  </w:rPr>
                  <w:t>Programos tikslas</w:t>
                </w:r>
              </w:p>
            </w:tc>
            <w:tc>
              <w:tcPr>
                <w:tcW w:w="4961" w:type="dxa"/>
                <w:gridSpan w:val="2"/>
                <w:vAlign w:val="center"/>
              </w:tcPr>
              <w:p>
                <w:pPr>
                  <w:rPr>
                    <w:b/>
                    <w:szCs w:val="24"/>
                  </w:rPr>
                </w:pPr>
                <w:r>
                  <w:rPr>
                    <w:b/>
                    <w:szCs w:val="24"/>
                    <w:lang w:val="en-US"/>
                  </w:rPr>
                  <w:t>Pl</w:t>
                </w:r>
                <w:r>
                  <w:rPr>
                    <w:b/>
                    <w:szCs w:val="24"/>
                  </w:rPr>
                  <w:t>ėtoti ryšius su užsienio valstybių savivaldybėmis</w:t>
                </w:r>
              </w:p>
            </w:tc>
            <w:tc>
              <w:tcPr>
                <w:tcW w:w="908" w:type="dxa"/>
                <w:gridSpan w:val="2"/>
                <w:vAlign w:val="center"/>
              </w:tcPr>
              <w:p>
                <w:pPr>
                  <w:rPr>
                    <w:b/>
                    <w:szCs w:val="24"/>
                  </w:rPr>
                </w:pPr>
                <w:r>
                  <w:rPr>
                    <w:b/>
                    <w:szCs w:val="24"/>
                  </w:rPr>
                  <w:t>Kodas</w:t>
                </w:r>
              </w:p>
            </w:tc>
            <w:tc>
              <w:tcPr>
                <w:tcW w:w="1106" w:type="dxa"/>
                <w:vAlign w:val="center"/>
              </w:tcPr>
              <w:p>
                <w:pPr>
                  <w:jc w:val="center"/>
                  <w:rPr>
                    <w:b/>
                    <w:bCs/>
                    <w:szCs w:val="24"/>
                  </w:rPr>
                </w:pPr>
                <w:r>
                  <w:rPr>
                    <w:b/>
                    <w:bCs/>
                    <w:szCs w:val="24"/>
                  </w:rPr>
                  <w:t>02</w:t>
                </w:r>
              </w:p>
            </w:tc>
          </w:tr>
          <w:tr>
            <w:tc>
              <w:tcPr>
                <w:tcW w:w="10065" w:type="dxa"/>
                <w:gridSpan w:val="6"/>
              </w:tcPr>
              <w:p>
                <w:pPr>
                  <w:rPr>
                    <w:b/>
                    <w:bCs/>
                    <w:szCs w:val="24"/>
                    <w:lang w:val="en-US"/>
                  </w:rPr>
                </w:pPr>
                <w:r>
                  <w:rPr>
                    <w:b/>
                    <w:bCs/>
                    <w:szCs w:val="24"/>
                    <w:lang w:val="en-US"/>
                  </w:rPr>
                  <w:t xml:space="preserve">Tikslo įgyvendinimo aprašymas: </w:t>
                </w:r>
              </w:p>
              <w:p>
                <w:pPr>
                  <w:jc w:val="both"/>
                  <w:rPr>
                    <w:bCs/>
                    <w:szCs w:val="24"/>
                  </w:rPr>
                </w:pPr>
                <w:r>
                  <w:rPr>
                    <w:bCs/>
                    <w:szCs w:val="24"/>
                  </w:rPr>
                  <w:t xml:space="preserve">Alytaus rajono savivaldybė siekia kuo aktyviau bendradarbiauti su užsienio valstybių miestais, kad perimant jų veiklos patirtį būtų efektyviau sprendžiamos rajono problemos. Savivaldybė bendradarbiauja su Lenkija, Baltarusija, Kosovu, Ukraina, Gruzija,  Latvija. Įgyvendinami bendri investiciniai projektai, dalijamasi patirtimi, siekiama kartu pasinaudoti tarptautinių fondų finansinės paramos instrumentais bei dalyvauti tarptautiniuose projektuose.</w:t>
                </w:r>
              </w:p>
              <w:p>
                <w:pPr>
                  <w:rPr>
                    <w:color w:val="000000"/>
                    <w:szCs w:val="24"/>
                    <w:lang w:val="en-US" w:eastAsia="en-GB"/>
                  </w:rPr>
                </w:pPr>
                <w:r>
                  <w:rPr>
                    <w:color w:val="000000"/>
                    <w:szCs w:val="24"/>
                    <w:lang w:val="en-US" w:eastAsia="en-GB"/>
                  </w:rPr>
                  <w:t xml:space="preserve">Įgyvendinant tikslą vykdomas vienas uždavinys: </w:t>
                </w:r>
              </w:p>
              <w:p>
                <w:pPr>
                  <w:jc w:val="both"/>
                  <w:rPr>
                    <w:bCs/>
                    <w:szCs w:val="24"/>
                  </w:rPr>
                </w:pPr>
                <w:r>
                  <w:rPr>
                    <w:b/>
                    <w:bCs/>
                    <w:szCs w:val="24"/>
                    <w:lang w:val="en-US"/>
                  </w:rPr>
                  <w:t xml:space="preserve">01 uždavinys. Koordinuoti ir plėtoti tiesioginius ryšius su užsienio partneriais. </w:t>
                </w:r>
                <w:r>
                  <w:rPr>
                    <w:bCs/>
                    <w:szCs w:val="24"/>
                  </w:rPr>
                  <w:t xml:space="preserve"> Ryšių su užsieniu programa padės užmegzti, plėtoti Alytaus rajono ir užsienio šalių miestų, rajonų ryšius ir koordinuoti Savivaldybės ryšius su užsienio savivaldybėmis, institucijomis, tarptautinėmis organizacijomis. Todėl savivaldybei svarbu nustatyti rajono išskirtinumą, jo stiprias puses, leisiančias aktyviai formuoti Alytaus rajono įvaizdį, kaip patrauklios dirbti, gyventi, ilsėtis, investuoti savivaldybės. Formavimas palankaus, savito savivaldybės įvaizdžio padės siekti darnaus vystymosi ir didesnio viešojo administravimo efektyvumo bei bendrų projektų su užsienio partneriais įgyvendinimo. Šiuo uždaviniu finansuojamas savivaldybės delegacijų priėmimas, ar savivaldybės delegacijos vykimas į partnerių savivaldybes. Taip pat išlaidos, skirtos savivaldybę reprezentuoti. </w:t>
                </w:r>
              </w:p>
              <w:p>
                <w:pPr>
                  <w:rPr>
                    <w:sz w:val="10"/>
                    <w:szCs w:val="10"/>
                  </w:rPr>
                </w:pPr>
              </w:p>
              <w:p>
                <w:pPr>
                  <w:rPr>
                    <w:szCs w:val="24"/>
                  </w:rPr>
                </w:pPr>
                <w:r>
                  <w:rPr>
                    <w:i/>
                    <w:szCs w:val="24"/>
                    <w:u w:val="single"/>
                  </w:rPr>
                  <w:t>Rezultato vertinimo kriterijus</w:t>
                </w:r>
                <w:r>
                  <w:rPr>
                    <w:i/>
                    <w:szCs w:val="24"/>
                  </w:rPr>
                  <w:t xml:space="preserve">: </w:t>
                </w:r>
                <w:r>
                  <w:rPr>
                    <w:szCs w:val="24"/>
                  </w:rPr>
                  <w:t xml:space="preserve"> partnerių skaičius, vnt. </w:t>
                </w:r>
                <w:r>
                  <w:rPr>
                    <w:sz w:val="22"/>
                    <w:szCs w:val="22"/>
                  </w:rPr>
                  <w:t>15</w:t>
                </w:r>
              </w:p>
            </w:tc>
          </w:tr>
        </w:tbl>
        <w:p>
          <w:pPr>
            <w:rPr>
              <w:szCs w:val="24"/>
            </w:rPr>
          </w:pPr>
        </w:p>
      </w:sdtContent>
    </w:sdt>
    <w:sdt>
      <w:sdtPr>
        <w:alias w:val="pastraipa"/>
        <w:tag w:val="part_d111e4f81682454da8b459e8d6e098c4"/>
        <w:lock w:val="sdtLocked"/>
        <w:richText/>
      </w:sdtPr>
      <w:sdtContent>
        <w:p>
          <w:pPr>
            <w:pBdr>
              <w:top w:val="single" w:sz="4" w:space="1" w:color="auto"/>
              <w:left w:val="single" w:sz="4" w:space="0" w:color="auto"/>
              <w:bottom w:val="single" w:sz="4" w:space="1" w:color="auto"/>
              <w:right w:val="single" w:sz="4" w:space="8" w:color="auto"/>
              <w:between w:val="single" w:sz="4" w:space="1" w:color="auto"/>
              <w:bar w:val="single" w:sz="4" w:color="auto"/>
            </w:pBdr>
            <w:ind w:right="113"/>
            <w:jc w:val="both"/>
            <w:rPr>
              <w:szCs w:val="24"/>
            </w:rPr>
          </w:pPr>
          <w:r>
            <w:rPr>
              <w:b/>
              <w:szCs w:val="24"/>
            </w:rPr>
            <w:t>Numatomas programos įgyvendinimo rezultatas</w:t>
          </w:r>
          <w:r>
            <w:rPr>
              <w:szCs w:val="24"/>
            </w:rPr>
            <w:t xml:space="preserve">: </w:t>
          </w:r>
          <w:r>
            <w:rPr>
              <w:bCs/>
              <w:szCs w:val="24"/>
            </w:rPr>
            <w:t>patrauklus rajonas, kuriame palanki verslui aplinka, vyksta turiningas viešasis gyvenimas, stipri, aktyvi bendruomenė. Kokybiškas bendruomenės ir rajono svečių informavimas apie savivaldybės veiklą pagerins rajono įvaizdį ir leis sužinoti galimiems rajono investuotojams apie rajono plėtros galimybes.</w:t>
          </w:r>
        </w:p>
        <w:p>
          <w:pPr>
            <w:ind w:right="-601"/>
            <w:rPr>
              <w:szCs w:val="24"/>
            </w:rPr>
          </w:pPr>
        </w:p>
      </w:sdtContent>
    </w:sdt>
    <w:sdt>
      <w:sdtPr>
        <w:alias w:val="lentele"/>
        <w:tag w:val="part_5e589a19e053483187add7c9ea8bc0f8"/>
        <w:lock w:val="sdtLocked"/>
        <w:richText/>
      </w:sdtPr>
      <w:sdtContent>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65"/>
          </w:tblGrid>
          <w:tr>
            <w:tc>
              <w:tcPr>
                <w:tcW w:w="10065" w:type="dxa"/>
              </w:tcPr>
              <w:p>
                <w:pPr>
                  <w:rPr>
                    <w:b/>
                    <w:bCs/>
                    <w:sz w:val="22"/>
                    <w:szCs w:val="22"/>
                  </w:rPr>
                </w:pPr>
                <w:r>
                  <w:rPr>
                    <w:b/>
                    <w:bCs/>
                    <w:sz w:val="22"/>
                    <w:szCs w:val="22"/>
                  </w:rPr>
                  <w:t xml:space="preserve">Galimi programos vykdymo ir finansavimo variantai: </w:t>
                </w:r>
                <w:r>
                  <w:rPr>
                    <w:szCs w:val="24"/>
                  </w:rPr>
                  <w:t>savivaldybės biudžeto lėšos.</w:t>
                </w:r>
              </w:p>
            </w:tc>
          </w:tr>
          <w:tr>
            <w:tc>
              <w:tcPr>
                <w:tcW w:w="10065" w:type="dxa"/>
              </w:tcPr>
              <w:p>
                <w:pPr>
                  <w:rPr>
                    <w:sz w:val="8"/>
                    <w:szCs w:val="8"/>
                  </w:rPr>
                </w:pPr>
              </w:p>
              <w:p>
                <w:pPr>
                  <w:suppressAutoHyphens/>
                  <w:jc w:val="both"/>
                  <w:textAlignment w:val="baseline"/>
                  <w:rPr>
                    <w:b/>
                    <w:sz w:val="22"/>
                    <w:szCs w:val="24"/>
                  </w:rPr>
                </w:pPr>
                <w:r>
                  <w:rPr>
                    <w:b/>
                    <w:szCs w:val="24"/>
                  </w:rPr>
                  <w:t>Alytaus rajono strateginio plėtros plano dalys, susijusios su vykdoma programa:</w:t>
                </w:r>
                <w:r>
                  <w:rPr>
                    <w:b/>
                    <w:sz w:val="22"/>
                    <w:szCs w:val="24"/>
                  </w:rPr>
                  <w:t xml:space="preserve"> </w:t>
                </w:r>
              </w:p>
              <w:p>
                <w:pPr>
                  <w:rPr>
                    <w:sz w:val="8"/>
                    <w:szCs w:val="8"/>
                  </w:rPr>
                </w:pPr>
              </w:p>
              <w:p>
                <w:pPr>
                  <w:suppressAutoHyphens/>
                  <w:jc w:val="both"/>
                  <w:textAlignment w:val="baseline"/>
                  <w:rPr>
                    <w:szCs w:val="24"/>
                  </w:rPr>
                </w:pPr>
                <w:r>
                  <w:rPr>
                    <w:szCs w:val="24"/>
                  </w:rPr>
                  <w:t>2 prioritetas. Sumanios, veiklios, susitelkusios bendruomenės, pažangi, socialiai atsakinga savivalda prioritetas</w:t>
                </w:r>
              </w:p>
              <w:p>
                <w:pPr>
                  <w:rPr>
                    <w:sz w:val="8"/>
                    <w:szCs w:val="8"/>
                  </w:rPr>
                </w:pPr>
              </w:p>
              <w:p>
                <w:pPr>
                  <w:suppressAutoHyphens/>
                  <w:jc w:val="both"/>
                  <w:textAlignment w:val="baseline"/>
                  <w:rPr>
                    <w:szCs w:val="24"/>
                  </w:rPr>
                </w:pPr>
                <w:r>
                  <w:rPr>
                    <w:szCs w:val="24"/>
                  </w:rPr>
                  <w:t xml:space="preserve">2.1. tikslas. </w:t>
                </w:r>
                <w:r>
                  <w:rPr>
                    <w:color w:val="000000"/>
                    <w:szCs w:val="24"/>
                    <w:lang w:eastAsia="lt-LT"/>
                  </w:rPr>
                  <w:t xml:space="preserve">Didinti valdymo kokybę ir ugdyti darbuotojų kompetencijas, siekiant patenkinti verslo ir gyventojų poreikius, 2.1.2. uždavinys. </w:t>
                </w:r>
                <w:r>
                  <w:rPr>
                    <w:szCs w:val="24"/>
                  </w:rPr>
                  <w:t>Pasinaudoti skaitmeninimo teikiama nauda, skatinti elektroninių viešųjų paslaugų vystymą, pritaikymą vartotojų poreikiams ir naudojimą, įgyvendinti gerojo valdymo principus.</w:t>
                </w:r>
              </w:p>
              <w:p>
                <w:pPr>
                  <w:rPr>
                    <w:sz w:val="8"/>
                    <w:szCs w:val="8"/>
                  </w:rPr>
                </w:pPr>
              </w:p>
              <w:p>
                <w:pPr>
                  <w:suppressAutoHyphens/>
                  <w:jc w:val="both"/>
                  <w:textAlignment w:val="baseline"/>
                  <w:rPr>
                    <w:szCs w:val="24"/>
                  </w:rPr>
                </w:pPr>
                <w:r>
                  <w:rPr>
                    <w:szCs w:val="24"/>
                  </w:rPr>
                  <w:t>3 prioritetas. Patogus, svetingas, žalias rajonas.</w:t>
                </w:r>
              </w:p>
              <w:p>
                <w:pPr>
                  <w:rPr>
                    <w:sz w:val="8"/>
                    <w:szCs w:val="8"/>
                  </w:rPr>
                </w:pPr>
              </w:p>
              <w:p>
                <w:pPr>
                  <w:suppressAutoHyphens/>
                  <w:jc w:val="both"/>
                  <w:textAlignment w:val="baseline"/>
                  <w:rPr>
                    <w:color w:val="000000"/>
                    <w:szCs w:val="24"/>
                    <w:lang w:eastAsia="lt-LT"/>
                  </w:rPr>
                </w:pPr>
                <w:r>
                  <w:rPr>
                    <w:szCs w:val="24"/>
                  </w:rPr>
                  <w:t>3.1 tikslas. Plėtoti patogiam gyvenimui ir ūkinei veiklai aktualią tvarią infrastruktūrą, uždavinys 3.1.2. Gerinti skaitmenines jungtis ir įgyvendinti skaitmeninės infrastruktūros plėtrą.</w:t>
                </w:r>
              </w:p>
            </w:tc>
          </w:tr>
        </w:tbl>
        <w:p>
          <w:pPr>
            <w:rPr>
              <w:szCs w:val="24"/>
            </w:rPr>
          </w:pPr>
        </w:p>
      </w:sdtContent>
    </w:sdt>
    <w:sdt>
      <w:sdtPr>
        <w:alias w:val="lentele"/>
        <w:tag w:val="part_472c98d88544409b9622a8d0e8b14826"/>
        <w:lock w:val="sdtLocked"/>
        <w:richText/>
      </w:sdtPr>
      <w:sdtContent>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60"/>
          </w:tblGrid>
          <w:tr>
            <w:trPr>
              <w:trHeight w:val="1691"/>
            </w:trPr>
            <w:tc>
              <w:tcPr>
                <w:tcW w:w="10060" w:type="dxa"/>
              </w:tcPr>
              <w:p>
                <w:pPr>
                  <w:jc w:val="both"/>
                  <w:rPr>
                    <w:b/>
                    <w:szCs w:val="24"/>
                  </w:rPr>
                </w:pPr>
                <w:r>
                  <w:rPr>
                    <w:b/>
                    <w:szCs w:val="24"/>
                  </w:rPr>
                  <w:t xml:space="preserve">Susiję Lietuvos Respublikos </w:t>
                </w:r>
                <w:r>
                  <w:rPr>
                    <w:b/>
                    <w:szCs w:val="22"/>
                  </w:rPr>
                  <w:t xml:space="preserve">ir savivaldybės </w:t>
                </w:r>
                <w:r>
                  <w:rPr>
                    <w:b/>
                    <w:szCs w:val="24"/>
                  </w:rPr>
                  <w:t xml:space="preserve">teisės aktai: </w:t>
                </w:r>
              </w:p>
              <w:p>
                <w:pPr>
                  <w:ind w:left="357" w:hanging="357"/>
                  <w:jc w:val="both"/>
                  <w:rPr>
                    <w:szCs w:val="24"/>
                  </w:rPr>
                </w:pPr>
                <w:r>
                  <w:rPr>
                    <w:rFonts w:ascii="Courier New" w:hAnsi="Courier New" w:cs="Courier New"/>
                    <w:szCs w:val="24"/>
                  </w:rPr>
                  <w:t>o</w:t>
                  <w:tab/>
                </w:r>
                <w:r>
                  <w:rPr>
                    <w:szCs w:val="24"/>
                  </w:rPr>
                  <w:t xml:space="preserve">Lietuvos Respublikos Konstitucija; </w:t>
                </w:r>
              </w:p>
              <w:p>
                <w:pPr>
                  <w:ind w:left="357" w:hanging="357"/>
                  <w:jc w:val="both"/>
                  <w:rPr>
                    <w:szCs w:val="24"/>
                  </w:rPr>
                </w:pPr>
                <w:r>
                  <w:rPr>
                    <w:rFonts w:ascii="Courier New" w:hAnsi="Courier New" w:cs="Courier New"/>
                    <w:szCs w:val="24"/>
                  </w:rPr>
                  <w:t>o</w:t>
                  <w:tab/>
                </w:r>
                <w:r>
                  <w:rPr>
                    <w:szCs w:val="24"/>
                  </w:rPr>
                  <w:t>Lietuvos Respublikos</w:t>
                </w:r>
                <w:r>
                  <w:rPr>
                    <w:b/>
                    <w:szCs w:val="24"/>
                  </w:rPr>
                  <w:t xml:space="preserve"> </w:t>
                </w:r>
                <w:r>
                  <w:rPr>
                    <w:bCs/>
                    <w:szCs w:val="24"/>
                  </w:rPr>
                  <w:t>v</w:t>
                </w:r>
                <w:r>
                  <w:rPr>
                    <w:szCs w:val="24"/>
                  </w:rPr>
                  <w:t xml:space="preserve">ietos savivaldos įstatymas; </w:t>
                </w:r>
              </w:p>
              <w:p>
                <w:pPr>
                  <w:ind w:left="357" w:hanging="357"/>
                  <w:jc w:val="both"/>
                  <w:rPr>
                    <w:szCs w:val="24"/>
                  </w:rPr>
                </w:pPr>
                <w:r>
                  <w:rPr>
                    <w:rFonts w:ascii="Courier New" w:hAnsi="Courier New" w:cs="Courier New"/>
                    <w:szCs w:val="24"/>
                  </w:rPr>
                  <w:t>o</w:t>
                  <w:tab/>
                </w:r>
                <w:r>
                  <w:rPr>
                    <w:bCs/>
                    <w:szCs w:val="24"/>
                    <w:lang w:eastAsia="lt-LT"/>
                  </w:rPr>
                  <w:t>Lietuvos Respublikos visuomenės informavimo įstatymas;</w:t>
                </w:r>
                <w:r>
                  <w:rPr>
                    <w:szCs w:val="24"/>
                    <w:lang w:eastAsia="lt-LT"/>
                  </w:rPr>
                  <w:t xml:space="preserve"> </w:t>
                </w:r>
              </w:p>
              <w:p>
                <w:pPr>
                  <w:ind w:left="357" w:hanging="357"/>
                  <w:jc w:val="both"/>
                  <w:rPr>
                    <w:szCs w:val="24"/>
                  </w:rPr>
                </w:pPr>
                <w:r>
                  <w:rPr>
                    <w:rFonts w:ascii="Courier New" w:hAnsi="Courier New" w:cs="Courier New"/>
                    <w:szCs w:val="24"/>
                  </w:rPr>
                  <w:t>o</w:t>
                  <w:tab/>
                </w:r>
                <w:r>
                  <w:rPr>
                    <w:szCs w:val="24"/>
                  </w:rPr>
                  <w:t xml:space="preserve">Lietuvos Respublikos biudžetinių įstaigų įstatymas; </w:t>
                </w:r>
              </w:p>
              <w:p>
                <w:pPr>
                  <w:ind w:left="357" w:hanging="357"/>
                  <w:jc w:val="both"/>
                  <w:rPr>
                    <w:szCs w:val="24"/>
                  </w:rPr>
                </w:pPr>
                <w:r>
                  <w:rPr>
                    <w:rFonts w:ascii="Courier New" w:hAnsi="Courier New" w:cs="Courier New"/>
                    <w:szCs w:val="24"/>
                  </w:rPr>
                  <w:t>o</w:t>
                  <w:tab/>
                </w:r>
                <w:r>
                  <w:rPr>
                    <w:szCs w:val="24"/>
                  </w:rPr>
                  <w:t>Lietuvos Respublikos teisės gauti informaciją iš valstybės ir savivaldybių institucijų ir įstaigų įstatymas.</w:t>
                </w:r>
              </w:p>
            </w:tc>
          </w:tr>
          <w:tr>
            <w:trPr>
              <w:trHeight w:val="410"/>
            </w:trPr>
            <w:tc>
              <w:tcPr>
                <w:tcW w:w="10060" w:type="dxa"/>
              </w:tcPr>
              <w:p>
                <w:pPr>
                  <w:jc w:val="both"/>
                  <w:rPr>
                    <w:b/>
                    <w:szCs w:val="24"/>
                  </w:rPr>
                </w:pPr>
                <w:r>
                  <w:rPr>
                    <w:b/>
                    <w:szCs w:val="24"/>
                  </w:rPr>
                  <w:t>Kita svarbi informacija:</w:t>
                </w:r>
              </w:p>
            </w:tc>
          </w:tr>
        </w:tbl>
        <w:p>
          <w:pPr>
            <w:rPr>
              <w:szCs w:val="24"/>
            </w:rPr>
          </w:pPr>
        </w:p>
      </w:sdtContent>
    </w:sdt>
    <w:sdt>
      <w:sdtPr>
        <w:alias w:val="pastraipa"/>
        <w:tag w:val="part_2a75b25bbe654c27a767b5047716eaf1"/>
        <w:lock w:val="sdtLocked"/>
        <w:richText/>
      </w:sdtPr>
      <w:sdtContent>
        <w:p>
          <w:pPr>
            <w:jc w:val="center"/>
            <w:rPr>
              <w:szCs w:val="24"/>
            </w:rPr>
          </w:pPr>
          <w:r>
            <w:rPr>
              <w:szCs w:val="24"/>
            </w:rPr>
            <w:t>_________________________________</w:t>
          </w:r>
        </w:p>
        <w:p>
          <w:pPr>
            <w:tabs>
              <w:tab w:val="left" w:pos="7588"/>
            </w:tabs>
            <w:rPr>
              <w:szCs w:val="24"/>
            </w:rPr>
          </w:pPr>
        </w:p>
      </w:sdtContent>
    </w:sdt>
    <w:sectPr>
      <w:pgSz w:w="12240" w:h="15840"/>
      <w:pgMar w:top="1134" w:right="567"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7017E84-AD7F-44E9-8F48-8E041980EB8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6226475">
      <w:bodyDiv w:val="1"/>
      <w:marLeft w:val="0"/>
      <w:marRight w:val="0"/>
      <w:marTop w:val="0"/>
      <w:marBottom w:val="0"/>
      <w:divBdr>
        <w:top w:val="none" w:sz="0" w:space="0" w:color="auto"/>
        <w:left w:val="none" w:sz="0" w:space="0" w:color="auto"/>
        <w:bottom w:val="none" w:sz="0" w:space="0" w:color="auto"/>
        <w:right w:val="none" w:sz="0" w:space="0" w:color="auto"/>
      </w:divBdr>
    </w:div>
    <w:div w:id="336465068">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10935954">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1069227872">
      <w:bodyDiv w:val="1"/>
      <w:marLeft w:val="0"/>
      <w:marRight w:val="0"/>
      <w:marTop w:val="0"/>
      <w:marBottom w:val="0"/>
      <w:divBdr>
        <w:top w:val="none" w:sz="0" w:space="0" w:color="auto"/>
        <w:left w:val="none" w:sz="0" w:space="0" w:color="auto"/>
        <w:bottom w:val="none" w:sz="0" w:space="0" w:color="auto"/>
        <w:right w:val="none" w:sz="0" w:space="0" w:color="auto"/>
      </w:divBdr>
    </w:div>
    <w:div w:id="1121454320">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523128181">
      <w:bodyDiv w:val="1"/>
      <w:marLeft w:val="0"/>
      <w:marRight w:val="0"/>
      <w:marTop w:val="0"/>
      <w:marBottom w:val="0"/>
      <w:divBdr>
        <w:top w:val="none" w:sz="0" w:space="0" w:color="auto"/>
        <w:left w:val="none" w:sz="0" w:space="0" w:color="auto"/>
        <w:bottom w:val="none" w:sz="0" w:space="0" w:color="auto"/>
        <w:right w:val="none" w:sz="0" w:space="0" w:color="auto"/>
      </w:divBdr>
    </w:div>
    <w:div w:id="1578972873">
      <w:bodyDiv w:val="1"/>
      <w:marLeft w:val="0"/>
      <w:marRight w:val="0"/>
      <w:marTop w:val="0"/>
      <w:marBottom w:val="0"/>
      <w:divBdr>
        <w:top w:val="none" w:sz="0" w:space="0" w:color="auto"/>
        <w:left w:val="none" w:sz="0" w:space="0" w:color="auto"/>
        <w:bottom w:val="none" w:sz="0" w:space="0" w:color="auto"/>
        <w:right w:val="none" w:sz="0" w:space="0" w:color="auto"/>
      </w:divBdr>
      <w:divsChild>
        <w:div w:id="699816148">
          <w:marLeft w:val="0"/>
          <w:marRight w:val="0"/>
          <w:marTop w:val="0"/>
          <w:marBottom w:val="0"/>
          <w:divBdr>
            <w:top w:val="none" w:sz="0" w:space="0" w:color="auto"/>
            <w:left w:val="none" w:sz="0" w:space="0" w:color="auto"/>
            <w:bottom w:val="none" w:sz="0" w:space="0" w:color="auto"/>
            <w:right w:val="none" w:sz="0" w:space="0" w:color="auto"/>
          </w:divBdr>
          <w:divsChild>
            <w:div w:id="1641495480">
              <w:marLeft w:val="0"/>
              <w:marRight w:val="0"/>
              <w:marTop w:val="0"/>
              <w:marBottom w:val="0"/>
              <w:divBdr>
                <w:top w:val="none" w:sz="0" w:space="0" w:color="auto"/>
                <w:left w:val="none" w:sz="0" w:space="0" w:color="auto"/>
                <w:bottom w:val="none" w:sz="0" w:space="0" w:color="auto"/>
                <w:right w:val="none" w:sz="0" w:space="0" w:color="auto"/>
              </w:divBdr>
              <w:divsChild>
                <w:div w:id="81219248">
                  <w:marLeft w:val="0"/>
                  <w:marRight w:val="0"/>
                  <w:marTop w:val="0"/>
                  <w:marBottom w:val="0"/>
                  <w:divBdr>
                    <w:top w:val="none" w:sz="0" w:space="0" w:color="auto"/>
                    <w:left w:val="none" w:sz="0" w:space="0" w:color="auto"/>
                    <w:bottom w:val="none" w:sz="0" w:space="0" w:color="auto"/>
                    <w:right w:val="none" w:sz="0" w:space="0" w:color="auto"/>
                  </w:divBdr>
                  <w:divsChild>
                    <w:div w:id="742414262">
                      <w:marLeft w:val="0"/>
                      <w:marRight w:val="0"/>
                      <w:marTop w:val="0"/>
                      <w:marBottom w:val="0"/>
                      <w:divBdr>
                        <w:top w:val="none" w:sz="0" w:space="0" w:color="auto"/>
                        <w:left w:val="none" w:sz="0" w:space="0" w:color="auto"/>
                        <w:bottom w:val="none" w:sz="0" w:space="0" w:color="auto"/>
                        <w:right w:val="none" w:sz="0" w:space="0" w:color="auto"/>
                      </w:divBdr>
                      <w:divsChild>
                        <w:div w:id="1563638566">
                          <w:marLeft w:val="0"/>
                          <w:marRight w:val="0"/>
                          <w:marTop w:val="0"/>
                          <w:marBottom w:val="0"/>
                          <w:divBdr>
                            <w:top w:val="none" w:sz="0" w:space="0" w:color="auto"/>
                            <w:left w:val="none" w:sz="0" w:space="0" w:color="auto"/>
                            <w:bottom w:val="none" w:sz="0" w:space="0" w:color="auto"/>
                            <w:right w:val="none" w:sz="0" w:space="0" w:color="auto"/>
                          </w:divBdr>
                          <w:divsChild>
                            <w:div w:id="1411387782">
                              <w:marLeft w:val="240"/>
                              <w:marRight w:val="0"/>
                              <w:marTop w:val="0"/>
                              <w:marBottom w:val="0"/>
                              <w:divBdr>
                                <w:top w:val="none" w:sz="0" w:space="0" w:color="auto"/>
                                <w:left w:val="none" w:sz="0" w:space="0" w:color="auto"/>
                                <w:bottom w:val="none" w:sz="0" w:space="0" w:color="auto"/>
                                <w:right w:val="none" w:sz="0" w:space="0" w:color="auto"/>
                              </w:divBdr>
                              <w:divsChild>
                                <w:div w:id="392971404">
                                  <w:marLeft w:val="0"/>
                                  <w:marRight w:val="0"/>
                                  <w:marTop w:val="0"/>
                                  <w:marBottom w:val="0"/>
                                  <w:divBdr>
                                    <w:top w:val="none" w:sz="0" w:space="0" w:color="auto"/>
                                    <w:left w:val="none" w:sz="0" w:space="0" w:color="auto"/>
                                    <w:bottom w:val="none" w:sz="0" w:space="0" w:color="auto"/>
                                    <w:right w:val="none" w:sz="0" w:space="0" w:color="auto"/>
                                  </w:divBdr>
                                  <w:divsChild>
                                    <w:div w:id="1615867120">
                                      <w:marLeft w:val="0"/>
                                      <w:marRight w:val="0"/>
                                      <w:marTop w:val="0"/>
                                      <w:marBottom w:val="0"/>
                                      <w:divBdr>
                                        <w:top w:val="none" w:sz="0" w:space="0" w:color="auto"/>
                                        <w:left w:val="none" w:sz="0" w:space="0" w:color="auto"/>
                                        <w:bottom w:val="none" w:sz="0" w:space="0" w:color="auto"/>
                                        <w:right w:val="none" w:sz="0" w:space="0" w:color="auto"/>
                                      </w:divBdr>
                                      <w:divsChild>
                                        <w:div w:id="865752322">
                                          <w:marLeft w:val="0"/>
                                          <w:marRight w:val="0"/>
                                          <w:marTop w:val="0"/>
                                          <w:marBottom w:val="0"/>
                                          <w:divBdr>
                                            <w:top w:val="none" w:sz="0" w:space="0" w:color="auto"/>
                                            <w:left w:val="none" w:sz="0" w:space="0" w:color="auto"/>
                                            <w:bottom w:val="none" w:sz="0" w:space="0" w:color="auto"/>
                                            <w:right w:val="none" w:sz="0" w:space="0" w:color="auto"/>
                                          </w:divBdr>
                                          <w:divsChild>
                                            <w:div w:id="2145156643">
                                              <w:marLeft w:val="0"/>
                                              <w:marRight w:val="0"/>
                                              <w:marTop w:val="0"/>
                                              <w:marBottom w:val="0"/>
                                              <w:divBdr>
                                                <w:top w:val="none" w:sz="0" w:space="0" w:color="auto"/>
                                                <w:left w:val="none" w:sz="0" w:space="0" w:color="auto"/>
                                                <w:bottom w:val="none" w:sz="0" w:space="0" w:color="auto"/>
                                                <w:right w:val="none" w:sz="0" w:space="0" w:color="auto"/>
                                              </w:divBdr>
                                              <w:divsChild>
                                                <w:div w:id="499664204">
                                                  <w:marLeft w:val="0"/>
                                                  <w:marRight w:val="0"/>
                                                  <w:marTop w:val="0"/>
                                                  <w:marBottom w:val="0"/>
                                                  <w:divBdr>
                                                    <w:top w:val="none" w:sz="0" w:space="0" w:color="auto"/>
                                                    <w:left w:val="none" w:sz="0" w:space="0" w:color="auto"/>
                                                    <w:bottom w:val="none" w:sz="0" w:space="0" w:color="auto"/>
                                                    <w:right w:val="none" w:sz="0" w:space="0" w:color="auto"/>
                                                  </w:divBdr>
                                                  <w:divsChild>
                                                    <w:div w:id="421267127">
                                                      <w:marLeft w:val="0"/>
                                                      <w:marRight w:val="0"/>
                                                      <w:marTop w:val="0"/>
                                                      <w:marBottom w:val="0"/>
                                                      <w:divBdr>
                                                        <w:top w:val="none" w:sz="0" w:space="0" w:color="auto"/>
                                                        <w:left w:val="none" w:sz="0" w:space="0" w:color="auto"/>
                                                        <w:bottom w:val="none" w:sz="0" w:space="0" w:color="auto"/>
                                                        <w:right w:val="none" w:sz="0" w:space="0" w:color="auto"/>
                                                      </w:divBdr>
                                                      <w:divsChild>
                                                        <w:div w:id="208910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lentele" DocPartId="66324615d8514cbda6bf859b032c9c01" PartId="bae4c709c22240d59c2d6a801836f2a3">
    <Part Type="forma" Nr="1" Abbr="1 frm." Title="INFORMACINĖS VISUOMENĖS PLĖTROS PROGRAMOS APRAŠYMAS" DocPartId="5cb7feb6fba542349a63e28900f29866" PartId="6d673b995c5e4e96aef2ab82b9e4a606"/>
  </Part>
  <Part Type="lentele" DocPartId="1dbb955da8b04dbab63c7df9b3baeef5" PartId="1713e13f3b18495cb28c2a8c6159424d"/>
  <Part Type="lentele" DocPartId="3144ba05ad754323bda593260ff0ea08" PartId="85587e21aa9b4e72abb6a8f0381602ca"/>
  <Part Type="pastraipa" DocPartId="d3fa340f8bdb4ff4a9ec2211606b575c" PartId="d111e4f81682454da8b459e8d6e098c4"/>
  <Part Type="lentele" DocPartId="6984af4777df4b5aa48e42448aae4782" PartId="5e589a19e053483187add7c9ea8bc0f8"/>
  <Part Type="lentele" DocPartId="6c631d92195e49958a5c21a5da8a53e9" PartId="472c98d88544409b9622a8d0e8b14826"/>
  <Part Type="pastraipa" DocPartId="3ec82e4e73d743aeb325bae1fffa82f1" PartId="2a75b25bbe654c27a767b5047716eaf1"/>
</Parts>
</file>

<file path=customXml/itemProps1.xml><?xml version="1.0" encoding="utf-8"?>
<ds:datastoreItem xmlns:ds="http://schemas.openxmlformats.org/officeDocument/2006/customXml" ds:itemID="{AF8AC8CE-FF53-42A2-955E-DC9DDB371463}">
  <ds:schemaRefs>
    <ds:schemaRef ds:uri="http://schemas.openxmlformats.org/officeDocument/2006/bibliography"/>
  </ds:schemaRefs>
</ds:datastoreItem>
</file>

<file path=customXml/itemProps2.xml><?xml version="1.0" encoding="utf-8"?>
<ds:datastoreItem xmlns:ds="http://schemas.openxmlformats.org/officeDocument/2006/customXml" ds:itemID="{F666A4C3-701C-4798-85F3-DCDA9D65C4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734</Words>
  <Characters>5932</Characters>
  <Application>Microsoft Office Word</Application>
  <DocSecurity>4</DocSecurity>
  <Lines>160</Lines>
  <Paragraphs>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6589</CharactersWithSpaces>
  <SharedDoc>false</SharedDoc>
  <HyperlinkBase/>
  <HLinks>
    <vt:vector size="6" baseType="variant">
      <vt:variant>
        <vt:i4>6488111</vt:i4>
      </vt:variant>
      <vt:variant>
        <vt:i4>0</vt:i4>
      </vt:variant>
      <vt:variant>
        <vt:i4>0</vt:i4>
      </vt:variant>
      <vt:variant>
        <vt:i4>5</vt:i4>
      </vt:variant>
      <vt:variant>
        <vt:lpwstr>http://www.arsa.lt/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r.dirsiene</dc:creator>
  <lastModifiedBy>adlibuser</lastModifiedBy>
  <lastPrinted>2020-02-10T14:38:00Z</lastPrinted>
  <dcterms:modified xsi:type="dcterms:W3CDTF">2022-02-22T11:31:00Z</dcterms:modified>
  <revision>2</revision>
  <dc:title/>
</coreProperties>
</file>