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8abe95ee7b43948ce02eef1e9cf913"/>
        <w:lock w:val="sdtLocked"/>
        <w:richText/>
      </w:sdtPr>
      <w:sdtContent>
        <w:p>
          <w:pPr>
            <w:ind w:right="141" w:firstLine="2170"/>
            <w:rPr>
              <w:szCs w:val="16"/>
            </w:rPr>
          </w:pPr>
        </w:p>
        <w:tbl>
          <w:tblPr>
            <w:tblW w:w="0" w:type="auto"/>
            <w:tblLook w:val="04A0" w:firstRow="1" w:lastRow="0" w:firstColumn="1" w:lastColumn="0" w:noHBand="0" w:noVBand="1"/>
          </w:tblPr>
          <w:tblGrid>
            <w:gridCol w:w="4536"/>
          </w:tblGrid>
          <w:tr>
            <w:trPr>
              <w:trHeight w:val="851"/>
            </w:trPr>
            <w:tc>
              <w:tcPr>
                <w:tcW w:w="4536" w:type="dxa"/>
                <w:shd w:val="clear" w:color="auto" w:fill="auto"/>
              </w:tcPr>
              <w:p>
                <w:pPr>
                  <w:ind w:right="141"/>
                  <w:rPr>
                    <w:bCs/>
                    <w:szCs w:val="24"/>
                  </w:rPr>
                </w:pPr>
                <w:r>
                  <w:rPr>
                    <w:bCs/>
                    <w:szCs w:val="24"/>
                  </w:rPr>
                  <w:t xml:space="preserve">PATVIRTINTA                                                    Alytaus rajono savivaldybės tarybos                                                                           2022 m. vasario 17 d. sprendimu Nr. K-1                                                                            </w:t>
                </w:r>
              </w:p>
            </w:tc>
          </w:tr>
        </w:tbl>
        <w:p>
          <w:pPr>
            <w:ind w:right="141"/>
            <w:jc w:val="right"/>
            <w:rPr>
              <w:szCs w:val="16"/>
            </w:rPr>
          </w:pPr>
        </w:p>
        <w:p>
          <w:pPr>
            <w:ind w:right="141"/>
            <w:jc w:val="right"/>
            <w:rPr>
              <w:szCs w:val="16"/>
            </w:rPr>
          </w:pPr>
        </w:p>
        <w:p>
          <w:pPr>
            <w:ind w:right="141"/>
            <w:jc w:val="right"/>
            <w:rPr>
              <w:szCs w:val="16"/>
            </w:rPr>
          </w:pPr>
        </w:p>
      </w:sdtContent>
    </w:sdt>
    <w:sdt>
      <w:sdtPr>
        <w:alias w:val="1 frm."/>
        <w:tag w:val="part_e864d44da8644018ad3f0bf20ca8bf86"/>
        <w:lock w:val="sdtLocked"/>
        <w:richText/>
      </w:sdtPr>
      <w:sdtContent>
        <w:p>
          <w:pPr>
            <w:ind w:right="141" w:firstLine="62"/>
            <w:jc w:val="right"/>
            <w:rPr>
              <w:szCs w:val="16"/>
            </w:rPr>
          </w:pPr>
          <w:r>
            <w:rPr>
              <w:szCs w:val="16"/>
            </w:rPr>
            <w:t xml:space="preserve">1 priedas                         </w:t>
          </w:r>
        </w:p>
        <w:p>
          <w:pPr>
            <w:ind w:right="141"/>
            <w:jc w:val="right"/>
            <w:rPr>
              <w:bCs/>
              <w:szCs w:val="24"/>
            </w:rPr>
          </w:pPr>
          <w:r>
            <w:rPr>
              <w:bCs/>
              <w:szCs w:val="24"/>
            </w:rPr>
            <w:t>1 b forma</w:t>
          </w:r>
        </w:p>
        <w:p>
          <w:pPr>
            <w:jc w:val="center"/>
            <w:rPr>
              <w:bCs/>
              <w:sz w:val="16"/>
              <w:szCs w:val="16"/>
            </w:rPr>
          </w:pPr>
        </w:p>
        <w:p>
          <w:pPr>
            <w:jc w:val="center"/>
            <w:rPr>
              <w:bCs/>
              <w:sz w:val="16"/>
              <w:szCs w:val="16"/>
            </w:rPr>
          </w:pPr>
        </w:p>
        <w:sdt>
          <w:sdtPr>
            <w:alias w:val="Pavadinimas"/>
            <w:tag w:val="title_e864d44da8644018ad3f0bf20ca8bf86"/>
            <w:lock w:val="sdtLocked"/>
            <w:richText/>
          </w:sdtPr>
          <w:sdtContent>
            <w:p>
              <w:pPr>
                <w:jc w:val="center"/>
                <w:rPr>
                  <w:b/>
                  <w:szCs w:val="24"/>
                </w:rPr>
              </w:pPr>
              <w:r>
                <w:rPr>
                  <w:b/>
                  <w:szCs w:val="24"/>
                </w:rPr>
                <w:t>KULTŪROS VEIKLOS PLĖTROS IR JOS VAIDMENS BENDRUOMENĖS GYVENIME STIPRINIMO</w:t>
              </w:r>
            </w:p>
            <w:p>
              <w:pPr>
                <w:jc w:val="center"/>
                <w:rPr>
                  <w:bCs/>
                  <w:szCs w:val="22"/>
                </w:rPr>
              </w:pPr>
              <w:r>
                <w:rPr>
                  <w:bCs/>
                  <w:szCs w:val="22"/>
                </w:rPr>
                <w:t>PROGRAMOS APRAŠYMAS</w:t>
              </w:r>
            </w:p>
          </w:sdtContent>
        </w:sdt>
        <w:p>
          <w:pPr>
            <w:rPr>
              <w:b/>
              <w:bCs/>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371"/>
          </w:tblGrid>
          <w:tr>
            <w:tc>
              <w:tcPr>
                <w:tcW w:w="2235" w:type="dxa"/>
                <w:vAlign w:val="center"/>
              </w:tcPr>
              <w:p>
                <w:pPr>
                  <w:keepNext/>
                  <w:rPr>
                    <w:b/>
                    <w:bCs/>
                    <w:sz w:val="22"/>
                  </w:rPr>
                </w:pPr>
                <w:r>
                  <w:rPr>
                    <w:b/>
                    <w:bCs/>
                    <w:sz w:val="22"/>
                  </w:rPr>
                  <w:t>Biudžetiniai metai</w:t>
                </w:r>
              </w:p>
            </w:tc>
            <w:tc>
              <w:tcPr>
                <w:tcW w:w="7371" w:type="dxa"/>
                <w:vAlign w:val="center"/>
              </w:tcPr>
              <w:p>
                <w:pPr>
                  <w:rPr>
                    <w:b/>
                    <w:sz w:val="22"/>
                    <w:szCs w:val="24"/>
                  </w:rPr>
                </w:pPr>
                <w:r>
                  <w:rPr>
                    <w:b/>
                    <w:sz w:val="22"/>
                    <w:szCs w:val="24"/>
                  </w:rPr>
                  <w:t>2022 metai</w:t>
                </w:r>
              </w:p>
            </w:tc>
          </w:tr>
          <w:tr>
            <w:tc>
              <w:tcPr>
                <w:tcW w:w="2235" w:type="dxa"/>
                <w:vAlign w:val="center"/>
              </w:tcPr>
              <w:p>
                <w:pPr>
                  <w:keepNext/>
                  <w:rPr>
                    <w:b/>
                    <w:bCs/>
                    <w:sz w:val="22"/>
                  </w:rPr>
                </w:pPr>
                <w:r>
                  <w:rPr>
                    <w:b/>
                    <w:bCs/>
                    <w:sz w:val="22"/>
                  </w:rPr>
                  <w:t xml:space="preserve">Asignavimų valdytojas (-ai), kodas </w:t>
                </w:r>
              </w:p>
            </w:tc>
            <w:tc>
              <w:tcPr>
                <w:tcW w:w="7371" w:type="dxa"/>
                <w:vAlign w:val="center"/>
              </w:tcPr>
              <w:p>
                <w:pPr>
                  <w:rPr>
                    <w:szCs w:val="24"/>
                  </w:rPr>
                </w:pPr>
                <w:r>
                  <w:rPr>
                    <w:szCs w:val="24"/>
                  </w:rPr>
                  <w:t>Alytaus rajono savivaldybės administracijos direktorius, 188718528</w:t>
                </w:r>
              </w:p>
              <w:p>
                <w:pPr>
                  <w:rPr>
                    <w:szCs w:val="24"/>
                  </w:rPr>
                </w:pPr>
                <w:r>
                  <w:rPr>
                    <w:szCs w:val="24"/>
                  </w:rPr>
                  <w:t>Alytaus rajono savivaldybės viešosios bibliotekos direktorius, 188202383</w:t>
                </w:r>
              </w:p>
              <w:p>
                <w:pPr>
                  <w:rPr>
                    <w:szCs w:val="24"/>
                  </w:rPr>
                </w:pPr>
                <w:r>
                  <w:rPr>
                    <w:szCs w:val="24"/>
                  </w:rPr>
                  <w:t xml:space="preserve">Alytaus rajono savivaldybės kultūros centro direktorius, 304562801 </w:t>
                </w:r>
              </w:p>
            </w:tc>
          </w:tr>
          <w:tr>
            <w:tc>
              <w:tcPr>
                <w:tcW w:w="2235" w:type="dxa"/>
                <w:vAlign w:val="center"/>
              </w:tcPr>
              <w:p>
                <w:pPr>
                  <w:keepNext/>
                  <w:rPr>
                    <w:b/>
                    <w:bCs/>
                    <w:sz w:val="22"/>
                  </w:rPr>
                </w:pPr>
                <w:r>
                  <w:rPr>
                    <w:b/>
                    <w:bCs/>
                    <w:sz w:val="22"/>
                  </w:rPr>
                  <w:t>Vykdytojas (-ai)</w:t>
                </w:r>
              </w:p>
            </w:tc>
            <w:tc>
              <w:tcPr>
                <w:tcW w:w="7371" w:type="dxa"/>
                <w:vAlign w:val="center"/>
              </w:tcPr>
              <w:p>
                <w:pPr>
                  <w:rPr>
                    <w:szCs w:val="24"/>
                  </w:rPr>
                </w:pPr>
                <w:r>
                  <w:rPr>
                    <w:szCs w:val="24"/>
                  </w:rPr>
                  <w:t>Švietimo, kultūros ir sporto skyrius, A11</w:t>
                </w:r>
              </w:p>
              <w:p>
                <w:pPr>
                  <w:rPr>
                    <w:szCs w:val="24"/>
                  </w:rPr>
                </w:pPr>
                <w:r>
                  <w:rPr>
                    <w:szCs w:val="24"/>
                  </w:rPr>
                  <w:t>Komunalinio ūkio ir architektūros skyrius, A1</w:t>
                </w:r>
              </w:p>
              <w:p>
                <w:pPr>
                  <w:rPr>
                    <w:szCs w:val="24"/>
                  </w:rPr>
                </w:pPr>
                <w:r>
                  <w:rPr>
                    <w:szCs w:val="24"/>
                  </w:rPr>
                  <w:t>Alytaus rajono savivaldybės viešoji biblioteka, A11.10</w:t>
                </w:r>
              </w:p>
              <w:p>
                <w:pPr>
                  <w:rPr>
                    <w:szCs w:val="24"/>
                  </w:rPr>
                </w:pPr>
                <w:r>
                  <w:rPr>
                    <w:szCs w:val="24"/>
                  </w:rPr>
                  <w:t>Alytaus rajono savivaldybės kultūros centras, A11.8</w:t>
                </w:r>
              </w:p>
              <w:p>
                <w:pPr>
                  <w:rPr>
                    <w:szCs w:val="24"/>
                  </w:rPr>
                </w:pPr>
                <w:r>
                  <w:rPr>
                    <w:szCs w:val="24"/>
                  </w:rPr>
                  <w:t>Teisės ir vidaus administravimo skyrius, A12</w:t>
                </w:r>
              </w:p>
            </w:tc>
          </w:tr>
        </w:tbl>
        <w:p>
          <w:pPr>
            <w:jc w:val="center"/>
            <w:rPr>
              <w:b/>
              <w:strike/>
              <w:sz w:val="22"/>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2"/>
            <w:gridCol w:w="675"/>
            <w:gridCol w:w="5793"/>
            <w:gridCol w:w="18"/>
            <w:gridCol w:w="882"/>
            <w:gridCol w:w="26"/>
            <w:gridCol w:w="85"/>
            <w:gridCol w:w="567"/>
          </w:tblGrid>
          <w:tr>
            <w:trPr>
              <w:trHeight w:val="145"/>
            </w:trPr>
            <w:tc>
              <w:tcPr>
                <w:tcW w:w="2235" w:type="dxa"/>
                <w:gridSpan w:val="3"/>
                <w:vAlign w:val="center"/>
              </w:tcPr>
              <w:p>
                <w:pPr>
                  <w:keepNext/>
                  <w:tabs>
                    <w:tab w:val="left" w:pos="0"/>
                    <w:tab w:val="left" w:pos="180"/>
                  </w:tabs>
                  <w:ind w:right="-766"/>
                  <w:outlineLvl w:val="2"/>
                  <w:rPr>
                    <w:b/>
                    <w:bCs/>
                    <w:szCs w:val="24"/>
                  </w:rPr>
                </w:pPr>
                <w:r>
                  <w:rPr>
                    <w:b/>
                    <w:bCs/>
                    <w:szCs w:val="24"/>
                  </w:rPr>
                  <w:t xml:space="preserve">Programos </w:t>
                </w:r>
              </w:p>
              <w:p>
                <w:pPr>
                  <w:keepNext/>
                  <w:tabs>
                    <w:tab w:val="left" w:pos="0"/>
                    <w:tab w:val="left" w:pos="180"/>
                  </w:tabs>
                  <w:ind w:right="-766"/>
                  <w:outlineLvl w:val="2"/>
                  <w:rPr>
                    <w:b/>
                    <w:bCs/>
                    <w:szCs w:val="24"/>
                  </w:rPr>
                </w:pPr>
                <w:r>
                  <w:rPr>
                    <w:b/>
                    <w:bCs/>
                    <w:szCs w:val="24"/>
                  </w:rPr>
                  <w:t>pavadinimas</w:t>
                </w:r>
              </w:p>
            </w:tc>
            <w:tc>
              <w:tcPr>
                <w:tcW w:w="5793" w:type="dxa"/>
                <w:vAlign w:val="center"/>
              </w:tcPr>
              <w:p>
                <w:pPr>
                  <w:jc w:val="both"/>
                  <w:rPr>
                    <w:b/>
                    <w:strike/>
                    <w:szCs w:val="24"/>
                  </w:rPr>
                </w:pPr>
                <w:r>
                  <w:rPr>
                    <w:b/>
                    <w:szCs w:val="24"/>
                  </w:rPr>
                  <w:t>KULTŪROS VEIKLOS PLĖTRA IR JOS VAIDMENS BENDRUOMENĖS GYVENIME STIPRINIMAS</w:t>
                </w:r>
              </w:p>
            </w:tc>
            <w:tc>
              <w:tcPr>
                <w:tcW w:w="900" w:type="dxa"/>
                <w:gridSpan w:val="2"/>
                <w:vAlign w:val="center"/>
              </w:tcPr>
              <w:p>
                <w:pPr>
                  <w:keepNext/>
                  <w:jc w:val="center"/>
                  <w:outlineLvl w:val="3"/>
                  <w:rPr>
                    <w:b/>
                    <w:bCs/>
                    <w:szCs w:val="24"/>
                  </w:rPr>
                </w:pPr>
                <w:r>
                  <w:rPr>
                    <w:b/>
                    <w:bCs/>
                    <w:szCs w:val="24"/>
                  </w:rPr>
                  <w:t>Kodas</w:t>
                </w:r>
              </w:p>
            </w:tc>
            <w:tc>
              <w:tcPr>
                <w:tcW w:w="678" w:type="dxa"/>
                <w:gridSpan w:val="3"/>
                <w:vAlign w:val="center"/>
              </w:tcPr>
              <w:p>
                <w:pPr>
                  <w:jc w:val="center"/>
                  <w:rPr>
                    <w:b/>
                    <w:szCs w:val="24"/>
                  </w:rPr>
                </w:pPr>
                <w:r>
                  <w:rPr>
                    <w:b/>
                    <w:szCs w:val="24"/>
                  </w:rPr>
                  <w:t>08</w:t>
                </w:r>
              </w:p>
            </w:tc>
          </w:tr>
          <w:tr>
            <w:trPr>
              <w:trHeight w:val="145"/>
            </w:trPr>
            <w:tc>
              <w:tcPr>
                <w:tcW w:w="2235" w:type="dxa"/>
                <w:gridSpan w:val="3"/>
                <w:vAlign w:val="center"/>
              </w:tcPr>
              <w:p>
                <w:pPr>
                  <w:rPr>
                    <w:b/>
                    <w:szCs w:val="24"/>
                  </w:rPr>
                </w:pPr>
                <w:r>
                  <w:rPr>
                    <w:b/>
                    <w:szCs w:val="24"/>
                  </w:rPr>
                  <w:t>Programos parengimo argumentai</w:t>
                </w:r>
              </w:p>
            </w:tc>
            <w:tc>
              <w:tcPr>
                <w:tcW w:w="7371" w:type="dxa"/>
                <w:gridSpan w:val="6"/>
              </w:tcPr>
              <w:p>
                <w:pPr>
                  <w:ind w:firstLine="360"/>
                  <w:jc w:val="both"/>
                  <w:rPr>
                    <w:szCs w:val="22"/>
                    <w:lang w:eastAsia="ar-SA"/>
                  </w:rPr>
                </w:pPr>
                <w:r>
                  <w:rPr>
                    <w:szCs w:val="24"/>
                  </w:rPr>
                  <w:t xml:space="preserve">Alytaus rajono savivaldybės kultūros centro funkcijos: </w:t>
                </w:r>
                <w:r>
                  <w:rPr>
                    <w:bCs/>
                    <w:szCs w:val="24"/>
                    <w:lang w:val="en-US"/>
                  </w:rPr>
                  <w:t xml:space="preserve">gyventojų bendrosios kultūros ugdymas ir etnokultūros puoselėjimas, rūpinimasis krašto etninės kultūros paveldo išsaugojimu, tradicinių amatų puoselėjimu. Svarbu yra </w:t>
                </w:r>
                <w:r>
                  <w:rPr>
                    <w:szCs w:val="24"/>
                    <w:lang w:val="en-US"/>
                  </w:rPr>
                  <w:t xml:space="preserve">formuoti ir įgyvendinanti savivaldybės kultūros politiką, kultūros centro, etnokultūros, leidybos, kultūrinio turizmo bei gyventojų bendrosios kultūros, jaunimo politikos ugdymo srityse, atlikti visus veiksmus, susijusius su informacijos apie Alytaus rajono savivaldybės kultūros centro veiklą pateikimu žiniasklaidos priemonėms ir visuomenei, Alytaus rajono savivaldybės kultūros centro teigiamo įvaizdžio formavimu. </w:t>
                </w:r>
                <w:r>
                  <w:rPr>
                    <w:szCs w:val="24"/>
                  </w:rPr>
                  <w:t>Programa apima išsamią kultūrinės situacijos analizę, detalizuoja uždavinius, priemones, jų įgyvendinimo ir vertinimo kriterijus. Sudaromos tinkamos sąlygos profesionaliojo meno sklaidai, mėgėjų kūrybinei saviraiškai, rajono bendruomenių kultūrinėms iniciatyvoms,</w:t>
                </w:r>
                <w:r>
                  <w:rPr>
                    <w:b/>
                    <w:bCs/>
                    <w:szCs w:val="24"/>
                  </w:rPr>
                  <w:t xml:space="preserve"> </w:t>
                </w:r>
                <w:r>
                  <w:rPr>
                    <w:szCs w:val="24"/>
                  </w:rPr>
                  <w:t xml:space="preserve">jų pastangoms tobulėti ir gerinti gyvenimo kokybę. </w:t>
                </w:r>
              </w:p>
              <w:p>
                <w:pPr>
                  <w:ind w:firstLine="670"/>
                  <w:jc w:val="both"/>
                  <w:rPr>
                    <w:szCs w:val="24"/>
                  </w:rPr>
                </w:pPr>
                <w:r>
                  <w:rPr>
                    <w:szCs w:val="22"/>
                  </w:rPr>
                  <w:t xml:space="preserve">Kultūros plėtros ir jos vaidmens bendruomenės gyvenime stiprinimo programos įgyvendinimas suteikia galimybę rajono gyventojams tenkinti savo dvasinius ir estetinius poreikius, ugdyti kūrybiškumą ir būti aktyviais rajono kultūrinio proceso dalyviais.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szCs w:val="24"/>
                    <w:lang w:eastAsia="lt-LT"/>
                  </w:rPr>
                </w:pPr>
                <w:r>
                  <w:rPr>
                    <w:szCs w:val="24"/>
                    <w:lang w:eastAsia="lt-LT"/>
                  </w:rPr>
                  <w:t>Alytaus rajono savivaldybės administracijos direktorius yra patvirtinęs Alytaus rajono savivaldybės religinių bendruomenių projektų finansavimo tvarkos aprašą, kuriame numatytas priemonės įgyvendinimo tikslas – skirti savivaldybės biudžeto lėšų pagal Lietuvos Respublikos religinių bendruomenių ir bendrijų įstatymą registruotoms tradicinėms religinėms bendruomenėms, veikiančioms Alytaus rajone, prisidėti prie krašto kultūrinio paveldo dalies, priklausiančios religinėms be bendruomenėms, išsaugojimo, remti religinių bendruomenių veiklą vietos bendruomenėje.</w:t>
                </w:r>
                <w:r>
                  <w:rPr>
                    <w:rFonts w:ascii="Courier New" w:hAnsi="Courier New" w:cs="Courier New"/>
                    <w:sz w:val="20"/>
                    <w:lang w:eastAsia="lt-LT"/>
                  </w:rPr>
                  <w:t xml:space="preserve"> </w:t>
                </w:r>
              </w:p>
              <w:p>
                <w:pPr>
                  <w:ind w:firstLine="310"/>
                  <w:jc w:val="both"/>
                  <w:rPr>
                    <w:rFonts w:eastAsia="Arial" w:cs="Calibri"/>
                    <w:szCs w:val="24"/>
                    <w:lang w:eastAsia="ar-SA"/>
                  </w:rPr>
                </w:pPr>
                <w:r>
                  <w:rPr>
                    <w:rFonts w:eastAsia="Arial" w:cs="Calibri"/>
                    <w:szCs w:val="24"/>
                    <w:lang w:eastAsia="ar-SA"/>
                  </w:rPr>
                  <w:t xml:space="preserve">Kultūros plėtros programa parengta vadovaujantis Lietuvos Respublikos vietos savivaldos įstatymo nuostatomis, reglamentuojančiomis savivaldybės kultūros veiklos organizavimą ir administrvimą. Siekiama gerinti gyventojų informacinį, kultūrinį aptarnavimą, išsaugoti ir plačiau panaudoti regiono kultūrinį savitumą, užtikrinant kultūros įstaigų veiklą, ugdyti visuomenės kultūrinį, pilietinį bei visuomeninį aktyvumą, formuoti ir įgyvendinti savivaldybės kultūros politiką bei atlikti visus veiksmus, susijusius su savivaldybės teigiamo įvaizdžio formavimu. Programa parengta, siekiant pagerinti Alytaus rajono bendruomenei teikiamas kultūrines, informacines, laisvalaikio ir mokymosi visą gyvenimą sąlygas, užtikrinant prieigą prie įvairių informacijos šaltinių ir informacinių technologijų.  </w:t>
                </w:r>
              </w:p>
              <w:p>
                <w:pPr>
                  <w:suppressLineNumbers/>
                  <w:snapToGrid w:val="0"/>
                  <w:spacing w:line="100" w:lineRule="atLeast"/>
                  <w:jc w:val="both"/>
                  <w:rPr>
                    <w:rFonts w:eastAsia="Arial" w:cs="Calibri"/>
                    <w:szCs w:val="24"/>
                    <w:lang w:eastAsia="ar-SA"/>
                  </w:rPr>
                </w:pPr>
                <w:r>
                  <w:rPr>
                    <w:rFonts w:eastAsia="Arial" w:cs="Calibri"/>
                    <w:szCs w:val="24"/>
                    <w:lang w:eastAsia="ar-SA"/>
                  </w:rPr>
                  <w:t>Kultūros plėtros ir jos vaidmens bendruomenės gyvenime stiprinimo programos įgyvendinimas suteikia galimybę rajono gyventojams tenkinti savo dvasinius ir estetinius poreikius, ugdyti kūrybiškumą ir būti aktyviais rajono kultūrinio proceso dalyviais.</w:t>
                </w:r>
              </w:p>
              <w:p>
                <w:pPr>
                  <w:suppressLineNumbers/>
                  <w:snapToGrid w:val="0"/>
                  <w:spacing w:line="100" w:lineRule="atLeast"/>
                  <w:ind w:firstLine="310"/>
                  <w:jc w:val="both"/>
                  <w:rPr>
                    <w:rFonts w:eastAsia="Arial" w:cs="Calibri"/>
                    <w:szCs w:val="24"/>
                    <w:lang w:eastAsia="ar-SA"/>
                  </w:rPr>
                </w:pPr>
                <w:r>
                  <w:rPr>
                    <w:rFonts w:eastAsia="Arial" w:cs="Calibri"/>
                    <w:szCs w:val="24"/>
                    <w:lang w:eastAsia="ar-SA"/>
                  </w:rPr>
                  <w:t>Paminklosauga, kitaip dar paminklų apsauga – valstybės kontroliuojama kultūros paminklų apsaugos administracinių ir teisinių, mokslinių ir praktinių priemonių sistema architektūros, dailės, archeologijos, istorijos bei kitam kultūros paveldui apsaugoti nuo sunaikinimo, jį panaudoti visuomenės reikmėms ar kaip turizmo objektus.</w:t>
                </w:r>
              </w:p>
            </w:tc>
          </w:tr>
          <w:tr>
            <w:trPr>
              <w:trHeight w:val="145"/>
            </w:trPr>
            <w:tc>
              <w:tcPr>
                <w:tcW w:w="2235" w:type="dxa"/>
                <w:gridSpan w:val="3"/>
                <w:vAlign w:val="center"/>
              </w:tcPr>
              <w:p>
                <w:pPr>
                  <w:rPr>
                    <w:b/>
                    <w:szCs w:val="24"/>
                  </w:rPr>
                </w:pPr>
                <w:r>
                  <w:rPr>
                    <w:b/>
                    <w:szCs w:val="24"/>
                  </w:rPr>
                  <w:t>Ilgalaikis prioritetas</w:t>
                </w:r>
              </w:p>
              <w:p>
                <w:pPr>
                  <w:rPr>
                    <w:b/>
                    <w:szCs w:val="24"/>
                  </w:rPr>
                </w:pPr>
                <w:r>
                  <w:rPr>
                    <w:b/>
                    <w:sz w:val="22"/>
                    <w:szCs w:val="24"/>
                  </w:rPr>
                  <w:t>(pagal Alytaus rajono savivaldybės strateginį plėtros planą)</w:t>
                </w:r>
              </w:p>
            </w:tc>
            <w:tc>
              <w:tcPr>
                <w:tcW w:w="5793" w:type="dxa"/>
                <w:vAlign w:val="center"/>
              </w:tcPr>
              <w:p>
                <w:pPr>
                  <w:keepNext/>
                  <w:jc w:val="both"/>
                  <w:outlineLvl w:val="4"/>
                  <w:rPr>
                    <w:b/>
                    <w:szCs w:val="24"/>
                  </w:rPr>
                </w:pPr>
                <w:r>
                  <w:rPr>
                    <w:b/>
                    <w:szCs w:val="24"/>
                  </w:rPr>
                  <w:t>SUMANIOS, VEIKLIOS, SUSITELKUSIOS BENDRUOMENĖS, PAŽANGI, SOCIALIAI ATSAKINGA SAVIVALDA</w:t>
                </w:r>
              </w:p>
            </w:tc>
            <w:tc>
              <w:tcPr>
                <w:tcW w:w="926" w:type="dxa"/>
                <w:gridSpan w:val="3"/>
                <w:vAlign w:val="center"/>
              </w:tcPr>
              <w:p>
                <w:pPr>
                  <w:keepNext/>
                  <w:jc w:val="center"/>
                  <w:outlineLvl w:val="4"/>
                  <w:rPr>
                    <w:b/>
                    <w:bCs/>
                    <w:szCs w:val="24"/>
                  </w:rPr>
                </w:pPr>
                <w:r>
                  <w:rPr>
                    <w:b/>
                    <w:bCs/>
                    <w:szCs w:val="24"/>
                  </w:rPr>
                  <w:t>Kodas</w:t>
                </w:r>
              </w:p>
            </w:tc>
            <w:tc>
              <w:tcPr>
                <w:tcW w:w="652" w:type="dxa"/>
                <w:gridSpan w:val="2"/>
                <w:vAlign w:val="center"/>
              </w:tcPr>
              <w:p>
                <w:pPr>
                  <w:keepNext/>
                  <w:jc w:val="center"/>
                  <w:outlineLvl w:val="4"/>
                  <w:rPr>
                    <w:b/>
                    <w:szCs w:val="24"/>
                  </w:rPr>
                </w:pPr>
                <w:r>
                  <w:rPr>
                    <w:b/>
                    <w:szCs w:val="24"/>
                  </w:rPr>
                  <w:t>02</w:t>
                </w:r>
              </w:p>
            </w:tc>
          </w:tr>
          <w:tr>
            <w:trPr>
              <w:trHeight w:val="145"/>
            </w:trPr>
            <w:tc>
              <w:tcPr>
                <w:tcW w:w="2235" w:type="dxa"/>
                <w:gridSpan w:val="3"/>
                <w:vAlign w:val="center"/>
              </w:tcPr>
              <w:p>
                <w:pPr>
                  <w:jc w:val="both"/>
                  <w:rPr>
                    <w:b/>
                    <w:szCs w:val="24"/>
                  </w:rPr>
                </w:pPr>
                <w:r>
                  <w:rPr>
                    <w:b/>
                    <w:szCs w:val="24"/>
                  </w:rPr>
                  <w:t>Šia programa įgyvendinamas savivaldybės strateginis tikslas:</w:t>
                </w:r>
              </w:p>
            </w:tc>
            <w:tc>
              <w:tcPr>
                <w:tcW w:w="5793" w:type="dxa"/>
                <w:vAlign w:val="center"/>
              </w:tcPr>
              <w:p>
                <w:pPr>
                  <w:jc w:val="both"/>
                  <w:rPr>
                    <w:b/>
                    <w:bCs/>
                    <w:szCs w:val="24"/>
                  </w:rPr>
                </w:pPr>
                <w:r>
                  <w:rPr>
                    <w:b/>
                    <w:bCs/>
                    <w:szCs w:val="24"/>
                  </w:rPr>
                  <w:t>ĮGALINTI BENDRUOMENES, SKATINTI GYVENTOJŲ AKTYVUMĄ, PUOSELĖTI KULTŪROS PAVELDĄ IR GERĄSIAS KRAŠTO TRADICIJAS</w:t>
                </w:r>
              </w:p>
              <w:p>
                <w:pPr>
                  <w:jc w:val="both"/>
                  <w:rPr>
                    <w:szCs w:val="24"/>
                  </w:rPr>
                </w:pPr>
                <w:r>
                  <w:rPr>
                    <w:b/>
                    <w:bCs/>
                    <w:szCs w:val="24"/>
                    <w:lang w:val="en-US"/>
                  </w:rPr>
                  <w:t>DIDINTI VALDYMO KOKYBĘ IR UGDYTI DARBUOTOJŲ KOMPETENCIJAS, SIEKIANT PATENKINTI VERSLO IR GYVENTOJŲ POREIKIUS</w:t>
                </w:r>
              </w:p>
            </w:tc>
            <w:tc>
              <w:tcPr>
                <w:tcW w:w="926" w:type="dxa"/>
                <w:gridSpan w:val="3"/>
                <w:vAlign w:val="center"/>
              </w:tcPr>
              <w:p>
                <w:pPr>
                  <w:keepNext/>
                  <w:jc w:val="center"/>
                  <w:outlineLvl w:val="3"/>
                  <w:rPr>
                    <w:b/>
                    <w:bCs/>
                    <w:szCs w:val="24"/>
                  </w:rPr>
                </w:pPr>
                <w:r>
                  <w:rPr>
                    <w:b/>
                    <w:bCs/>
                    <w:szCs w:val="24"/>
                  </w:rPr>
                  <w:t>Kodas</w:t>
                </w:r>
              </w:p>
            </w:tc>
            <w:tc>
              <w:tcPr>
                <w:tcW w:w="652" w:type="dxa"/>
                <w:gridSpan w:val="2"/>
                <w:vAlign w:val="center"/>
              </w:tcPr>
              <w:p>
                <w:pPr>
                  <w:jc w:val="center"/>
                  <w:rPr>
                    <w:b/>
                    <w:szCs w:val="24"/>
                  </w:rPr>
                </w:pPr>
                <w:r>
                  <w:rPr>
                    <w:b/>
                    <w:szCs w:val="24"/>
                  </w:rPr>
                  <w:t>01</w:t>
                </w:r>
              </w:p>
              <w:p>
                <w:pPr>
                  <w:jc w:val="center"/>
                  <w:rPr>
                    <w:b/>
                    <w:szCs w:val="24"/>
                  </w:rPr>
                </w:pPr>
              </w:p>
              <w:p>
                <w:pPr>
                  <w:jc w:val="center"/>
                  <w:rPr>
                    <w:b/>
                    <w:szCs w:val="24"/>
                  </w:rPr>
                </w:pPr>
              </w:p>
              <w:p>
                <w:pPr>
                  <w:jc w:val="center"/>
                  <w:rPr>
                    <w:b/>
                    <w:szCs w:val="24"/>
                  </w:rPr>
                </w:pPr>
              </w:p>
              <w:p>
                <w:pPr>
                  <w:jc w:val="center"/>
                  <w:rPr>
                    <w:b/>
                    <w:szCs w:val="24"/>
                  </w:rPr>
                </w:pPr>
              </w:p>
              <w:p>
                <w:pPr>
                  <w:rPr>
                    <w:b/>
                    <w:szCs w:val="24"/>
                  </w:rPr>
                </w:pPr>
                <w:r>
                  <w:rPr>
                    <w:b/>
                    <w:szCs w:val="24"/>
                  </w:rPr>
                  <w:t>02</w:t>
                </w:r>
              </w:p>
            </w:tc>
          </w:tr>
          <w:tr>
            <w:trPr>
              <w:trHeight w:val="145"/>
            </w:trPr>
            <w:tc>
              <w:tcPr>
                <w:tcW w:w="2235" w:type="dxa"/>
                <w:gridSpan w:val="3"/>
                <w:vAlign w:val="center"/>
              </w:tcPr>
              <w:p>
                <w:pPr>
                  <w:rPr>
                    <w:b/>
                    <w:szCs w:val="24"/>
                  </w:rPr>
                </w:pPr>
                <w:r>
                  <w:rPr>
                    <w:b/>
                    <w:bCs/>
                    <w:szCs w:val="24"/>
                  </w:rPr>
                  <w:t>Programos tikslas</w:t>
                </w:r>
              </w:p>
            </w:tc>
            <w:tc>
              <w:tcPr>
                <w:tcW w:w="5793" w:type="dxa"/>
                <w:vAlign w:val="center"/>
              </w:tcPr>
              <w:p>
                <w:pPr>
                  <w:rPr>
                    <w:b/>
                    <w:szCs w:val="24"/>
                  </w:rPr>
                </w:pPr>
                <w:r>
                  <w:rPr>
                    <w:b/>
                    <w:szCs w:val="24"/>
                  </w:rPr>
                  <w:t>Gerinti gyventojų informacinį, kultūrinį aptarnavimą</w:t>
                </w:r>
              </w:p>
            </w:tc>
            <w:tc>
              <w:tcPr>
                <w:tcW w:w="926" w:type="dxa"/>
                <w:gridSpan w:val="3"/>
                <w:vAlign w:val="center"/>
              </w:tcPr>
              <w:p>
                <w:pPr>
                  <w:keepNext/>
                  <w:jc w:val="center"/>
                  <w:rPr>
                    <w:b/>
                    <w:bCs/>
                    <w:szCs w:val="24"/>
                  </w:rPr>
                </w:pPr>
                <w:r>
                  <w:rPr>
                    <w:b/>
                    <w:bCs/>
                    <w:szCs w:val="24"/>
                  </w:rPr>
                  <w:t>Kodas</w:t>
                </w:r>
              </w:p>
            </w:tc>
            <w:tc>
              <w:tcPr>
                <w:tcW w:w="652" w:type="dxa"/>
                <w:gridSpan w:val="2"/>
                <w:vAlign w:val="center"/>
              </w:tcPr>
              <w:p>
                <w:pPr>
                  <w:jc w:val="center"/>
                  <w:rPr>
                    <w:b/>
                    <w:szCs w:val="24"/>
                  </w:rPr>
                </w:pPr>
                <w:r>
                  <w:rPr>
                    <w:b/>
                    <w:szCs w:val="24"/>
                  </w:rPr>
                  <w:t>01</w:t>
                </w:r>
              </w:p>
            </w:tc>
          </w:tr>
          <w:tr>
            <w:trPr>
              <w:trHeight w:val="474"/>
            </w:trPr>
            <w:tc>
              <w:tcPr>
                <w:tcW w:w="9606" w:type="dxa"/>
                <w:gridSpan w:val="9"/>
              </w:tcPr>
              <w:p>
                <w:pPr>
                  <w:rPr>
                    <w:sz w:val="10"/>
                    <w:szCs w:val="10"/>
                  </w:rPr>
                </w:pPr>
              </w:p>
              <w:p>
                <w:pPr>
                  <w:jc w:val="both"/>
                  <w:rPr>
                    <w:bCs/>
                    <w:szCs w:val="24"/>
                    <w:lang w:val="en-US"/>
                  </w:rPr>
                </w:pPr>
                <w:r>
                  <w:rPr>
                    <w:b/>
                    <w:bCs/>
                    <w:szCs w:val="24"/>
                  </w:rPr>
                  <w:t xml:space="preserve">Tikslo įgyvendinimo aprašymas: </w:t>
                </w:r>
                <w:r>
                  <w:rPr>
                    <w:bCs/>
                    <w:szCs w:val="24"/>
                    <w:lang w:val="en-US"/>
                  </w:rPr>
                  <w:t>Šiuo tikslu siekiama</w:t>
                </w:r>
                <w:r>
                  <w:rPr>
                    <w:b/>
                    <w:bCs/>
                    <w:szCs w:val="24"/>
                    <w:lang w:val="en-US"/>
                  </w:rPr>
                  <w:t xml:space="preserve"> </w:t>
                </w:r>
                <w:r>
                  <w:rPr>
                    <w:bCs/>
                    <w:szCs w:val="24"/>
                    <w:lang w:val="en-US"/>
                  </w:rPr>
                  <w:t>gerinti gyventojų tiek informacinį, tiek kultūrinį aptarnavimą, išsaugoti ir plačiau panaudoti regiono kultūrinį savitumą, ugdyti visuomenės kultūrinį, pilietinį bei visuomeninį aktyvumą.</w:t>
                </w:r>
                <w:r>
                  <w:rPr>
                    <w:b/>
                    <w:bCs/>
                    <w:szCs w:val="24"/>
                    <w:lang w:val="en-US"/>
                  </w:rPr>
                  <w:t xml:space="preserve"> </w:t>
                </w:r>
                <w:r>
                  <w:rPr>
                    <w:bCs/>
                    <w:szCs w:val="24"/>
                    <w:lang w:val="en-US"/>
                  </w:rPr>
                  <w:t xml:space="preserve">Programos įgyvendinime dalyvauja ARSVB ir 32 jos filialai. Šia programa siekiama sukurti tinkamas sąlygas Alytaus rajono gyventojų bibliotekiniam ir informaciniam aptarnavimui, plėtoti inovatyvias bendruomenės informacijos, mokymo, kultūros ir laisvalaikio paslaugas, organizuoti, rengti ir vykdyti projektines veiklas. Programa siekiama  kryptingai vykdyti bibliotekai priskiriamas dokumentų kaupimo, tvarkymo, sisteminimo, saugojimo, galimbių lygiomis teisėmis naudotis viešaisiais informacijos šaltiniais užtikrinimo funkcijas. Siekiant sudaryti sąlygas bibliotekiniam ir informaciniam rajono gyventojų aptarnavimui, numatomi uždaviniai, orientuoti į veiklos tobulinimą, paslaugų plėtrą, palankios aplinkos darbui kūrimą, personalo ugdymą.</w:t>
                </w:r>
              </w:p>
              <w:p>
                <w:pPr>
                  <w:rPr>
                    <w:sz w:val="10"/>
                    <w:szCs w:val="10"/>
                  </w:rPr>
                </w:pPr>
              </w:p>
              <w:p>
                <w:pPr>
                  <w:ind w:firstLine="372"/>
                  <w:jc w:val="both"/>
                  <w:rPr>
                    <w:szCs w:val="24"/>
                    <w:lang w:eastAsia="lt-LT"/>
                  </w:rPr>
                </w:pPr>
                <w:r>
                  <w:rPr>
                    <w:szCs w:val="24"/>
                    <w:lang w:eastAsia="lt-LT"/>
                  </w:rPr>
                  <w:t xml:space="preserve">Šia programa siekiama sukurti tinkamas sąlygas Alytaus rajono gyventojų bibliotekiniam ir informaciniam aptarnavimui organizuoti, rengti ir vykdyti projektines veiklas. Programa siekiama kryptingai vykdyti bibliotekai priskiriamas dokumentų kaupimo, tvarkymo, sisteminimo, saugojimo, galimybių lygiomis teisėmis naudotis viešaisiais informacijos šaltiniais užtikrinimo funkcijas. Siekiant sudaryti sąlygas bibliotekiniam ir informaciniam rajono gyventojų aptarnavimui, numatomi  uždaviniai, orientuoti į veiklos tobulinimą, palankios aplinkos darbui kūrimą, personalo ugdymą.</w:t>
                </w:r>
              </w:p>
              <w:p>
                <w:pPr>
                  <w:rPr>
                    <w:sz w:val="10"/>
                    <w:szCs w:val="10"/>
                  </w:rPr>
                </w:pPr>
              </w:p>
              <w:p>
                <w:pPr>
                  <w:ind w:firstLine="567"/>
                  <w:jc w:val="both"/>
                  <w:rPr>
                    <w:szCs w:val="24"/>
                  </w:rPr>
                </w:pPr>
                <w:r>
                  <w:rPr>
                    <w:szCs w:val="24"/>
                  </w:rPr>
                  <w:t>Pakeitus Mokymo lėšų apskaičiavimo, paskirstymo ir panaudojimo tvarkos aprašą, patvirtintą Lietuvos Respublikos Vyriausybės 2018 m. liepos 11 d. nutarimu Nr. 679 „Dėl Mokymo lėšų apskaičiavimo, paskirstymo ir panaudojimo tvarkos aprašo patvirtinimo“, papildyta savivaldybėms skiriamos mokymo lėšos ugdymo reikmėms tenkinti ir įtraukta mokyklų bibliotekų darbuotojų išlaikymui. Kadangi mokyklos neturi bibliotekininko etato, sudaroma paslaugų teikimo sutartis su rajono viešąja biblioteka, dėl bibliotekininko paslaugų teikimo mokykloms.</w:t>
                </w:r>
              </w:p>
              <w:p>
                <w:pPr>
                  <w:rPr>
                    <w:sz w:val="10"/>
                    <w:szCs w:val="10"/>
                  </w:rPr>
                </w:pPr>
              </w:p>
              <w:p>
                <w:pPr>
                  <w:jc w:val="both"/>
                  <w:rPr>
                    <w:b/>
                    <w:bCs/>
                    <w:szCs w:val="24"/>
                  </w:rPr>
                </w:pPr>
                <w:r>
                  <w:rPr>
                    <w:b/>
                    <w:bCs/>
                    <w:szCs w:val="24"/>
                  </w:rPr>
                  <w:t>Tikslui pasiekti iškelti uždaviniai :</w:t>
                </w:r>
              </w:p>
              <w:p>
                <w:pPr>
                  <w:rPr>
                    <w:sz w:val="10"/>
                    <w:szCs w:val="10"/>
                  </w:rPr>
                </w:pPr>
              </w:p>
              <w:p>
                <w:pPr>
                  <w:jc w:val="both"/>
                  <w:rPr>
                    <w:b/>
                    <w:bCs/>
                    <w:szCs w:val="24"/>
                    <w:lang w:eastAsia="lt-LT"/>
                  </w:rPr>
                </w:pPr>
                <w:r>
                  <w:rPr>
                    <w:b/>
                    <w:bCs/>
                    <w:szCs w:val="24"/>
                    <w:lang w:eastAsia="lt-LT"/>
                  </w:rPr>
                  <w:t>01 Uždavinys. Sudaryti sąlygas bendruomenei naudotis universaliais dokumentų fondais, plėtoti modernias informacines paslaugas, skleisti kultūros informaciją regione, viešaisiais renginiais prisidėti prie krašto kultūrinės atminties gaivinimo ir valstybei reikšmingų datų minėjimo.</w:t>
                </w:r>
              </w:p>
              <w:p>
                <w:pPr>
                  <w:jc w:val="both"/>
                  <w:rPr>
                    <w:b/>
                    <w:szCs w:val="24"/>
                    <w:lang w:val="en-US"/>
                  </w:rPr>
                </w:pPr>
              </w:p>
              <w:p>
                <w:pPr>
                  <w:jc w:val="both"/>
                  <w:rPr>
                    <w:szCs w:val="24"/>
                    <w:lang w:val="en-US"/>
                  </w:rPr>
                </w:pPr>
                <w:r>
                  <w:rPr>
                    <w:b/>
                    <w:szCs w:val="24"/>
                    <w:lang w:val="en-US"/>
                  </w:rPr>
                  <w:t>Gerinti gyventojų kultūrinį raštingumą.</w:t>
                </w:r>
                <w:r>
                  <w:rPr>
                    <w:szCs w:val="24"/>
                    <w:lang w:val="en-US"/>
                  </w:rPr>
                  <w:t xml:space="preserve"> Biblioteka tinkama vieta skatinti gyventojų informacinį ir kompiuterinį raštingumą. Tam turimi žmogiškieji ištekliai, patirtis, priemonės. Tobulėjant technologijoms ir didėjant informacijos srautui, informacinio ir kompiuterinio raštingumo mokymo poreikis išliks ilgam, biblioteka telkia įvairaus amžiaus asmenis, kaupia įvairialypę kokybišką informaciją, profesinaliai konsultuoja, rengia švietinmo, edukacijos projekus, todėl ji yra nuolatinį mokymąsi skatinanti įstaiga. </w:t>
                </w:r>
              </w:p>
              <w:p>
                <w:pPr>
                  <w:jc w:val="both"/>
                  <w:rPr>
                    <w:b/>
                    <w:szCs w:val="24"/>
                    <w:lang w:val="en-US"/>
                  </w:rPr>
                </w:pPr>
                <w:r>
                  <w:rPr>
                    <w:szCs w:val="24"/>
                    <w:lang w:val="en-US"/>
                  </w:rPr>
                  <w:t xml:space="preserve">Šiam uždaviniui pasiekti reikia užtikrinti viešųjų interneto prieigos taškų veiklos tęstinumą, kompiuterinės technikos ir programinės įrangos atnaujinimą ir nuolatinę priežiūrą, kokybiško interneto bei telefonijos ryšį, užtikrinti elektroninės informacijos sklaidą rajone;  Organizuoti gyventojų kompiuterinio raštingumo mokymus; Užtikrinti gyventojų kultūrinio bei informacinio raštingumo plėtrą ir veiklas, skirtas gyventojų medijų ir informaciniam raštingumui ugdyti.</w:t>
                </w:r>
              </w:p>
              <w:p>
                <w:pPr>
                  <w:jc w:val="both"/>
                  <w:rPr>
                    <w:szCs w:val="24"/>
                    <w:lang w:val="en-US"/>
                  </w:rPr>
                </w:pPr>
                <w:r>
                  <w:rPr>
                    <w:b/>
                    <w:szCs w:val="24"/>
                    <w:lang w:val="en-US"/>
                  </w:rPr>
                  <w:t xml:space="preserve">Formuoti teigiamą požiūrį į skaitymą, didinti kultūrinių renginių prieinamumą bendruomenei, panaudojant Bibliotekoje sukauptą universalų dokumentų fondą, informacines technologijas ir kūrybinę veiklą. </w:t>
                </w:r>
                <w:r>
                  <w:rPr>
                    <w:szCs w:val="24"/>
                    <w:lang w:val="en-US"/>
                  </w:rPr>
                  <w:t xml:space="preserve">Skaitantis žmogus itin svarbus Bibliotekai ne vien kaip potencialus paslaugų vartotojas, bet kaip žinių visuomenės kūrėjas. Bibliotreka turi visas galiube dalyvauti skaitančios ir kūrybiškos visuomenė kūrime, rengdama tinkamos tematikos rengnius, pritraukdama ir lavindama žmones, kurdama tinkamą aplinką. </w:t>
                </w:r>
              </w:p>
              <w:p>
                <w:pPr>
                  <w:jc w:val="both"/>
                  <w:rPr>
                    <w:szCs w:val="24"/>
                    <w:lang w:val="en-US"/>
                  </w:rPr>
                </w:pPr>
                <w:r>
                  <w:rPr>
                    <w:szCs w:val="24"/>
                    <w:lang w:val="en-US"/>
                  </w:rPr>
                  <w:t>Šiam uždaviniui pasiekti reikia formuoti teigiamą požiūrį į skaitymą, didinti kultūrinių renginių prieinamumą bendruomenei; Kaupti, tvarkyti, saugoti universalų – rašytinių, garsinių, regimųjų, elektroninių – dokumentų fondą, atitinkantį bendruomenės poreikius ir užtikrinti prieigą; Užtikrinti Alytaus rajono dokumentinio kultūros paveldo kaupimą, saugojimą, aktualinimą ir sklaidą; Kurti ir plėtoti elektronines bibliotekos paslaugas ir produktus, užtikrinti viešą prieigą prie bendruomenės poreikius atitinkančio skaitmeninio turinio, tobulinti gyventojų įgūdžius juo naudotis ir didinti gyventojų įsitraukimą į mokymąsi visą gyvenimą; Organizuoti gyventojų skaitmeninės kompetencijos ugdymo mokymus grupėse ir individualiai bei teikti konsultacijas; Rengti ir vykdyti skaitmeninės kompetencijos ugdymo edukacines programas.</w:t>
                </w:r>
              </w:p>
              <w:p>
                <w:pPr>
                  <w:jc w:val="both"/>
                  <w:rPr>
                    <w:szCs w:val="24"/>
                    <w:lang w:val="en-US"/>
                  </w:rPr>
                </w:pPr>
                <w:r>
                  <w:rPr>
                    <w:b/>
                    <w:szCs w:val="24"/>
                    <w:lang w:val="en-US"/>
                  </w:rPr>
                  <w:t xml:space="preserve">Užtikrinti Bibliotekos modernių ir inovatyvių paslaugų, atitinkančių bendruomenės poreikius ir prioritetus, kokybės pakankamumą ir prieinamumą. </w:t>
                </w:r>
                <w:r>
                  <w:rPr>
                    <w:szCs w:val="24"/>
                    <w:lang w:val="en-US"/>
                  </w:rPr>
                  <w:t>Siekdama atliepti modernios visuomenės poreikius, Biblioteka turi būti itin lanksti ir dinamiškai keistis. Neužtenka teikti tik klasikines paslaugas, tobulinti esamaspaslaugas ir užtikrinti Bibliotekos paslaugų pasiekiamumą kiekvienam interesantui. Kultūros, informacinių paslaugų konkurenncijos lauke, Biblioteka turi išsiskirti aukšta aptarnavimo kultūra ir paslaugų kokybe. Šiam uždaviniui įgyvendinti reikia kurti naujas inovatyvias ir patrauklias paslaugas, tobulinti esamas, išnaudoti infrastruktūrą paslaugų prieinamumui gerinti atokiausiose rajono vietose. Į bibliotekos veiklas įtraukti specialiųjų poreikių, vyresnio amžiaus bei socialinės atskirties žmones; Ugdyti personalo kompetenciją.</w:t>
                </w:r>
              </w:p>
              <w:p>
                <w:pPr>
                  <w:rPr>
                    <w:sz w:val="10"/>
                    <w:szCs w:val="10"/>
                  </w:rPr>
                </w:pPr>
              </w:p>
              <w:p>
                <w:pPr>
                  <w:rPr>
                    <w:bCs/>
                    <w:i/>
                    <w:szCs w:val="24"/>
                    <w:u w:val="single"/>
                  </w:rPr>
                </w:pPr>
                <w:r>
                  <w:rPr>
                    <w:bCs/>
                    <w:i/>
                    <w:szCs w:val="24"/>
                    <w:u w:val="single"/>
                  </w:rPr>
                  <w:t xml:space="preserve">Rezultato vertinimo kriterijai: </w:t>
                </w:r>
              </w:p>
              <w:p>
                <w:pPr>
                  <w:rPr>
                    <w:sz w:val="10"/>
                    <w:szCs w:val="10"/>
                  </w:rPr>
                </w:pPr>
              </w:p>
              <w:p>
                <w:pPr>
                  <w:jc w:val="both"/>
                  <w:rPr>
                    <w:szCs w:val="24"/>
                  </w:rPr>
                </w:pPr>
                <w:r>
                  <w:rPr>
                    <w:szCs w:val="24"/>
                  </w:rPr>
                  <w:t>Lankytojų skaičiaus didėjimas, proc. - +1 proc.</w:t>
                </w:r>
              </w:p>
              <w:p>
                <w:pPr>
                  <w:ind w:firstLine="558"/>
                  <w:jc w:val="both"/>
                  <w:rPr>
                    <w:szCs w:val="24"/>
                  </w:rPr>
                </w:pPr>
                <w:r>
                  <w:rPr>
                    <w:szCs w:val="24"/>
                    <w:lang w:eastAsia="lt-LT"/>
                  </w:rPr>
                  <w:t xml:space="preserve">Užtikrinti viešųjų interneto </w:t>
                </w:r>
                <w:r>
                  <w:rPr>
                    <w:szCs w:val="24"/>
                  </w:rPr>
                  <w:t>prieigos taškų veiklos tęstinumą, kompiuterinės technikos ir programinės įrangos atnaujinimą ir priežiūrą, kokybiško interneto bei telefonijos ryšį, garantuoti elektroninės informacijos sklaidą rajone. Sisteminti ir skaitmeninti etninės kultūros rašytinį paveldą, viešinti jį visuomenei, skatinti visuomenės laisvalaikio užimtumą ir kultūrines iniciatyvas.</w:t>
                </w:r>
              </w:p>
            </w:tc>
          </w:tr>
          <w:tr>
            <w:trPr>
              <w:trHeight w:val="468"/>
            </w:trPr>
            <w:tc>
              <w:tcPr>
                <w:tcW w:w="1560" w:type="dxa"/>
                <w:gridSpan w:val="2"/>
                <w:vAlign w:val="center"/>
              </w:tcPr>
              <w:p>
                <w:pPr>
                  <w:rPr>
                    <w:b/>
                    <w:szCs w:val="24"/>
                  </w:rPr>
                </w:pPr>
                <w:r>
                  <w:rPr>
                    <w:b/>
                    <w:szCs w:val="24"/>
                  </w:rPr>
                  <w:t>Programos tikslas</w:t>
                </w:r>
              </w:p>
            </w:tc>
            <w:tc>
              <w:tcPr>
                <w:tcW w:w="6468" w:type="dxa"/>
                <w:gridSpan w:val="2"/>
                <w:vAlign w:val="center"/>
              </w:tcPr>
              <w:p>
                <w:pPr>
                  <w:snapToGrid w:val="0"/>
                  <w:rPr>
                    <w:b/>
                    <w:szCs w:val="24"/>
                  </w:rPr>
                </w:pPr>
                <w:r>
                  <w:rPr>
                    <w:b/>
                    <w:bCs/>
                    <w:szCs w:val="24"/>
                  </w:rPr>
                  <w:t>Išsaugoti ir plačiau panaudoti regiono kultūrinį savitumą, užtikrinant kultūros įstaigų veiklą</w:t>
                </w:r>
              </w:p>
            </w:tc>
            <w:tc>
              <w:tcPr>
                <w:tcW w:w="1011" w:type="dxa"/>
                <w:gridSpan w:val="4"/>
                <w:vAlign w:val="center"/>
              </w:tcPr>
              <w:p>
                <w:pPr>
                  <w:jc w:val="center"/>
                  <w:rPr>
                    <w:b/>
                    <w:szCs w:val="24"/>
                  </w:rPr>
                </w:pPr>
                <w:r>
                  <w:rPr>
                    <w:b/>
                    <w:szCs w:val="24"/>
                  </w:rPr>
                  <w:t>Kodas</w:t>
                </w:r>
              </w:p>
            </w:tc>
            <w:tc>
              <w:tcPr>
                <w:tcW w:w="567" w:type="dxa"/>
                <w:vAlign w:val="center"/>
              </w:tcPr>
              <w:p>
                <w:pPr>
                  <w:jc w:val="center"/>
                  <w:rPr>
                    <w:b/>
                    <w:bCs/>
                    <w:szCs w:val="24"/>
                  </w:rPr>
                </w:pPr>
                <w:r>
                  <w:rPr>
                    <w:b/>
                    <w:bCs/>
                    <w:szCs w:val="24"/>
                  </w:rPr>
                  <w:t>02</w:t>
                </w:r>
              </w:p>
            </w:tc>
          </w:tr>
          <w:tr>
            <w:trPr>
              <w:trHeight w:val="468"/>
            </w:trPr>
            <w:tc>
              <w:tcPr>
                <w:tcW w:w="9606" w:type="dxa"/>
                <w:gridSpan w:val="9"/>
              </w:tcPr>
              <w:p>
                <w:pPr>
                  <w:rPr>
                    <w:sz w:val="10"/>
                    <w:szCs w:val="10"/>
                  </w:rPr>
                </w:pPr>
              </w:p>
              <w:p>
                <w:pPr>
                  <w:suppressAutoHyphens/>
                  <w:jc w:val="both"/>
                  <w:rPr>
                    <w:b/>
                    <w:bCs/>
                    <w:szCs w:val="24"/>
                    <w:lang w:eastAsia="ar-SA"/>
                  </w:rPr>
                </w:pPr>
                <w:r>
                  <w:rPr>
                    <w:b/>
                    <w:bCs/>
                    <w:szCs w:val="24"/>
                    <w:lang w:eastAsia="ar-SA"/>
                  </w:rPr>
                  <w:t xml:space="preserve">Tikslo įgyvendinimo aprašymas: </w:t>
                </w:r>
                <w:r>
                  <w:rPr>
                    <w:szCs w:val="24"/>
                    <w:lang w:eastAsia="ar-SA"/>
                  </w:rPr>
                  <w:t>programa parengta, siekiant gerinti Alytaus rajono savivaldybės kultūros centro dalyvavimą kultūrinėje veikloje, skatinti įvairių kultūros žanrų gyvybingumą, globoti ir puoselėti etninę, mėgėjų bei profesionalaus meno veiklą, renginių organizavimą bei kitą kultūrinę raišką Alytaus rajone bei visoje Lietuvoje.</w:t>
                </w:r>
                <w:r>
                  <w:rPr>
                    <w:bCs/>
                    <w:szCs w:val="24"/>
                    <w:lang w:eastAsia="ar-SA"/>
                  </w:rPr>
                  <w:t xml:space="preserve"> Dėmesys skiriamas gyventojų kultūriniams ir meniniams poreikiams ugdyti ir tenkinti, menininkų kūrybiniam aktyvumui skatinti. Siekiama sudaryti galimybes įvairiems visuomenės sluoksniams pažinti šiuolaikinę kultūrą ir meninę kūrybą, plėsti visuomenės meninį kultūrinį akiratį, stiprinti kūrybines galias, sudaryti sąlygas  kultūros tęstinumui: plėtoti etnines tradicijas ir išsaugoti kultūrinį paveldą.</w:t>
                </w:r>
              </w:p>
              <w:p>
                <w:pPr>
                  <w:rPr>
                    <w:sz w:val="10"/>
                    <w:szCs w:val="10"/>
                  </w:rPr>
                </w:pPr>
              </w:p>
              <w:p>
                <w:pPr>
                  <w:suppressAutoHyphens/>
                  <w:ind w:firstLine="567"/>
                  <w:jc w:val="both"/>
                  <w:rPr>
                    <w:b/>
                    <w:bCs/>
                    <w:szCs w:val="24"/>
                    <w:lang w:eastAsia="ar-SA"/>
                  </w:rPr>
                </w:pPr>
                <w:r>
                  <w:rPr>
                    <w:bCs/>
                    <w:szCs w:val="24"/>
                    <w:lang w:eastAsia="ar-SA"/>
                  </w:rPr>
                  <w:t>Siekiant įgyvendinti šį tikslą, vykdomi uždaviniai:</w:t>
                </w:r>
              </w:p>
              <w:p>
                <w:pPr>
                  <w:suppressAutoHyphens/>
                  <w:jc w:val="both"/>
                  <w:rPr>
                    <w:szCs w:val="24"/>
                    <w:lang w:eastAsia="ar-SA"/>
                  </w:rPr>
                </w:pPr>
                <w:r>
                  <w:rPr>
                    <w:b/>
                    <w:bCs/>
                    <w:szCs w:val="24"/>
                    <w:lang w:eastAsia="ar-SA"/>
                  </w:rPr>
                  <w:t>01 uždavinys. Alytaus rajono savivaldybės kultūros centro ir jo skyrių darbo organizavimas, materialinės bazės stiprinimas. Kokybiškas kultūrinių renginių organizavimas.</w:t>
                </w:r>
              </w:p>
              <w:p>
                <w:pPr>
                  <w:suppressAutoHyphens/>
                  <w:jc w:val="both"/>
                  <w:rPr>
                    <w:szCs w:val="24"/>
                    <w:lang w:eastAsia="ar-SA"/>
                  </w:rPr>
                </w:pPr>
                <w:r>
                  <w:rPr>
                    <w:szCs w:val="24"/>
                    <w:lang w:eastAsia="ar-SA"/>
                  </w:rPr>
                  <w:t xml:space="preserve">Organizuojami įvairios tematikos renginiai, diskotekos ir poilsio vakarai, mokami renginiai Alytaus rajono savivaldybės kultūros centro skyriuose. Sudaromos sąlygos bendruomenės narių meninės saviraiškos poreikių tenkinimui bei kokybiškam kultūros paslaugų teikimui, skatinama  meno mėgėjų kolektyvų kūrybinė veikla. </w:t>
                </w:r>
              </w:p>
              <w:p>
                <w:pPr>
                  <w:suppressAutoHyphens/>
                  <w:jc w:val="both"/>
                  <w:rPr>
                    <w:szCs w:val="24"/>
                    <w:lang w:eastAsia="ar-SA"/>
                  </w:rPr>
                </w:pPr>
                <w:r>
                  <w:rPr>
                    <w:b/>
                    <w:bCs/>
                    <w:szCs w:val="24"/>
                    <w:lang w:eastAsia="ar-SA"/>
                  </w:rPr>
                  <w:t>1 priemonės:</w:t>
                </w:r>
                <w:r>
                  <w:rPr>
                    <w:szCs w:val="24"/>
                    <w:lang w:eastAsia="ar-SA"/>
                  </w:rPr>
                  <w:t xml:space="preserve"> materialinės bazės ir pastatų išlaikymas. Darbuotojų išlaikymas, kvalifikacija, komandiruotės, turto įsigijimas ir finansinių įsipareigojimų vykdymas. Tradicinių renginių įgyvendinimas,  kalendorinių švenčių paminėjimas, kultūros ir meno sklaida.</w:t>
                </w:r>
              </w:p>
              <w:p>
                <w:pPr>
                  <w:rPr>
                    <w:sz w:val="10"/>
                    <w:szCs w:val="10"/>
                  </w:rPr>
                </w:pPr>
              </w:p>
              <w:p>
                <w:pPr>
                  <w:rPr>
                    <w:bCs/>
                    <w:i/>
                    <w:szCs w:val="24"/>
                    <w:u w:val="single"/>
                  </w:rPr>
                </w:pPr>
                <w:r>
                  <w:rPr>
                    <w:bCs/>
                    <w:i/>
                    <w:szCs w:val="24"/>
                    <w:u w:val="single"/>
                  </w:rPr>
                  <w:t xml:space="preserve">Rezultato vertinimo kriterijai: </w:t>
                </w:r>
              </w:p>
              <w:p>
                <w:pPr>
                  <w:rPr>
                    <w:sz w:val="10"/>
                    <w:szCs w:val="10"/>
                  </w:rPr>
                </w:pPr>
              </w:p>
              <w:p>
                <w:pPr>
                  <w:jc w:val="both"/>
                  <w:rPr>
                    <w:szCs w:val="24"/>
                  </w:rPr>
                </w:pPr>
                <w:r>
                  <w:rPr>
                    <w:szCs w:val="24"/>
                  </w:rPr>
                  <w:t>Kultūros bendruomenės dalyvavimas, kuriant palankią kultūrinę aplinką, visų renginių lankytojų skaičius 1000 gyventojų, asmenimis</w:t>
                </w:r>
                <w:r>
                  <w:rPr>
                    <w:sz w:val="22"/>
                    <w:szCs w:val="22"/>
                  </w:rPr>
                  <w:t xml:space="preserve"> – </w:t>
                </w:r>
                <w:r>
                  <w:rPr>
                    <w:szCs w:val="22"/>
                  </w:rPr>
                  <w:t>2900.</w:t>
                </w:r>
              </w:p>
            </w:tc>
          </w:tr>
          <w:tr>
            <w:trPr>
              <w:trHeight w:val="468"/>
            </w:trPr>
            <w:tc>
              <w:tcPr>
                <w:tcW w:w="1560" w:type="dxa"/>
                <w:gridSpan w:val="2"/>
                <w:vAlign w:val="center"/>
              </w:tcPr>
              <w:p>
                <w:pPr>
                  <w:rPr>
                    <w:b/>
                    <w:szCs w:val="24"/>
                  </w:rPr>
                </w:pPr>
                <w:r>
                  <w:rPr>
                    <w:b/>
                    <w:szCs w:val="24"/>
                  </w:rPr>
                  <w:t>Programos tikslas</w:t>
                </w:r>
              </w:p>
            </w:tc>
            <w:tc>
              <w:tcPr>
                <w:tcW w:w="6468" w:type="dxa"/>
                <w:gridSpan w:val="2"/>
                <w:vAlign w:val="center"/>
              </w:tcPr>
              <w:p>
                <w:pPr>
                  <w:jc w:val="both"/>
                  <w:rPr>
                    <w:b/>
                    <w:szCs w:val="24"/>
                  </w:rPr>
                </w:pPr>
                <w:r>
                  <w:rPr>
                    <w:b/>
                    <w:szCs w:val="24"/>
                  </w:rPr>
                  <w:t>Ugdyti visuomenės kultūrinį, pilietinį bei visuomeninį aktyvumą, vadovaujantis lyčių lygybės ir nediskriminavimo principais</w:t>
                </w:r>
              </w:p>
            </w:tc>
            <w:tc>
              <w:tcPr>
                <w:tcW w:w="926" w:type="dxa"/>
                <w:gridSpan w:val="3"/>
                <w:vAlign w:val="center"/>
              </w:tcPr>
              <w:p>
                <w:pPr>
                  <w:jc w:val="center"/>
                  <w:rPr>
                    <w:b/>
                    <w:szCs w:val="24"/>
                  </w:rPr>
                </w:pPr>
                <w:r>
                  <w:rPr>
                    <w:b/>
                    <w:szCs w:val="24"/>
                  </w:rPr>
                  <w:t>Kodas</w:t>
                </w:r>
              </w:p>
            </w:tc>
            <w:tc>
              <w:tcPr>
                <w:tcW w:w="652" w:type="dxa"/>
                <w:gridSpan w:val="2"/>
                <w:vAlign w:val="center"/>
              </w:tcPr>
              <w:p>
                <w:pPr>
                  <w:jc w:val="center"/>
                  <w:rPr>
                    <w:b/>
                    <w:bCs/>
                    <w:szCs w:val="24"/>
                  </w:rPr>
                </w:pPr>
                <w:r>
                  <w:rPr>
                    <w:b/>
                    <w:bCs/>
                    <w:szCs w:val="24"/>
                  </w:rPr>
                  <w:t>03</w:t>
                </w:r>
              </w:p>
            </w:tc>
          </w:tr>
          <w:tr>
            <w:trPr>
              <w:trHeight w:val="468"/>
            </w:trPr>
            <w:tc>
              <w:tcPr>
                <w:tcW w:w="9606" w:type="dxa"/>
                <w:gridSpan w:val="9"/>
              </w:tcPr>
              <w:p>
                <w:pPr>
                  <w:rPr>
                    <w:sz w:val="10"/>
                    <w:szCs w:val="10"/>
                  </w:rPr>
                </w:pPr>
              </w:p>
              <w:p>
                <w:pPr>
                  <w:jc w:val="both"/>
                  <w:rPr>
                    <w:b/>
                    <w:bCs/>
                    <w:szCs w:val="24"/>
                  </w:rPr>
                </w:pPr>
                <w:r>
                  <w:rPr>
                    <w:b/>
                    <w:bCs/>
                    <w:szCs w:val="24"/>
                  </w:rPr>
                  <w:t xml:space="preserve">Tikslo įgyvendinimo aprašymas: </w:t>
                </w:r>
              </w:p>
              <w:p>
                <w:pPr>
                  <w:rPr>
                    <w:sz w:val="10"/>
                    <w:szCs w:val="10"/>
                  </w:rPr>
                </w:pPr>
              </w:p>
              <w:p>
                <w:pPr>
                  <w:jc w:val="both"/>
                  <w:rPr>
                    <w:szCs w:val="24"/>
                  </w:rPr>
                </w:pPr>
                <w:r>
                  <w:rPr>
                    <w:szCs w:val="24"/>
                  </w:rPr>
                  <w:t xml:space="preserve">projektų lėšomis rajone organizuojamos </w:t>
                </w:r>
                <w:r>
                  <w:rPr>
                    <w:bCs/>
                    <w:szCs w:val="24"/>
                  </w:rPr>
                  <w:t xml:space="preserve">kūrybiškumo stovyklos, mugės, plenerai, spektakliai, koncertai, organizuojami tradiciniai renginiai ir šventės. </w:t>
                </w:r>
                <w:r>
                  <w:rPr>
                    <w:szCs w:val="24"/>
                  </w:rPr>
                  <w:t xml:space="preserve">Vyksta turiningas viešasis, kultūrinis gyvenimas, teikiamos kokybiškos kultūrinės paslaugos, kuriomis naudojasi ne tik rajono bendruomenių nariai, bet ir svečiai. </w:t>
                </w:r>
              </w:p>
              <w:p>
                <w:pPr>
                  <w:jc w:val="both"/>
                  <w:rPr>
                    <w:szCs w:val="24"/>
                  </w:rPr>
                </w:pPr>
                <w:r>
                  <w:rPr>
                    <w:szCs w:val="24"/>
                  </w:rPr>
                  <w:t>Rajone sudaromos sąlygos veikliai visuomenei kurti, gyventi, turiningai praleisti laisvalaikį. Organizuojami ir ugdomi visuomenės kultūriniai, pilietiniai bei visuomeniniai poreikiai, skatinama profesionalaus ir mėgėjų meno sklaida Alytaus rajono savivaldybėje, sudarant sąlygas menininkams, kūrėjams, švietimo, meno ir kultūros įstaigoms, organizacijoms, draugijoms bei klubams realizuoti kūrybines idėjas ir sumanymus. Kūrybos projektų rėmimas ir kūrybinės veiklos skatinimas tik dar labiau sudarys kiekvienam bendruomenės nariui sąlygas dalyvauti kultūroje ir ją vartoti, rasti mėgstamą laisvalaikio formą ir progą išreikšti save. Vienu iš svarbių nūdienos rajono kultūros dalių yra ne tik profesionalų, bet ir mėgėjų meninės veiklos skatinimas, saugojimas, kūrimas bei atnaujinimas. Įgyvendinant tikslą vykdomas vienas uždavinys:</w:t>
                </w:r>
              </w:p>
              <w:p>
                <w:pPr>
                  <w:jc w:val="both"/>
                  <w:rPr>
                    <w:szCs w:val="24"/>
                  </w:rPr>
                </w:pPr>
                <w:r>
                  <w:rPr>
                    <w:b/>
                    <w:szCs w:val="24"/>
                  </w:rPr>
                  <w:t>01 uždavinys. Remti kultūros vartojimo ir kultūros poreikio ugdymo iniciatyvas.</w:t>
                </w:r>
                <w:r>
                  <w:rPr>
                    <w:szCs w:val="24"/>
                  </w:rPr>
                  <w:t xml:space="preserve"> Sudaromos sąlygos visuomenei lygiomis teisėms dalyvauti kultūroje. Palanki sociokultūrinė aplinka užtikrina lygias galimybes ir kaimo gyventojams kultūros vartojimui. Svarbu skatinti, remti ir pačios bendruomenės iniciatyvumą. </w:t>
                </w:r>
              </w:p>
              <w:p>
                <w:pPr>
                  <w:jc w:val="both"/>
                  <w:rPr>
                    <w:szCs w:val="24"/>
                  </w:rPr>
                </w:pPr>
                <w:r>
                  <w:rPr>
                    <w:szCs w:val="24"/>
                  </w:rPr>
                  <w:t xml:space="preserve">Parama skiriama projektams, tenkinantiems Alytaus rajono gyventojų poreikius kultūros srityje:             meno mėgėjų kolektyvams dalyvauti regioniniuose, respublikiniuose ir tarptautiniuose renginiuose, </w:t>
                </w:r>
                <w:r>
                  <w:rPr>
                    <w:szCs w:val="24"/>
                    <w:lang w:val="en-US"/>
                  </w:rPr>
                  <w:t>meno mėgėjų kolektyvų ilgalaikiam ir trumpalaikiam turtui įsigyti,</w:t>
                </w:r>
                <w:r>
                  <w:rPr>
                    <w:szCs w:val="24"/>
                  </w:rPr>
                  <w:t xml:space="preserve"> etninėms tradicijoms ugdyti, meninės kūrybos renginiams, tradiciniams renginiams įgyvendinti, valstybinėms, kalendorinėms šventėms, reikšmingoms sukaktims ir kt. įsimintinoms datoms paminėti, Alytaus rajono kultūros darbuotojų šventėms, kultūros ir meno paslaugų sklaidai Alytaus rajone, leidybai. Finansuojant projektus atsižvelgiama į šiuos kriterijus: aiškiai suformuluoti projekto tikslai ir uždaviniai, seniūnijose veikiančių kultūros įstaigų, bendruomenių, asociacijų ir kt. organizacijų dalyvavimas projekte, projekto idėjos ir rengimo formos originalumas ir pagrįstumas, pakankami turimi žmogiškieji ištekliai: vadovo ir darbo grupės patirtis įgyvendinant panašaus pobūdžio projektus, profesionalumas, kompetencija, detali projekto poreikių sąmata.</w:t>
                </w:r>
              </w:p>
              <w:p>
                <w:pPr>
                  <w:rPr>
                    <w:sz w:val="10"/>
                    <w:szCs w:val="10"/>
                  </w:rPr>
                </w:pPr>
              </w:p>
              <w:p>
                <w:pPr>
                  <w:jc w:val="both"/>
                  <w:rPr>
                    <w:i/>
                    <w:szCs w:val="24"/>
                    <w:u w:val="single"/>
                  </w:rPr>
                </w:pPr>
                <w:r>
                  <w:rPr>
                    <w:i/>
                    <w:iCs/>
                    <w:szCs w:val="24"/>
                    <w:u w:val="single"/>
                  </w:rPr>
                  <w:t>Rezultato vertinimo kriterijus</w:t>
                </w:r>
                <w:r>
                  <w:rPr>
                    <w:i/>
                    <w:szCs w:val="24"/>
                    <w:u w:val="single"/>
                  </w:rPr>
                  <w:t xml:space="preserve">: </w:t>
                </w:r>
              </w:p>
              <w:p>
                <w:pPr>
                  <w:rPr>
                    <w:sz w:val="10"/>
                    <w:szCs w:val="10"/>
                  </w:rPr>
                </w:pPr>
              </w:p>
              <w:p>
                <w:pPr>
                  <w:rPr>
                    <w:szCs w:val="22"/>
                  </w:rPr>
                </w:pPr>
                <w:r>
                  <w:rPr>
                    <w:szCs w:val="24"/>
                  </w:rPr>
                  <w:t>Remiamų kultūros projektų skaičius, vnt.– 40</w:t>
                </w:r>
              </w:p>
            </w:tc>
          </w:tr>
          <w:tr>
            <w:trPr>
              <w:trHeight w:val="468"/>
            </w:trPr>
            <w:tc>
              <w:tcPr>
                <w:tcW w:w="1548" w:type="dxa"/>
                <w:vAlign w:val="center"/>
              </w:tcPr>
              <w:p>
                <w:pPr>
                  <w:snapToGrid w:val="0"/>
                  <w:rPr>
                    <w:szCs w:val="24"/>
                  </w:rPr>
                </w:pPr>
                <w:r>
                  <w:rPr>
                    <w:b/>
                    <w:szCs w:val="24"/>
                  </w:rPr>
                  <w:t>Programos tikslas</w:t>
                </w:r>
              </w:p>
            </w:tc>
            <w:tc>
              <w:tcPr>
                <w:tcW w:w="6498" w:type="dxa"/>
                <w:gridSpan w:val="4"/>
                <w:vAlign w:val="center"/>
              </w:tcPr>
              <w:p>
                <w:pPr>
                  <w:rPr>
                    <w:b/>
                    <w:szCs w:val="24"/>
                  </w:rPr>
                </w:pPr>
                <w:r>
                  <w:rPr>
                    <w:b/>
                    <w:szCs w:val="24"/>
                  </w:rPr>
                  <w:t>Tradicinės religinės bendruomenės skatinimas</w:t>
                </w:r>
              </w:p>
            </w:tc>
            <w:tc>
              <w:tcPr>
                <w:tcW w:w="908" w:type="dxa"/>
                <w:gridSpan w:val="2"/>
                <w:vAlign w:val="center"/>
              </w:tcPr>
              <w:p>
                <w:pPr>
                  <w:jc w:val="center"/>
                  <w:rPr>
                    <w:b/>
                    <w:szCs w:val="24"/>
                  </w:rPr>
                </w:pPr>
                <w:r>
                  <w:rPr>
                    <w:b/>
                    <w:szCs w:val="24"/>
                  </w:rPr>
                  <w:t>Kodas</w:t>
                </w:r>
              </w:p>
            </w:tc>
            <w:tc>
              <w:tcPr>
                <w:tcW w:w="652" w:type="dxa"/>
                <w:gridSpan w:val="2"/>
                <w:vAlign w:val="center"/>
              </w:tcPr>
              <w:p>
                <w:pPr>
                  <w:jc w:val="center"/>
                  <w:rPr>
                    <w:b/>
                    <w:bCs/>
                    <w:szCs w:val="24"/>
                  </w:rPr>
                </w:pPr>
                <w:r>
                  <w:rPr>
                    <w:b/>
                    <w:bCs/>
                    <w:szCs w:val="24"/>
                  </w:rPr>
                  <w:t>04</w:t>
                </w:r>
              </w:p>
            </w:tc>
          </w:tr>
          <w:tr>
            <w:trPr>
              <w:trHeight w:val="468"/>
            </w:trPr>
            <w:tc>
              <w:tcPr>
                <w:tcW w:w="9606" w:type="dxa"/>
                <w:gridSpan w:val="9"/>
              </w:tcPr>
              <w:p>
                <w:pPr>
                  <w:jc w:val="both"/>
                  <w:rPr>
                    <w:sz w:val="22"/>
                    <w:szCs w:val="22"/>
                    <w:lang w:val="en-US"/>
                  </w:rPr>
                </w:pPr>
                <w:r>
                  <w:rPr>
                    <w:b/>
                    <w:bCs/>
                    <w:szCs w:val="24"/>
                  </w:rPr>
                  <w:t xml:space="preserve">Tikslo įgyvendinimo aprašymas: </w:t>
                </w:r>
                <w:r>
                  <w:rPr>
                    <w:sz w:val="22"/>
                    <w:szCs w:val="22"/>
                    <w:lang w:val="en-US"/>
                  </w:rPr>
                  <w:t xml:space="preserve">Alytaus rajono religinių bendruomenių projektų finansavimas skirtas finansinei paramai teikti Alytaus rajone pagal Lietuvos Respublikos religinių bendruomenių ir bendrijų įstatymą registruotoms tradicinėms religinėms bendruomenėms ir bendrijoms, taip prisidedant prie krašto kultūrinio paveldo dalies, priklausančios religinėms bendruomenėms, išsaugojimo ir organizacijų veiklos vietos bendruomenės skatinimo. </w:t>
                </w:r>
              </w:p>
              <w:p>
                <w:pPr>
                  <w:ind w:firstLine="720"/>
                  <w:jc w:val="both"/>
                  <w:rPr>
                    <w:sz w:val="22"/>
                    <w:szCs w:val="22"/>
                    <w:lang w:eastAsia="lt-LT"/>
                  </w:rPr>
                </w:pPr>
                <w:r>
                  <w:rPr>
                    <w:sz w:val="22"/>
                    <w:szCs w:val="22"/>
                    <w:lang w:eastAsia="lt-LT"/>
                  </w:rPr>
                  <w:t>Religinių bendruomenių projektų konkretūs tikslai:</w:t>
                </w:r>
              </w:p>
              <w:p>
                <w:pPr>
                  <w:ind w:firstLine="720"/>
                  <w:jc w:val="both"/>
                  <w:rPr>
                    <w:sz w:val="22"/>
                    <w:szCs w:val="22"/>
                    <w:lang w:eastAsia="lt-LT"/>
                  </w:rPr>
                </w:pPr>
                <w:r>
                  <w:rPr>
                    <w:sz w:val="22"/>
                    <w:szCs w:val="22"/>
                    <w:lang w:eastAsia="lt-LT"/>
                  </w:rPr>
                  <w:t>1. prisidėti prie rajono kultūros paveldo, priklausančio religinėms bendruomenėms, išsaugojimo skiriant tradicinėms religinėms bendruomenėms savivaldybės biudžeto lėšas remonto, pastatų inventorizavimo, bažnytinio inventoriaus įsigijimo ir remonto, vidaus patalpų tvarkymo</w:t>
                </w:r>
                <w:r>
                  <w:rPr>
                    <w:i/>
                    <w:iCs/>
                    <w:sz w:val="22"/>
                    <w:szCs w:val="22"/>
                    <w:lang w:eastAsia="lt-LT"/>
                  </w:rPr>
                  <w:t> </w:t>
                </w:r>
                <w:r>
                  <w:rPr>
                    <w:sz w:val="22"/>
                    <w:szCs w:val="22"/>
                    <w:lang w:eastAsia="lt-LT"/>
                  </w:rPr>
                  <w:t>darbams atlikti bei organizuojamų jubiliejinių renginių rėmimui;</w:t>
                </w:r>
              </w:p>
              <w:p>
                <w:pPr>
                  <w:jc w:val="both"/>
                  <w:rPr>
                    <w:b/>
                    <w:bCs/>
                    <w:szCs w:val="24"/>
                  </w:rPr>
                </w:pPr>
                <w:r>
                  <w:rPr>
                    <w:sz w:val="22"/>
                    <w:szCs w:val="22"/>
                    <w:lang w:eastAsia="lt-LT"/>
                  </w:rPr>
                  <w:t>2. atnaujinti kultūrinio turizmo požiūriu patrauklius architektūros ar kraštovaizdinę vertę turinčius krašto objektus.</w:t>
                </w:r>
              </w:p>
              <w:p>
                <w:pPr>
                  <w:jc w:val="both"/>
                  <w:rPr>
                    <w:szCs w:val="24"/>
                  </w:rPr>
                </w:pPr>
                <w:r>
                  <w:rPr>
                    <w:szCs w:val="24"/>
                  </w:rPr>
                  <w:t>Įgyvendinant šį tikslą, vykdomi šie uždaviniai:</w:t>
                </w:r>
              </w:p>
              <w:p>
                <w:pPr>
                  <w:jc w:val="both"/>
                  <w:rPr>
                    <w:b/>
                    <w:szCs w:val="24"/>
                  </w:rPr>
                </w:pPr>
                <w:r>
                  <w:rPr>
                    <w:b/>
                    <w:szCs w:val="24"/>
                  </w:rPr>
                  <w:t>01 uždavinys. Remti Alytaus rajono savivaldybės teritorijoje esančių organizacijoms priklausančių pastatų tvarkybos darbus ir šių pastatų pritaikymą bendruomenės poreikiams, skatinti etnokultūros puoselėjimą, nekilnojamų ir kilnojamųjų kultūros vertybių apsaugą.</w:t>
                </w:r>
              </w:p>
              <w:p>
                <w:pPr>
                  <w:ind w:firstLine="720"/>
                  <w:jc w:val="both"/>
                  <w:rPr>
                    <w:sz w:val="22"/>
                    <w:szCs w:val="22"/>
                    <w:lang w:eastAsia="lt-LT"/>
                  </w:rPr>
                </w:pPr>
                <w:r>
                  <w:rPr>
                    <w:sz w:val="22"/>
                    <w:szCs w:val="22"/>
                    <w:lang w:eastAsia="lt-LT"/>
                  </w:rPr>
                  <w:t>Religinių bendruomenių projektų uždavinio detalizavimas:</w:t>
                </w:r>
              </w:p>
              <w:p>
                <w:pPr>
                  <w:ind w:firstLine="720"/>
                  <w:jc w:val="both"/>
                  <w:rPr>
                    <w:sz w:val="22"/>
                    <w:szCs w:val="22"/>
                    <w:lang w:eastAsia="lt-LT"/>
                  </w:rPr>
                </w:pPr>
                <w:r>
                  <w:rPr>
                    <w:sz w:val="22"/>
                    <w:szCs w:val="22"/>
                    <w:lang w:eastAsia="lt-LT"/>
                  </w:rPr>
                  <w:t>1. ugdyti visuomenės bendrąją kultūrą, etnokultūros puoselėjimą, kraštovaizdžio, nekilnojamų kultūros vertybių apsaugą;</w:t>
                </w:r>
              </w:p>
              <w:p>
                <w:pPr>
                  <w:ind w:firstLine="720"/>
                  <w:jc w:val="both"/>
                  <w:rPr>
                    <w:sz w:val="22"/>
                    <w:szCs w:val="22"/>
                    <w:lang w:eastAsia="lt-LT"/>
                  </w:rPr>
                </w:pPr>
                <w:r>
                  <w:rPr>
                    <w:sz w:val="22"/>
                    <w:szCs w:val="22"/>
                    <w:lang w:eastAsia="lt-LT"/>
                  </w:rPr>
                  <w:t>2. skatinti religines bendruomenes spręsti bendruomenės socialines, kultūrines, dorovines problemas;</w:t>
                </w:r>
              </w:p>
              <w:p>
                <w:pPr>
                  <w:ind w:firstLine="720"/>
                  <w:jc w:val="both"/>
                  <w:rPr>
                    <w:sz w:val="22"/>
                    <w:szCs w:val="22"/>
                    <w:lang w:eastAsia="lt-LT"/>
                  </w:rPr>
                </w:pPr>
                <w:r>
                  <w:rPr>
                    <w:sz w:val="22"/>
                    <w:szCs w:val="22"/>
                    <w:lang w:eastAsia="lt-LT"/>
                  </w:rPr>
                  <w:t>3. iš dalies finansuoti Alytaus rajono savivaldybės teritorijoje esančių religinėms bendruomenėms priklausančių pastatų, patalpų remonto darbus ir šių pastatų, patalpų pritaikymą bendruomenės poreikiams, taip pat bažnytinio inventoriaus įsigijimą ir remontą, jubiliejinių renginių organizavimą;</w:t>
                </w:r>
              </w:p>
              <w:p>
                <w:pPr>
                  <w:ind w:firstLine="720"/>
                  <w:jc w:val="both"/>
                  <w:rPr>
                    <w:sz w:val="22"/>
                    <w:szCs w:val="22"/>
                    <w:lang w:eastAsia="lt-LT"/>
                  </w:rPr>
                </w:pPr>
                <w:r>
                  <w:rPr>
                    <w:sz w:val="22"/>
                    <w:szCs w:val="22"/>
                    <w:lang w:eastAsia="lt-LT"/>
                  </w:rPr>
                  <w:t>4. bendradarbiauti su religinėmis bendruomenėmis saugojant bažnytinį meną, didinti bendruomenės socialines, ekonomines, kultūrines galimybes;</w:t>
                </w:r>
              </w:p>
              <w:p>
                <w:pPr>
                  <w:ind w:firstLine="720"/>
                  <w:jc w:val="both"/>
                  <w:rPr>
                    <w:sz w:val="22"/>
                    <w:szCs w:val="22"/>
                    <w:lang w:eastAsia="lt-LT"/>
                  </w:rPr>
                </w:pPr>
                <w:r>
                  <w:rPr>
                    <w:sz w:val="22"/>
                    <w:szCs w:val="22"/>
                    <w:lang w:eastAsia="lt-LT"/>
                  </w:rPr>
                  <w:t>5. remti moralines vertybes puoselėjančią, švietėjišką religinių bendruomenių veiklą.</w:t>
                </w:r>
              </w:p>
              <w:p>
                <w:pPr>
                  <w:jc w:val="both"/>
                  <w:rPr>
                    <w:sz w:val="22"/>
                    <w:szCs w:val="22"/>
                    <w:lang w:val="en-US"/>
                  </w:rPr>
                </w:pPr>
                <w:r>
                  <w:rPr>
                    <w:sz w:val="22"/>
                    <w:szCs w:val="22"/>
                    <w:lang w:val="en-US"/>
                  </w:rPr>
                  <w:t>Šiuo uždaviniu taip pat skatinama organizacijas aktyviau spręsti bendruomenės socialines, kultūrines, dorovines problemas, remti moralines vertybes puoselėjančią, šviečiamąją Organizacijų veiklą, bendradarbiavimą su kitų rajonų organizacijomis.</w:t>
                </w:r>
              </w:p>
              <w:p>
                <w:pPr>
                  <w:ind w:firstLine="720"/>
                  <w:jc w:val="both"/>
                  <w:rPr>
                    <w:sz w:val="22"/>
                    <w:szCs w:val="22"/>
                    <w:lang w:eastAsia="lt-LT"/>
                  </w:rPr>
                </w:pPr>
                <w:r>
                  <w:rPr>
                    <w:sz w:val="22"/>
                    <w:szCs w:val="22"/>
                    <w:lang w:eastAsia="lt-LT"/>
                  </w:rPr>
                  <w:t>Religinių bendruomenių projektų finansavimo lėšos skiriamos:</w:t>
                </w:r>
              </w:p>
              <w:p>
                <w:pPr>
                  <w:ind w:firstLine="720"/>
                  <w:jc w:val="both"/>
                  <w:rPr>
                    <w:sz w:val="22"/>
                    <w:szCs w:val="22"/>
                    <w:lang w:eastAsia="lt-LT"/>
                  </w:rPr>
                </w:pPr>
                <w:r>
                  <w:rPr>
                    <w:sz w:val="22"/>
                    <w:szCs w:val="22"/>
                    <w:lang w:eastAsia="lt-LT"/>
                  </w:rPr>
                  <w:t>1. iš dalies finansuoti Alytaus rajono savivaldybės teritorijoje esančių religinėms bendruomenėms priklausančių pastatų, patalpų remonto darbus ir šių pastatų, patalpų pritaikymą bendruomenės poreikiams;</w:t>
                </w:r>
              </w:p>
              <w:p>
                <w:pPr>
                  <w:ind w:firstLine="720"/>
                  <w:jc w:val="both"/>
                  <w:rPr>
                    <w:sz w:val="22"/>
                    <w:szCs w:val="22"/>
                    <w:lang w:eastAsia="lt-LT"/>
                  </w:rPr>
                </w:pPr>
                <w:r>
                  <w:rPr>
                    <w:sz w:val="22"/>
                    <w:szCs w:val="22"/>
                    <w:lang w:eastAsia="lt-LT"/>
                  </w:rPr>
                  <w:t>2. jubiliejinių renginių organizavimui;</w:t>
                </w:r>
              </w:p>
              <w:p>
                <w:pPr>
                  <w:ind w:firstLine="720"/>
                  <w:jc w:val="both"/>
                  <w:rPr>
                    <w:sz w:val="22"/>
                    <w:szCs w:val="22"/>
                    <w:lang w:eastAsia="lt-LT"/>
                  </w:rPr>
                </w:pPr>
                <w:r>
                  <w:rPr>
                    <w:sz w:val="22"/>
                    <w:szCs w:val="22"/>
                    <w:lang w:eastAsia="lt-LT"/>
                  </w:rPr>
                  <w:t>3. bažnytinio inventoriaus įsigijimui ir remontui.</w:t>
                </w:r>
              </w:p>
              <w:p>
                <w:pPr>
                  <w:ind w:firstLine="720"/>
                  <w:jc w:val="both"/>
                  <w:rPr>
                    <w:sz w:val="22"/>
                    <w:szCs w:val="22"/>
                    <w:lang w:eastAsia="lt-LT"/>
                  </w:rPr>
                </w:pPr>
                <w:r>
                  <w:rPr>
                    <w:sz w:val="22"/>
                    <w:szCs w:val="22"/>
                    <w:lang w:eastAsia="lt-LT"/>
                  </w:rPr>
                  <w:t>Religinių bendruomenių projektų finansavimo lėšos neskiriamos:</w:t>
                </w:r>
              </w:p>
              <w:p>
                <w:pPr>
                  <w:ind w:firstLine="720"/>
                  <w:jc w:val="both"/>
                  <w:rPr>
                    <w:sz w:val="22"/>
                    <w:szCs w:val="22"/>
                    <w:lang w:eastAsia="lt-LT"/>
                  </w:rPr>
                </w:pPr>
                <w:r>
                  <w:rPr>
                    <w:sz w:val="22"/>
                    <w:szCs w:val="22"/>
                    <w:lang w:eastAsia="lt-LT"/>
                  </w:rPr>
                  <w:t>1. panaudoti kitiems projektams vykdyti (ne pagal Savivaldybės biudžeto lėšų naudojimo sutartyje nustatytą paskirtį);</w:t>
                </w:r>
              </w:p>
              <w:p>
                <w:pPr>
                  <w:ind w:firstLine="720"/>
                  <w:jc w:val="both"/>
                  <w:rPr>
                    <w:sz w:val="22"/>
                    <w:szCs w:val="22"/>
                    <w:lang w:eastAsia="lt-LT"/>
                  </w:rPr>
                </w:pPr>
                <w:r>
                  <w:rPr>
                    <w:sz w:val="22"/>
                    <w:szCs w:val="22"/>
                    <w:lang w:eastAsia="lt-LT"/>
                  </w:rPr>
                  <w:t>2. jei ankstesniems projektams iš savivaldybės finansavimą gavusi religinė bendruomenė neatsiskaitė už lėšų panaudojimą numatyta tvarka arba buvo nustatyta, kad gautos lėšos panaudotos ne pagal tikslinę jų paskirtį.</w:t>
                </w:r>
              </w:p>
              <w:p>
                <w:pPr>
                  <w:ind w:firstLine="720"/>
                  <w:jc w:val="both"/>
                  <w:rPr>
                    <w:sz w:val="22"/>
                    <w:szCs w:val="22"/>
                    <w:lang w:eastAsia="lt-LT"/>
                  </w:rPr>
                </w:pPr>
                <w:r>
                  <w:rPr>
                    <w:sz w:val="22"/>
                    <w:szCs w:val="22"/>
                    <w:lang w:val="en-US"/>
                  </w:rPr>
                  <w:t>Alytaus rajono savivaldybės administracijos direktoriaus įsakymu sudaroma Alytaus rajono religinių bendruomenių projektų finansavimo vertinimo komisija.</w:t>
                </w:r>
              </w:p>
              <w:p>
                <w:pPr>
                  <w:ind w:firstLine="720"/>
                  <w:jc w:val="both"/>
                  <w:rPr>
                    <w:sz w:val="22"/>
                    <w:szCs w:val="22"/>
                    <w:lang w:eastAsia="lt-LT"/>
                  </w:rPr>
                </w:pPr>
                <w:r>
                  <w:rPr>
                    <w:sz w:val="22"/>
                    <w:szCs w:val="22"/>
                    <w:lang w:eastAsia="lt-LT"/>
                  </w:rPr>
                  <w:t>Komisija lėšas skiria vadovaudamasi šiais prioritetais:</w:t>
                </w:r>
              </w:p>
              <w:p>
                <w:pPr>
                  <w:ind w:firstLine="720"/>
                  <w:jc w:val="both"/>
                  <w:rPr>
                    <w:sz w:val="22"/>
                    <w:szCs w:val="22"/>
                    <w:lang w:eastAsia="lt-LT"/>
                  </w:rPr>
                </w:pPr>
                <w:r>
                  <w:rPr>
                    <w:sz w:val="22"/>
                    <w:szCs w:val="22"/>
                    <w:lang w:eastAsia="lt-LT"/>
                  </w:rPr>
                  <w:t>1. didesnė objekto istorinė, architektūrinė, meninė vertė;</w:t>
                </w:r>
              </w:p>
              <w:p>
                <w:pPr>
                  <w:ind w:firstLine="720"/>
                  <w:jc w:val="both"/>
                  <w:rPr>
                    <w:sz w:val="22"/>
                    <w:szCs w:val="22"/>
                    <w:lang w:eastAsia="lt-LT"/>
                  </w:rPr>
                </w:pPr>
                <w:r>
                  <w:rPr>
                    <w:sz w:val="22"/>
                    <w:szCs w:val="22"/>
                    <w:lang w:eastAsia="lt-LT"/>
                  </w:rPr>
                  <w:t>2. objekto trūkumas, kurį planuojama šalinti, didžiausias, t. y. pastatui, kitam daiktui, skubiai reikalingas avarijos grėsmės pašalinimas, konservavimo, restauravimo ir apsaugos priemonių įrengimo darbai, remontas ir jų priežiūra;</w:t>
                </w:r>
              </w:p>
              <w:p>
                <w:pPr>
                  <w:ind w:firstLine="720"/>
                  <w:jc w:val="both"/>
                  <w:rPr>
                    <w:sz w:val="22"/>
                    <w:szCs w:val="22"/>
                    <w:lang w:eastAsia="lt-LT"/>
                  </w:rPr>
                </w:pPr>
                <w:r>
                  <w:rPr>
                    <w:sz w:val="22"/>
                    <w:szCs w:val="22"/>
                    <w:lang w:eastAsia="lt-LT"/>
                  </w:rPr>
                  <w:t>3. papildomai lėšos gaunamos iš įvairių fondų bei kitų finansavimo šaltinių.</w:t>
                </w:r>
              </w:p>
              <w:p>
                <w:pPr>
                  <w:jc w:val="both"/>
                  <w:rPr>
                    <w:sz w:val="22"/>
                    <w:szCs w:val="22"/>
                    <w:lang w:val="en-US"/>
                  </w:rPr>
                </w:pPr>
              </w:p>
              <w:p>
                <w:pPr>
                  <w:ind w:firstLine="567"/>
                  <w:jc w:val="both"/>
                  <w:rPr>
                    <w:szCs w:val="24"/>
                  </w:rPr>
                </w:pPr>
                <w:r>
                  <w:rPr>
                    <w:sz w:val="22"/>
                    <w:szCs w:val="22"/>
                    <w:lang w:val="en-US"/>
                  </w:rPr>
                  <w:t>Komisija protokolą dėl siūlymų skirti savivaldybės biudžeto lėšų teikia administracijos direktoriui.</w:t>
                </w:r>
              </w:p>
              <w:p>
                <w:pPr>
                  <w:rPr>
                    <w:sz w:val="10"/>
                    <w:szCs w:val="10"/>
                  </w:rPr>
                </w:pPr>
              </w:p>
              <w:p>
                <w:pPr>
                  <w:shd w:val="clear" w:color="auto" w:fill="FFFFFF"/>
                  <w:jc w:val="both"/>
                  <w:rPr>
                    <w:i/>
                    <w:szCs w:val="24"/>
                  </w:rPr>
                </w:pPr>
                <w:r>
                  <w:rPr>
                    <w:i/>
                    <w:szCs w:val="24"/>
                    <w:u w:val="single"/>
                  </w:rPr>
                  <w:t>Rezultato vertinimo kriterijai</w:t>
                </w:r>
                <w:r>
                  <w:rPr>
                    <w:i/>
                    <w:szCs w:val="24"/>
                  </w:rPr>
                  <w:t>:</w:t>
                </w:r>
              </w:p>
              <w:p>
                <w:pPr>
                  <w:rPr>
                    <w:sz w:val="10"/>
                    <w:szCs w:val="10"/>
                  </w:rPr>
                </w:pPr>
              </w:p>
              <w:p>
                <w:pPr>
                  <w:shd w:val="clear" w:color="auto" w:fill="FFFFFF"/>
                  <w:jc w:val="both"/>
                  <w:rPr>
                    <w:szCs w:val="24"/>
                  </w:rPr>
                </w:pPr>
                <w:r>
                  <w:rPr>
                    <w:szCs w:val="24"/>
                  </w:rPr>
                  <w:t>remiamų religinių bendruomenių projektų skaičius, vnt.– 2</w:t>
                </w:r>
              </w:p>
            </w:tc>
          </w:tr>
          <w:tr>
            <w:trPr>
              <w:trHeight w:val="468"/>
            </w:trPr>
            <w:tc>
              <w:tcPr>
                <w:tcW w:w="1548" w:type="dxa"/>
                <w:vAlign w:val="center"/>
              </w:tcPr>
              <w:p>
                <w:pPr>
                  <w:rPr>
                    <w:b/>
                    <w:szCs w:val="24"/>
                  </w:rPr>
                </w:pPr>
                <w:r>
                  <w:rPr>
                    <w:b/>
                    <w:szCs w:val="24"/>
                  </w:rPr>
                  <w:t>Programos tikslas</w:t>
                </w:r>
              </w:p>
            </w:tc>
            <w:tc>
              <w:tcPr>
                <w:tcW w:w="6498" w:type="dxa"/>
                <w:gridSpan w:val="4"/>
                <w:vAlign w:val="center"/>
              </w:tcPr>
              <w:p>
                <w:pPr>
                  <w:jc w:val="both"/>
                  <w:rPr>
                    <w:b/>
                    <w:szCs w:val="24"/>
                  </w:rPr>
                </w:pPr>
                <w:r>
                  <w:rPr>
                    <w:b/>
                    <w:szCs w:val="24"/>
                  </w:rPr>
                  <w:t>Formuoti ir įgyvendinti savivaldybės kultūros politiką bei atlikti visus veiksmus susijusius su savivaldybės teigiamo įvaizdžio formavimu</w:t>
                </w:r>
              </w:p>
            </w:tc>
            <w:tc>
              <w:tcPr>
                <w:tcW w:w="908" w:type="dxa"/>
                <w:gridSpan w:val="2"/>
                <w:vAlign w:val="center"/>
              </w:tcPr>
              <w:p>
                <w:pPr>
                  <w:jc w:val="center"/>
                  <w:rPr>
                    <w:b/>
                    <w:szCs w:val="24"/>
                  </w:rPr>
                </w:pPr>
                <w:r>
                  <w:rPr>
                    <w:b/>
                    <w:szCs w:val="24"/>
                  </w:rPr>
                  <w:t>Kodas</w:t>
                </w:r>
              </w:p>
            </w:tc>
            <w:tc>
              <w:tcPr>
                <w:tcW w:w="652" w:type="dxa"/>
                <w:gridSpan w:val="2"/>
                <w:vAlign w:val="center"/>
              </w:tcPr>
              <w:p>
                <w:pPr>
                  <w:jc w:val="center"/>
                  <w:rPr>
                    <w:b/>
                    <w:bCs/>
                    <w:szCs w:val="24"/>
                  </w:rPr>
                </w:pPr>
                <w:r>
                  <w:rPr>
                    <w:b/>
                    <w:bCs/>
                    <w:szCs w:val="24"/>
                  </w:rPr>
                  <w:t>05</w:t>
                </w:r>
              </w:p>
            </w:tc>
          </w:tr>
          <w:tr>
            <w:trPr>
              <w:trHeight w:val="468"/>
            </w:trPr>
            <w:tc>
              <w:tcPr>
                <w:tcW w:w="9606" w:type="dxa"/>
                <w:gridSpan w:val="9"/>
              </w:tcPr>
              <w:p>
                <w:pPr>
                  <w:rPr>
                    <w:sz w:val="10"/>
                    <w:szCs w:val="10"/>
                  </w:rPr>
                </w:pPr>
              </w:p>
              <w:p>
                <w:pPr>
                  <w:jc w:val="both"/>
                  <w:rPr>
                    <w:szCs w:val="24"/>
                  </w:rPr>
                </w:pPr>
                <w:r>
                  <w:rPr>
                    <w:b/>
                    <w:bCs/>
                    <w:szCs w:val="24"/>
                  </w:rPr>
                  <w:t xml:space="preserve">Tikslo įgyvendinimo aprašymas: </w:t>
                </w:r>
              </w:p>
              <w:p>
                <w:pPr>
                  <w:rPr>
                    <w:sz w:val="10"/>
                    <w:szCs w:val="10"/>
                  </w:rPr>
                </w:pPr>
              </w:p>
              <w:p>
                <w:pPr>
                  <w:jc w:val="both"/>
                  <w:rPr>
                    <w:rFonts w:eastAsia="Calibri"/>
                    <w:szCs w:val="24"/>
                  </w:rPr>
                </w:pPr>
                <w:r>
                  <w:rPr>
                    <w:rFonts w:eastAsia="Calibri"/>
                    <w:szCs w:val="24"/>
                  </w:rPr>
                  <w:t xml:space="preserve">Skyrius, atsakingas už  kultūros  politiką, formuoja ir įgyvendina savivaldybės bibliotekų, muziejų, kultūros centrų, teatrų, muzikos, dailės, etnokultūros, leidybos, kultūrinio turizmo bei gyventojų bendrosios kultūros, viešinimo (informacijos apie savivaldybės institucijų veiklą pateikimas žiniasklaidos priemonėms ir  visuomenei) srityse, atlieka visus veiksmus, susijusius su Alytaus rajono savivaldybės teigiamo įvaizdžio formavimu, analizuoja kultūros, jaunimo teisių apsaugos politikos raidos tendencijas Lietuvoje ir užsienyje. </w:t>
                </w:r>
              </w:p>
              <w:p>
                <w:pPr>
                  <w:jc w:val="both"/>
                  <w:rPr>
                    <w:szCs w:val="24"/>
                  </w:rPr>
                </w:pPr>
                <w:r>
                  <w:rPr>
                    <w:szCs w:val="24"/>
                  </w:rPr>
                  <w:t xml:space="preserve">Įgyvendindamas savo uždavinius, skyrius vykdo šias funkcijas: pagal savo kompetenciją organizuoja, prižiūri, tobulina ir koordinuoja savivaldybės kultūros įstaigų veiklą, atsako už savivaldybės interneto puslapio dalies „Kultūra“ informacijos pateikimą ir atnaujinimą, organizuoja ir dalyvauja kultūros renginiuose, akcijose,  pristatymuose, koordinuoja viešuosius renginius savivaldybės teritorijoje.</w:t>
                </w:r>
              </w:p>
              <w:p>
                <w:pPr>
                  <w:jc w:val="both"/>
                  <w:rPr>
                    <w:szCs w:val="24"/>
                  </w:rPr>
                </w:pPr>
                <w:r>
                  <w:rPr>
                    <w:szCs w:val="24"/>
                  </w:rPr>
                  <w:t xml:space="preserve">Įgyvendinant tikslą vykdomas uždavinys: </w:t>
                </w:r>
              </w:p>
              <w:p>
                <w:pPr>
                  <w:jc w:val="both"/>
                  <w:rPr>
                    <w:b/>
                    <w:bCs/>
                    <w:sz w:val="16"/>
                    <w:szCs w:val="16"/>
                  </w:rPr>
                </w:pPr>
              </w:p>
              <w:p>
                <w:pPr>
                  <w:jc w:val="both"/>
                  <w:rPr>
                    <w:b/>
                    <w:szCs w:val="24"/>
                  </w:rPr>
                </w:pPr>
                <w:r>
                  <w:rPr>
                    <w:b/>
                    <w:szCs w:val="24"/>
                  </w:rPr>
                  <w:t xml:space="preserve">01 uždavinys. Užtikrinti Švietimo, kultūros ir sporto skyriaus darbuotojų, vykdančių kultūros politiką ir dalyvaujančių jos formavime, veiklos efektyvumą ir rezultatyvumą. </w:t>
                </w:r>
              </w:p>
              <w:p>
                <w:pPr>
                  <w:jc w:val="both"/>
                  <w:rPr>
                    <w:b/>
                    <w:sz w:val="16"/>
                    <w:szCs w:val="16"/>
                  </w:rPr>
                </w:pPr>
              </w:p>
              <w:p>
                <w:pPr>
                  <w:jc w:val="both"/>
                  <w:rPr>
                    <w:szCs w:val="24"/>
                  </w:rPr>
                </w:pPr>
                <w:r>
                  <w:rPr>
                    <w:szCs w:val="24"/>
                  </w:rPr>
                  <w:t xml:space="preserve">Pagal savo kompetenciją teikia konsultacijas rengiant ir organizuojant vietos, valstybines bei kalendorines šventes, įvairius kultūrinius renginius, dalyvauja bendradarbiaudamas su savivaldybės institucijomis, bendruomenėmis, nevyriausybinėmis organizacijomis, visuomeninėmis jaunimo organizacijomis, kaupia duomenis, juos analizuoja, vertina ir teikia siūlymus administracijos direktoriui, rajono savivaldybės tarybai dėl rajono kultūrinio turizmo, kultūros  programų rėmimo, inicijuoja ir koordinuoja tarptautinio kultūrinio bendradarbiavimo projektų įgyvendinimą, rūpinasi etninės kultūros plėtra ir globa savivaldybės teritorijoje, tiria, analizuoja ir vertina gyventojų bendrosios kultūros ugdymo ir etnokultūros puoselėjimo</w:t>
                </w:r>
                <w:r>
                  <w:rPr>
                    <w:i/>
                    <w:szCs w:val="24"/>
                  </w:rPr>
                  <w:t xml:space="preserve"> </w:t>
                </w:r>
                <w:r>
                  <w:rPr>
                    <w:szCs w:val="24"/>
                  </w:rPr>
                  <w:t>poreikių situaciją ir rezultatus savivaldybės teritorijoje, organizuoja projektų atrankos konkursus, prižiūri jų įgyvendinimą, inicijuoja ir organizuoja rajoninius dailininkų plenerus, meno (dailės, keramikos, drožybos ir kt.) parodas, festivalius, šventes, koncertus, susitikimus, kultūrinės projektinės veiklos iniciatyvas ir kt.</w:t>
                </w:r>
              </w:p>
            </w:tc>
          </w:tr>
          <w:tr>
            <w:trPr>
              <w:trHeight w:val="468"/>
            </w:trPr>
            <w:tc>
              <w:tcPr>
                <w:tcW w:w="1548" w:type="dxa"/>
                <w:vAlign w:val="center"/>
              </w:tcPr>
              <w:p>
                <w:pPr>
                  <w:rPr>
                    <w:b/>
                    <w:szCs w:val="24"/>
                  </w:rPr>
                </w:pPr>
                <w:r>
                  <w:rPr>
                    <w:b/>
                    <w:szCs w:val="24"/>
                  </w:rPr>
                  <w:t>Programos tikslas</w:t>
                </w:r>
              </w:p>
            </w:tc>
            <w:tc>
              <w:tcPr>
                <w:tcW w:w="6498" w:type="dxa"/>
                <w:gridSpan w:val="4"/>
                <w:vAlign w:val="center"/>
              </w:tcPr>
              <w:p>
                <w:pPr>
                  <w:jc w:val="both"/>
                  <w:rPr>
                    <w:b/>
                    <w:szCs w:val="24"/>
                  </w:rPr>
                </w:pPr>
                <w:r>
                  <w:rPr>
                    <w:b/>
                    <w:szCs w:val="24"/>
                  </w:rPr>
                  <w:t>Kultūrinio palikimo atkūrimas, tvarkant ir globojant materialinės ir dvasinės kultūros bei gamtos paminklus</w:t>
                </w:r>
              </w:p>
            </w:tc>
            <w:tc>
              <w:tcPr>
                <w:tcW w:w="908" w:type="dxa"/>
                <w:gridSpan w:val="2"/>
                <w:vAlign w:val="center"/>
              </w:tcPr>
              <w:p>
                <w:pPr>
                  <w:jc w:val="center"/>
                  <w:rPr>
                    <w:b/>
                    <w:szCs w:val="24"/>
                  </w:rPr>
                </w:pPr>
                <w:r>
                  <w:rPr>
                    <w:b/>
                    <w:szCs w:val="24"/>
                  </w:rPr>
                  <w:t>Kodas</w:t>
                </w:r>
              </w:p>
            </w:tc>
            <w:tc>
              <w:tcPr>
                <w:tcW w:w="652" w:type="dxa"/>
                <w:gridSpan w:val="2"/>
                <w:vAlign w:val="center"/>
              </w:tcPr>
              <w:p>
                <w:pPr>
                  <w:jc w:val="center"/>
                  <w:rPr>
                    <w:b/>
                    <w:bCs/>
                    <w:szCs w:val="24"/>
                  </w:rPr>
                </w:pPr>
                <w:r>
                  <w:rPr>
                    <w:b/>
                    <w:bCs/>
                    <w:szCs w:val="24"/>
                  </w:rPr>
                  <w:t>06</w:t>
                </w:r>
              </w:p>
            </w:tc>
          </w:tr>
          <w:tr>
            <w:trPr>
              <w:trHeight w:val="468"/>
            </w:trPr>
            <w:tc>
              <w:tcPr>
                <w:tcW w:w="9606" w:type="dxa"/>
                <w:gridSpan w:val="9"/>
              </w:tcPr>
              <w:p>
                <w:pPr>
                  <w:jc w:val="both"/>
                  <w:rPr>
                    <w:szCs w:val="24"/>
                  </w:rPr>
                </w:pPr>
                <w:r>
                  <w:rPr>
                    <w:b/>
                    <w:bCs/>
                    <w:szCs w:val="24"/>
                  </w:rPr>
                  <w:t xml:space="preserve">Tikslo įgyvendinimo aprašymas: </w:t>
                </w:r>
                <w:r>
                  <w:rPr>
                    <w:szCs w:val="24"/>
                  </w:rPr>
                  <w:t>Įgyvendinant šį tikslą, vykdomas kultūros paveldo objektų išryškinimas, pritaikymas pažinimui ir turizmui. Kultūros paveldo objektų išryškinimas, išsaugojimas ir pritaikymas pažinimui sudaro išskirtines sąlygas formuoti krašto patrauklumą turizmui. Unikalių archeologinių, istorinių, gamtinių kultūros paveldo objektų saugojimas ilgas ir sudėtingas procesas, reikalaujantis tyrimų, planavimo bei investicijų, tačiau įgalina kurti nepakartojamą aplinką, kuriančią palankias sąlygas pažinimui bei turizmo vystymui.</w:t>
                </w:r>
              </w:p>
              <w:p>
                <w:pPr>
                  <w:jc w:val="both"/>
                  <w:rPr>
                    <w:szCs w:val="24"/>
                  </w:rPr>
                </w:pPr>
                <w:r>
                  <w:rPr>
                    <w:szCs w:val="24"/>
                  </w:rPr>
                  <w:t>Paminklosauga, kitaip dar paminklų apsauga – valstybės kontroliuojama kultūros paminklų apsaugos administracinių ir teisinių, mokslinių ir praktinių priemonių sistema architektūros, dailės, archeologijos, istorijos bei kitam kultūros paveldui apsaugoti nuo sunaikinimo, jį panaudoti visuomenės reikmėms ar kaip turizmo objektus. Lietuvos Respublikos nekilnojamųjų vertybių registre įtraukta 410 objektų, 12 yra panaikinta kultūros paveldo objekto apsauga. Į kilnojamųjų vertybių registrą įrašyta 210 objektų. Alytaus rajone yra 19 piliakalnių su senovinėmis gyvenvietėmis. Dailės kūrinių daugiausia yra sukaupta bažnyčiose. Simno, Daugų miestų ir Butrimonių miestelio pagrindinės aikštės įrašytos į urbanistikos paminklų sąrašą. Architektūros paveldą sudaro bažnyčios, koplyčios, gyvenamieji namai. Vertingiausias paveldas: Rumbonių bažnyčios ansamblis, Simno bažnyčia, Punios piliakalnis, dailininko A. Žmuidzinavičiaus memorialinė sodyba, Kurnėnų mokyklos statinių kompleksas, dailės kūriniai, koplytstulpiai. Programa parengta, siekiant užtikrinti, jog paminklai, esantys Alytaus rajone, būtų saugomi ir tvarkomi.</w:t>
                </w:r>
              </w:p>
              <w:p>
                <w:pPr>
                  <w:jc w:val="both"/>
                  <w:rPr>
                    <w:b/>
                    <w:bCs/>
                    <w:szCs w:val="24"/>
                  </w:rPr>
                </w:pPr>
                <w:r>
                  <w:rPr>
                    <w:b/>
                    <w:bCs/>
                    <w:szCs w:val="24"/>
                  </w:rPr>
                  <w:t>Tikslui pasiekti iškelti uždaviniai :</w:t>
                </w:r>
              </w:p>
              <w:p>
                <w:pPr>
                  <w:jc w:val="both"/>
                  <w:rPr>
                    <w:b/>
                    <w:szCs w:val="24"/>
                    <w:lang w:eastAsia="lt-LT"/>
                  </w:rPr>
                </w:pPr>
                <w:r>
                  <w:rPr>
                    <w:b/>
                    <w:bCs/>
                    <w:szCs w:val="24"/>
                    <w:lang w:eastAsia="lt-LT"/>
                  </w:rPr>
                  <w:t>01 uždavinys</w:t>
                </w:r>
                <w:r>
                  <w:rPr>
                    <w:bCs/>
                    <w:szCs w:val="24"/>
                    <w:lang w:eastAsia="lt-LT"/>
                  </w:rPr>
                  <w:t xml:space="preserve">. </w:t>
                </w:r>
                <w:r>
                  <w:rPr>
                    <w:b/>
                    <w:szCs w:val="24"/>
                    <w:lang w:eastAsia="lt-LT"/>
                  </w:rPr>
                  <w:t>Alytaus rajono kultūros paveldo objektų priežiūra</w:t>
                </w:r>
              </w:p>
              <w:p>
                <w:pPr>
                  <w:jc w:val="both"/>
                  <w:rPr>
                    <w:bCs/>
                    <w:szCs w:val="24"/>
                  </w:rPr>
                </w:pPr>
                <w:r>
                  <w:rPr>
                    <w:bCs/>
                    <w:szCs w:val="24"/>
                    <w:lang w:eastAsia="lt-LT"/>
                  </w:rPr>
                  <w:t>Įgyvendinant šį uždavinį, numatoma vykdyti Alytaus rajone esančių piliakalnių priežiūrą bei pritaikymą turizmui, kryžių restauravimą, kitų į Kultūros vertybių registrą įtrauktų objektų tvarkymo darbus.</w:t>
                </w:r>
              </w:p>
              <w:p>
                <w:pPr>
                  <w:rPr>
                    <w:bCs/>
                    <w:i/>
                    <w:szCs w:val="24"/>
                    <w:u w:val="single"/>
                  </w:rPr>
                </w:pPr>
                <w:r>
                  <w:rPr>
                    <w:bCs/>
                    <w:i/>
                    <w:szCs w:val="24"/>
                    <w:u w:val="single"/>
                  </w:rPr>
                  <w:t xml:space="preserve">Rezultato vertinimo kriterijai: </w:t>
                </w:r>
              </w:p>
              <w:p>
                <w:pPr>
                  <w:rPr>
                    <w:sz w:val="10"/>
                    <w:szCs w:val="10"/>
                  </w:rPr>
                </w:pPr>
              </w:p>
              <w:p>
                <w:pPr>
                  <w:tabs>
                    <w:tab w:val="left" w:pos="720"/>
                  </w:tabs>
                  <w:jc w:val="both"/>
                  <w:rPr>
                    <w:szCs w:val="24"/>
                  </w:rPr>
                </w:pPr>
                <w:r>
                  <w:rPr>
                    <w:szCs w:val="24"/>
                  </w:rPr>
                  <w:t>Rekonstruojamų , tvarkomų kultūros paveldo objektų skaičiaus kitimas (ne mažiau nei 3 objektai per metus), vnt. -3</w:t>
                </w:r>
              </w:p>
            </w:tc>
          </w:tr>
        </w:tbl>
        <w:p>
          <w:pPr>
            <w:rPr>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tc>
              <w:tcPr>
                <w:tcW w:w="9606" w:type="dxa"/>
              </w:tcPr>
              <w:p>
                <w:pPr>
                  <w:jc w:val="both"/>
                  <w:rPr>
                    <w:szCs w:val="24"/>
                    <w:lang w:val="en-US"/>
                  </w:rPr>
                </w:pPr>
                <w:r>
                  <w:rPr>
                    <w:b/>
                    <w:szCs w:val="24"/>
                  </w:rPr>
                  <w:t xml:space="preserve">Numatomas programos įgyvendinimo rezultatas: </w:t>
                </w:r>
                <w:r>
                  <w:rPr>
                    <w:szCs w:val="24"/>
                    <w:lang w:val="en-US"/>
                  </w:rPr>
                  <w:t xml:space="preserve">Šios programos įgyvendinimas užtikrins visuomenės bendrąją kultūrą, etnokultūros puoselėjimą, kraštovaizdžio, nekilnojamųjų kultūros vertybių apsaugą. Įgyvendinus kultūrinės veiklos plėtros programą išaugs savivaldybės gyventojų galimybės naudotis šalies ir užsienio informacijos ištekliais, įgys ir tobulins gebėjimus jais naudotis. Tai sudarys palankias sąlygas žinių visuomenės formavimui ir plėtrai., žmogiškųjų išteklių raidai. Padidės gyventojų sutelkimo į bibliotekas procentas, mažės socialinė, kultūrinė kaimo gyventojų  atskirtis nuo miesto, bus užtikrinta prieiga prie įvairių informacijos šaltinių. Tai suteiks didesnes galimybes rajono gyventojams tenkinti savo dvasinius ir rstetinius poreikius, ugdyti kūrybiškumą ir būti aktyviais rajono kultūrinio proceco dalyviais. </w:t>
                </w:r>
              </w:p>
              <w:p>
                <w:pPr>
                  <w:jc w:val="both"/>
                  <w:rPr>
                    <w:bCs/>
                    <w:szCs w:val="24"/>
                  </w:rPr>
                </w:pPr>
                <w:r>
                  <w:rPr>
                    <w:b/>
                    <w:szCs w:val="24"/>
                    <w:lang w:val="en-US"/>
                  </w:rPr>
                  <w:t xml:space="preserve">Efekto kriterijai: </w:t>
                </w:r>
                <w:r>
                  <w:rPr>
                    <w:szCs w:val="24"/>
                    <w:lang w:val="en-US"/>
                  </w:rPr>
                  <w:t xml:space="preserve">Dokumentų fondo dydis, skaitytojų ir lankytojų skaičius, vartotojų internete skaičius, apmokymų naudotis kompiuterinėmis programomis ir interneto paslaugomis rajono gyventojams skaičius, surengtų renginių skaičius, kvalifikacijos tobulinimo renginiai, naujas technologijas įvaldžiusių ar kitaip kvalifikacijąkėlusių darbuotojų skaičius, kompiuterizuotų darbo vietų skaičius ir jų atitikimas galiojantiems standartams, kita organizacijos technikos būklė, estetiška aplinka. </w:t>
                </w:r>
                <w:r>
                  <w:rPr>
                    <w:bCs/>
                    <w:szCs w:val="24"/>
                  </w:rPr>
                  <w:t>Organizuojant ir atliekant archeologijos ir technikos paveldo tyrimus, projektavimo, tvarkymo ir populiarinimo darbus, skiriamas pagrindinis dėmesys tikslui – paveldo išsaugojimui.</w:t>
                </w:r>
              </w:p>
              <w:p>
                <w:pPr>
                  <w:ind w:firstLine="372"/>
                  <w:jc w:val="both"/>
                  <w:rPr>
                    <w:b/>
                    <w:szCs w:val="24"/>
                  </w:rPr>
                </w:pPr>
                <w:r>
                  <w:rPr>
                    <w:szCs w:val="24"/>
                    <w:lang w:eastAsia="lt-LT"/>
                  </w:rPr>
                  <w:t>Išaugs rajono gyventojų galimybės naudotis šalies ir užsienio informacijos bei kultūriniais ištekliais, žmonės įgys ir tobulins gebėjimus jais naudotis. Tai sudarys palankias sąlygas žinių ir kultūrinės visuomenės formavimui ir plėtrai, žmogiškųjų išteklių raidai. Padidės gyventojų sutelkimo į bibliotekas ir kultūros įstaigas procentas, mažės socialinė, kultūrinė kaimo gyventojų atskirtis nuo miesto</w:t>
                </w:r>
                <w:r>
                  <w:rPr>
                    <w:szCs w:val="24"/>
                  </w:rPr>
                  <w:t xml:space="preserve">. Rajone vykstančios </w:t>
                </w:r>
                <w:r>
                  <w:rPr>
                    <w:bCs/>
                    <w:szCs w:val="24"/>
                  </w:rPr>
                  <w:t xml:space="preserve">kūrybiškumo stovyklos, mugės, plenerai, spektakliai, koncertai, tradicinių renginių ir švenčių organizavimai telkia bendruomenę ir skatiną pozityvų bendruomeniškumą. </w:t>
                </w:r>
                <w:r>
                  <w:rPr>
                    <w:szCs w:val="24"/>
                  </w:rPr>
                  <w:t xml:space="preserve">Vyksta turiningas viešasis, kultūrinis gyvenimas, teikiamos kokybiškos kultūrinės paslaugos, kuriomis naudojasi ne tik rajono bendruomenių nariai, bet ir svečiai. Rajone sudaromos sąlygos veikliai visuomenei kurti, gyventi, turiningai praleisti laisvalaikį. </w:t>
                </w:r>
                <w:r>
                  <w:rPr>
                    <w:bCs/>
                    <w:szCs w:val="24"/>
                  </w:rPr>
                  <w:t>Organizuojant ir atliekant archeologijos ir technikos paveldo tyrimus, projektavimo, tvarkymo ir populiarinimo darbus, skiriamas pagrindinis dėmesys tikslui – paveldo išsaugojimui.</w:t>
                </w:r>
              </w:p>
            </w:tc>
          </w:tr>
        </w:tbl>
        <w:p>
          <w:pPr>
            <w:rPr>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6"/>
          </w:tblGrid>
          <w:tr>
            <w:tc>
              <w:tcPr>
                <w:tcW w:w="9606" w:type="dxa"/>
              </w:tcPr>
              <w:p>
                <w:pPr>
                  <w:rPr>
                    <w:b/>
                    <w:bCs/>
                    <w:sz w:val="22"/>
                    <w:szCs w:val="22"/>
                  </w:rPr>
                </w:pPr>
                <w:r>
                  <w:rPr>
                    <w:b/>
                    <w:bCs/>
                    <w:sz w:val="22"/>
                    <w:szCs w:val="22"/>
                  </w:rPr>
                  <w:t xml:space="preserve">Galimi programos vykdymo ir finansavimo variantai: </w:t>
                </w:r>
              </w:p>
              <w:p>
                <w:pPr>
                  <w:jc w:val="both"/>
                  <w:rPr>
                    <w:b/>
                    <w:strike/>
                    <w:sz w:val="22"/>
                    <w:szCs w:val="22"/>
                  </w:rPr>
                </w:pPr>
                <w:r>
                  <w:rPr>
                    <w:szCs w:val="22"/>
                  </w:rPr>
                  <w:t>Valstybės, savivaldybės biudžeto lėšos, ES, nuosavos lėšos, rėmėjų ir specialiųjų programų lėšos, už teikiamas mokamas paslaugas gautos lėšos.</w:t>
                </w:r>
              </w:p>
            </w:tc>
          </w:tr>
        </w:tbl>
        <w:p>
          <w:pPr>
            <w:rPr>
              <w:b/>
              <w:strike/>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6"/>
          </w:tblGrid>
          <w:tr>
            <w:tc>
              <w:tcPr>
                <w:tcW w:w="9606" w:type="dxa"/>
              </w:tcPr>
              <w:p>
                <w:pPr>
                  <w:jc w:val="both"/>
                  <w:rPr>
                    <w:szCs w:val="24"/>
                  </w:rPr>
                </w:pPr>
                <w:r>
                  <w:rPr>
                    <w:b/>
                    <w:sz w:val="22"/>
                    <w:szCs w:val="24"/>
                  </w:rPr>
                  <w:t xml:space="preserve">Veiksmai, numatyti Alytaus rajono savivaldybės strateginiame plėtros plane, kurie susiję su vykdoma programa: </w:t>
                </w:r>
                <w:r>
                  <w:rPr>
                    <w:bCs/>
                    <w:szCs w:val="24"/>
                  </w:rPr>
                  <w:t>2 prioritetas.</w:t>
                </w:r>
                <w:r>
                  <w:rPr>
                    <w:b/>
                    <w:sz w:val="28"/>
                    <w:szCs w:val="28"/>
                  </w:rPr>
                  <w:t xml:space="preserve"> </w:t>
                </w:r>
                <w:r>
                  <w:rPr>
                    <w:bCs/>
                    <w:szCs w:val="24"/>
                  </w:rPr>
                  <w:t>Sumanios, veiklios, susitelkusios bendruomenės, pažangi, socialiai atsakinga savivalda</w:t>
                </w:r>
                <w:r>
                  <w:rPr>
                    <w:szCs w:val="24"/>
                  </w:rPr>
                  <w:t xml:space="preserve"> 2.1. tikslas. Įgalinti bendruomenes, skatinti gyventojų aktyvumą, puoselėti kultūros paveldą ir gerąsias krašto tradicijas; 2.1.1. uždavinys. Didinti bendruomenių įtraukimą į viešųjų paslaugų teikimą gyventojams, skatinti bendruomenių inicijuotą vietos plėtrą. 2.1.2. uždavinys. Skatinti gyventojų bendruomeniškumą ir aktyvumą, mažinti skaitmeninę atskirtį. </w:t>
                </w:r>
                <w:r>
                  <w:rPr>
                    <w:szCs w:val="24"/>
                    <w:lang w:val="en-US"/>
                  </w:rPr>
                  <w:t xml:space="preserve">2.2. tikslas – </w:t>
                </w:r>
                <w:r>
                  <w:rPr>
                    <w:szCs w:val="24"/>
                  </w:rPr>
                  <w:t xml:space="preserve">didinti valdymo kokybę ir ugdyti darbuotojų kompetencijas, siekiant patenkinti verslo ir gyventojų poreikius, 2.2.1. uždavinys – </w:t>
                </w:r>
                <w:r>
                  <w:rPr>
                    <w:szCs w:val="24"/>
                    <w:lang w:val="en-US"/>
                  </w:rPr>
                  <w:t>Pasinaudoti skaitmeninimo teikiama nauda, skatinti elektroninių viešųjų paslaugų vystymą, pritaikymą vartotojų poreikiams ir naudojimą, įgyvendinti gerojo valdymo principus.</w:t>
                </w:r>
              </w:p>
            </w:tc>
          </w:tr>
        </w:tbl>
        <w:p>
          <w:pPr>
            <w:rPr>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6"/>
          </w:tblGrid>
          <w:tr>
            <w:tc>
              <w:tcPr>
                <w:tcW w:w="9606" w:type="dxa"/>
              </w:tcPr>
              <w:p>
                <w:pPr>
                  <w:jc w:val="both"/>
                  <w:textAlignment w:val="top"/>
                  <w:rPr>
                    <w:b/>
                    <w:szCs w:val="24"/>
                  </w:rPr>
                </w:pPr>
                <w:r>
                  <w:rPr>
                    <w:b/>
                    <w:szCs w:val="24"/>
                  </w:rPr>
                  <w:t>Susiję įstatymai ir kiti svarbūs</w:t>
                </w:r>
                <w:r>
                  <w:rPr>
                    <w:b/>
                    <w:szCs w:val="22"/>
                  </w:rPr>
                  <w:t xml:space="preserve"> </w:t>
                </w:r>
                <w:r>
                  <w:rPr>
                    <w:b/>
                    <w:szCs w:val="24"/>
                  </w:rPr>
                  <w:t xml:space="preserve">teisės aktai: </w:t>
                </w:r>
              </w:p>
              <w:p>
                <w:pPr>
                  <w:ind w:left="357" w:hanging="357"/>
                  <w:jc w:val="both"/>
                  <w:textAlignment w:val="top"/>
                  <w:rPr>
                    <w:szCs w:val="24"/>
                  </w:rPr>
                </w:pPr>
                <w:r>
                  <w:rPr>
                    <w:rFonts w:ascii="Courier New" w:hAnsi="Courier New" w:cs="Courier New"/>
                    <w:szCs w:val="24"/>
                  </w:rPr>
                  <w:t>o</w:t>
                  <w:tab/>
                </w:r>
                <w:r>
                  <w:rPr>
                    <w:szCs w:val="24"/>
                  </w:rPr>
                  <w:t xml:space="preserve">Lietuvos Respublikos Konstitucija; </w:t>
                </w:r>
              </w:p>
              <w:p>
                <w:pPr>
                  <w:ind w:left="357" w:hanging="357"/>
                  <w:jc w:val="both"/>
                  <w:textAlignment w:val="top"/>
                  <w:rPr>
                    <w:szCs w:val="24"/>
                  </w:rPr>
                </w:pPr>
                <w:r>
                  <w:rPr>
                    <w:rFonts w:ascii="Courier New" w:hAnsi="Courier New" w:cs="Courier New"/>
                    <w:szCs w:val="24"/>
                  </w:rPr>
                  <w:t>o</w:t>
                  <w:tab/>
                </w:r>
                <w:r>
                  <w:rPr>
                    <w:szCs w:val="24"/>
                  </w:rPr>
                  <w:t xml:space="preserve">Lietuvos Respublikos vietos savivaldos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moterų ir vyrų lygių galimybių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lygių galimybių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biudžeto sandaros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biudžetinių įstaigų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kultūros centrų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etninės kultūros valstybinės globos pagrindų įstatymas; </w:t>
                </w:r>
              </w:p>
              <w:p>
                <w:pPr>
                  <w:ind w:left="357" w:hanging="357"/>
                  <w:jc w:val="both"/>
                  <w:textAlignment w:val="top"/>
                  <w:rPr>
                    <w:szCs w:val="24"/>
                  </w:rPr>
                </w:pPr>
                <w:r>
                  <w:rPr>
                    <w:rFonts w:ascii="Courier New" w:hAnsi="Courier New" w:cs="Courier New"/>
                    <w:szCs w:val="24"/>
                  </w:rPr>
                  <w:t>o</w:t>
                  <w:tab/>
                </w:r>
                <w:r>
                  <w:rPr>
                    <w:bCs/>
                    <w:szCs w:val="24"/>
                  </w:rPr>
                  <w:t xml:space="preserve">Lietuvos Respublikos nekilnojamojo kultūros paveldo apsaugos įstatymas; </w:t>
                </w:r>
              </w:p>
              <w:p>
                <w:pPr>
                  <w:ind w:left="357" w:hanging="357"/>
                  <w:jc w:val="both"/>
                  <w:textAlignment w:val="top"/>
                  <w:rPr>
                    <w:szCs w:val="24"/>
                  </w:rPr>
                </w:pPr>
                <w:r>
                  <w:rPr>
                    <w:rFonts w:ascii="Courier New" w:hAnsi="Courier New" w:cs="Courier New"/>
                    <w:szCs w:val="24"/>
                  </w:rPr>
                  <w:t>o</w:t>
                  <w:tab/>
                </w:r>
                <w:r>
                  <w:rPr>
                    <w:bCs/>
                    <w:szCs w:val="24"/>
                  </w:rPr>
                  <w:t>Lietuvos Respublikos kilnojamųjų kultūros vertybių apsaugos įstatymas;</w:t>
                </w:r>
              </w:p>
              <w:p>
                <w:pPr>
                  <w:ind w:left="357" w:hanging="357"/>
                  <w:jc w:val="both"/>
                  <w:textAlignment w:val="top"/>
                  <w:rPr>
                    <w:szCs w:val="24"/>
                  </w:rPr>
                </w:pPr>
                <w:r>
                  <w:rPr>
                    <w:rFonts w:ascii="Courier New" w:hAnsi="Courier New" w:cs="Courier New"/>
                    <w:szCs w:val="24"/>
                  </w:rPr>
                  <w:t>o</w:t>
                  <w:tab/>
                </w:r>
                <w:r>
                  <w:rPr>
                    <w:szCs w:val="24"/>
                  </w:rPr>
                  <w:t xml:space="preserve">Lietuvos Respublikos visuomenės informavimo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viešųjų įstaigų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jaunimo politikos pagrindų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religinių bendruomenių ir bendrijų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bibliotekų įstatymas; </w:t>
                </w:r>
              </w:p>
              <w:p>
                <w:pPr>
                  <w:ind w:left="357" w:hanging="357"/>
                  <w:jc w:val="both"/>
                  <w:textAlignment w:val="top"/>
                  <w:rPr>
                    <w:szCs w:val="24"/>
                  </w:rPr>
                </w:pPr>
                <w:r>
                  <w:rPr>
                    <w:rFonts w:ascii="Courier New" w:hAnsi="Courier New" w:cs="Courier New"/>
                    <w:szCs w:val="24"/>
                  </w:rPr>
                  <w:t>o</w:t>
                  <w:tab/>
                </w:r>
                <w:r>
                  <w:rPr>
                    <w:szCs w:val="24"/>
                  </w:rPr>
                  <w:t xml:space="preserve">Valstybės ilgalaikės raidos strategija, patvirtinta Lietuvos Respublikos Seimo 2002 m. lapkričio 12 d. nutarimu Nr. IX-1187 „Dėl Valstybės ilgalaikės raidos strategijos“; </w:t>
                </w:r>
              </w:p>
              <w:p>
                <w:pPr>
                  <w:ind w:left="357" w:hanging="357"/>
                  <w:jc w:val="both"/>
                  <w:textAlignment w:val="top"/>
                  <w:rPr>
                    <w:szCs w:val="24"/>
                  </w:rPr>
                </w:pPr>
                <w:r>
                  <w:rPr>
                    <w:rFonts w:ascii="Courier New" w:hAnsi="Courier New" w:cs="Courier New"/>
                    <w:szCs w:val="24"/>
                  </w:rPr>
                  <w:t>o</w:t>
                  <w:tab/>
                </w:r>
                <w:r>
                  <w:rPr>
                    <w:szCs w:val="24"/>
                  </w:rPr>
                  <w:t xml:space="preserve">Lietuvos kultūros politikos kaitos gairės, patvirtintos Lietuvos Respublikos Seimo 2010 m. birželio 30 d. nutarimu Nr. XI-977 „Dėl Lietuvos kultūros politikos kaitos gairių patvirtinimo“; </w:t>
                </w:r>
              </w:p>
              <w:p>
                <w:pPr>
                  <w:ind w:left="340" w:hanging="340"/>
                  <w:jc w:val="both"/>
                  <w:rPr>
                    <w:szCs w:val="24"/>
                  </w:rPr>
                </w:pPr>
                <w:r>
                  <w:rPr>
                    <w:rFonts w:ascii="Courier New" w:hAnsi="Courier New"/>
                    <w:szCs w:val="24"/>
                  </w:rPr>
                  <w:t>o</w:t>
                  <w:tab/>
                </w:r>
                <w:r>
                  <w:rPr>
                    <w:szCs w:val="24"/>
                  </w:rPr>
                  <w:t>Alytaus rajono savivaldybės 2021-2028 metų strateginės plėtros planas, patvirtintas Alytaus rajono savivaldybės tarybos 2020 m. gruodžio 28 d. sprendimu K-268 „Dėl Alytaus rajono savivaldybės 2021–2028 metų strateginės plėtros plano patvirtinimo“;</w:t>
                </w:r>
              </w:p>
              <w:p>
                <w:pPr>
                  <w:ind w:left="340" w:hanging="340"/>
                  <w:jc w:val="both"/>
                  <w:rPr>
                    <w:szCs w:val="24"/>
                  </w:rPr>
                </w:pPr>
                <w:r>
                  <w:rPr>
                    <w:rFonts w:ascii="Courier New" w:hAnsi="Courier New"/>
                    <w:szCs w:val="24"/>
                  </w:rPr>
                  <w:t>o</w:t>
                  <w:tab/>
                </w:r>
                <w:r>
                  <w:rPr>
                    <w:szCs w:val="24"/>
                    <w:lang w:val="en-US"/>
                  </w:rPr>
                  <w:t>Alytaus rajono savivaldybės administracijos direktorius 2015-06-16 įsakymas Nr. D1-437 „Dėl Alytaus rajono savivaldybės jaunimo veiklos skatinimo projektų finansavimo tvarkos aprašo tvirtinimo“;</w:t>
                </w:r>
              </w:p>
              <w:p>
                <w:pPr>
                  <w:ind w:left="357" w:hanging="357"/>
                  <w:jc w:val="both"/>
                  <w:textAlignment w:val="top"/>
                  <w:rPr>
                    <w:szCs w:val="24"/>
                  </w:rPr>
                </w:pPr>
                <w:r>
                  <w:rPr>
                    <w:rFonts w:ascii="Courier New" w:hAnsi="Courier New" w:cs="Courier New"/>
                    <w:szCs w:val="24"/>
                  </w:rPr>
                  <w:t>o</w:t>
                  <w:tab/>
                </w:r>
                <w:r>
                  <w:rPr>
                    <w:szCs w:val="24"/>
                  </w:rPr>
                  <w:t xml:space="preserve">Alytaus rajono savivaldybės religinių bendruomenių rėmimo projektų finansavimo tvarkos aprašas, patvirtintas Alytaus rajono savivaldybės administracijos direktoriaus 2015 m. birželio 5 d. įsakymu Nr. D1-399 </w:t>
                </w:r>
                <w:r>
                  <w:rPr>
                    <w:smallCaps/>
                    <w:szCs w:val="24"/>
                  </w:rPr>
                  <w:t>„</w:t>
                </w:r>
                <w:r>
                  <w:rPr>
                    <w:szCs w:val="24"/>
                  </w:rPr>
                  <w:t>Dėl Alytaus rajono savivaldybės religinių bendruomenių projektų finansavimo tvarkos aprašo tvirtinimo“.</w:t>
                </w:r>
              </w:p>
            </w:tc>
          </w:tr>
          <w:tr>
            <w:tc>
              <w:tcPr>
                <w:tcW w:w="9606" w:type="dxa"/>
              </w:tcPr>
              <w:p>
                <w:pPr>
                  <w:jc w:val="both"/>
                  <w:textAlignment w:val="top"/>
                  <w:rPr>
                    <w:b/>
                    <w:szCs w:val="24"/>
                  </w:rPr>
                </w:pPr>
                <w:r>
                  <w:rPr>
                    <w:b/>
                    <w:szCs w:val="24"/>
                  </w:rPr>
                  <w:t>Kita svarbi informacija:</w:t>
                </w:r>
              </w:p>
            </w:tc>
          </w:tr>
        </w:tbl>
        <w:p>
          <w:pPr>
            <w:rPr>
              <w:szCs w:val="24"/>
            </w:rPr>
          </w:pPr>
        </w:p>
        <w:p>
          <w:pPr>
            <w:jc w:val="center"/>
            <w:rPr>
              <w:szCs w:val="24"/>
            </w:rPr>
          </w:pPr>
          <w:r>
            <w:rPr>
              <w:szCs w:val="24"/>
            </w:rPr>
            <w:t>_________________________________</w:t>
          </w:r>
        </w:p>
        <w:p>
          <w:pPr>
            <w:rPr>
              <w:szCs w:val="24"/>
            </w:rPr>
          </w:pPr>
        </w:p>
      </w:sdtContent>
    </w:sdt>
    <w:sectPr>
      <w:pgSz w:w="11907" w:h="16839" w:code="9"/>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AE7E46FA-60FD-4EF3-81AA-61F7E737B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8570031">
      <w:bodyDiv w:val="1"/>
      <w:marLeft w:val="0"/>
      <w:marRight w:val="0"/>
      <w:marTop w:val="0"/>
      <w:marBottom w:val="0"/>
      <w:divBdr>
        <w:top w:val="none" w:sz="0" w:space="0" w:color="auto"/>
        <w:left w:val="none" w:sz="0" w:space="0" w:color="auto"/>
        <w:bottom w:val="none" w:sz="0" w:space="0" w:color="auto"/>
        <w:right w:val="none" w:sz="0" w:space="0" w:color="auto"/>
      </w:divBdr>
    </w:div>
    <w:div w:id="286156416">
      <w:bodyDiv w:val="1"/>
      <w:marLeft w:val="0"/>
      <w:marRight w:val="0"/>
      <w:marTop w:val="0"/>
      <w:marBottom w:val="0"/>
      <w:divBdr>
        <w:top w:val="none" w:sz="0" w:space="0" w:color="auto"/>
        <w:left w:val="none" w:sz="0" w:space="0" w:color="auto"/>
        <w:bottom w:val="none" w:sz="0" w:space="0" w:color="auto"/>
        <w:right w:val="none" w:sz="0" w:space="0" w:color="auto"/>
      </w:divBdr>
    </w:div>
    <w:div w:id="366444231">
      <w:bodyDiv w:val="1"/>
      <w:marLeft w:val="0"/>
      <w:marRight w:val="0"/>
      <w:marTop w:val="0"/>
      <w:marBottom w:val="0"/>
      <w:divBdr>
        <w:top w:val="none" w:sz="0" w:space="0" w:color="auto"/>
        <w:left w:val="none" w:sz="0" w:space="0" w:color="auto"/>
        <w:bottom w:val="none" w:sz="0" w:space="0" w:color="auto"/>
        <w:right w:val="none" w:sz="0" w:space="0" w:color="auto"/>
      </w:divBdr>
    </w:div>
    <w:div w:id="44508077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830147209">
      <w:bodyDiv w:val="1"/>
      <w:marLeft w:val="0"/>
      <w:marRight w:val="0"/>
      <w:marTop w:val="0"/>
      <w:marBottom w:val="0"/>
      <w:divBdr>
        <w:top w:val="none" w:sz="0" w:space="0" w:color="auto"/>
        <w:left w:val="none" w:sz="0" w:space="0" w:color="auto"/>
        <w:bottom w:val="none" w:sz="0" w:space="0" w:color="auto"/>
        <w:right w:val="none" w:sz="0" w:space="0" w:color="auto"/>
      </w:divBdr>
    </w:div>
    <w:div w:id="940406623">
      <w:bodyDiv w:val="1"/>
      <w:marLeft w:val="0"/>
      <w:marRight w:val="0"/>
      <w:marTop w:val="0"/>
      <w:marBottom w:val="0"/>
      <w:divBdr>
        <w:top w:val="none" w:sz="0" w:space="0" w:color="auto"/>
        <w:left w:val="none" w:sz="0" w:space="0" w:color="auto"/>
        <w:bottom w:val="none" w:sz="0" w:space="0" w:color="auto"/>
        <w:right w:val="none" w:sz="0" w:space="0" w:color="auto"/>
      </w:divBdr>
      <w:divsChild>
        <w:div w:id="1378044921">
          <w:marLeft w:val="0"/>
          <w:marRight w:val="0"/>
          <w:marTop w:val="0"/>
          <w:marBottom w:val="0"/>
          <w:divBdr>
            <w:top w:val="none" w:sz="0" w:space="0" w:color="auto"/>
            <w:left w:val="none" w:sz="0" w:space="0" w:color="auto"/>
            <w:bottom w:val="none" w:sz="0" w:space="0" w:color="auto"/>
            <w:right w:val="none" w:sz="0" w:space="0" w:color="auto"/>
          </w:divBdr>
          <w:divsChild>
            <w:div w:id="94712657">
              <w:marLeft w:val="0"/>
              <w:marRight w:val="0"/>
              <w:marTop w:val="0"/>
              <w:marBottom w:val="150"/>
              <w:divBdr>
                <w:top w:val="single" w:sz="6" w:space="0" w:color="C6C6C6"/>
                <w:left w:val="single" w:sz="6" w:space="0" w:color="C6C6C6"/>
                <w:bottom w:val="single" w:sz="6" w:space="0" w:color="C6C6C6"/>
                <w:right w:val="single" w:sz="6" w:space="0" w:color="C6C6C6"/>
              </w:divBdr>
              <w:divsChild>
                <w:div w:id="1593858748">
                  <w:marLeft w:val="0"/>
                  <w:marRight w:val="0"/>
                  <w:marTop w:val="0"/>
                  <w:marBottom w:val="0"/>
                  <w:divBdr>
                    <w:top w:val="none" w:sz="0" w:space="0" w:color="auto"/>
                    <w:left w:val="none" w:sz="0" w:space="0" w:color="auto"/>
                    <w:bottom w:val="none" w:sz="0" w:space="0" w:color="auto"/>
                    <w:right w:val="none" w:sz="0" w:space="0" w:color="auto"/>
                  </w:divBdr>
                  <w:divsChild>
                    <w:div w:id="101924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4306565">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11187343">
      <w:bodyDiv w:val="1"/>
      <w:marLeft w:val="0"/>
      <w:marRight w:val="0"/>
      <w:marTop w:val="0"/>
      <w:marBottom w:val="0"/>
      <w:divBdr>
        <w:top w:val="none" w:sz="0" w:space="0" w:color="auto"/>
        <w:left w:val="none" w:sz="0" w:space="0" w:color="auto"/>
        <w:bottom w:val="none" w:sz="0" w:space="0" w:color="auto"/>
        <w:right w:val="none" w:sz="0" w:space="0" w:color="auto"/>
      </w:divBdr>
    </w:div>
    <w:div w:id="1286229327">
      <w:bodyDiv w:val="1"/>
      <w:marLeft w:val="0"/>
      <w:marRight w:val="0"/>
      <w:marTop w:val="0"/>
      <w:marBottom w:val="0"/>
      <w:divBdr>
        <w:top w:val="none" w:sz="0" w:space="0" w:color="auto"/>
        <w:left w:val="none" w:sz="0" w:space="0" w:color="auto"/>
        <w:bottom w:val="none" w:sz="0" w:space="0" w:color="auto"/>
        <w:right w:val="none" w:sz="0" w:space="0" w:color="auto"/>
      </w:divBdr>
      <w:divsChild>
        <w:div w:id="1110901675">
          <w:marLeft w:val="0"/>
          <w:marRight w:val="0"/>
          <w:marTop w:val="0"/>
          <w:marBottom w:val="0"/>
          <w:divBdr>
            <w:top w:val="none" w:sz="0" w:space="0" w:color="auto"/>
            <w:left w:val="none" w:sz="0" w:space="0" w:color="auto"/>
            <w:bottom w:val="none" w:sz="0" w:space="0" w:color="auto"/>
            <w:right w:val="none" w:sz="0" w:space="0" w:color="auto"/>
          </w:divBdr>
          <w:divsChild>
            <w:div w:id="1153255207">
              <w:marLeft w:val="0"/>
              <w:marRight w:val="0"/>
              <w:marTop w:val="0"/>
              <w:marBottom w:val="0"/>
              <w:divBdr>
                <w:top w:val="none" w:sz="0" w:space="0" w:color="auto"/>
                <w:left w:val="none" w:sz="0" w:space="0" w:color="auto"/>
                <w:bottom w:val="none" w:sz="0" w:space="0" w:color="auto"/>
                <w:right w:val="none" w:sz="0" w:space="0" w:color="auto"/>
              </w:divBdr>
              <w:divsChild>
                <w:div w:id="1375815443">
                  <w:marLeft w:val="0"/>
                  <w:marRight w:val="0"/>
                  <w:marTop w:val="0"/>
                  <w:marBottom w:val="0"/>
                  <w:divBdr>
                    <w:top w:val="none" w:sz="0" w:space="0" w:color="auto"/>
                    <w:left w:val="none" w:sz="0" w:space="0" w:color="auto"/>
                    <w:bottom w:val="none" w:sz="0" w:space="0" w:color="auto"/>
                    <w:right w:val="none" w:sz="0" w:space="0" w:color="auto"/>
                  </w:divBdr>
                  <w:divsChild>
                    <w:div w:id="72433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297797">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4086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beb583e70f6242a9850a14a49c7b95c9" PartId="878abe95ee7b43948ce02eef1e9cf913"/>
  <Part Type="forma" Nr="1" Abbr="1 frm." Title="KULTŪROS VEIKLOS PLĖTROS IR JOS VAIDMENS BENDRUOMENĖS GYVENIME STIPRINIMO PROGRAMOS APRAŠYMAS" DocPartId="341e01b36d194010b01984d88e522d87" PartId="e864d44da8644018ad3f0bf20ca8bf86"/>
</Parts>
</file>

<file path=customXml/itemProps1.xml><?xml version="1.0" encoding="utf-8"?>
<ds:datastoreItem xmlns:ds="http://schemas.openxmlformats.org/officeDocument/2006/customXml" ds:itemID="{D581424D-A0FE-4839-8D94-065FD5A378A1}">
  <ds:schemaRefs>
    <ds:schemaRef ds:uri="http://schemas.openxmlformats.org/officeDocument/2006/bibliography"/>
  </ds:schemaRefs>
</ds:datastoreItem>
</file>

<file path=customXml/itemProps2.xml><?xml version="1.0" encoding="utf-8"?>
<ds:datastoreItem xmlns:ds="http://schemas.openxmlformats.org/officeDocument/2006/customXml" ds:itemID="{AEB0E49D-C207-43FD-B1A0-FBCA3F01ED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3312</Words>
  <Characters>26468</Characters>
  <Application>Microsoft Office Word</Application>
  <DocSecurity>4</DocSecurity>
  <Lines>472</Lines>
  <Paragraphs>182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29598</CharactersWithSpaces>
  <SharedDoc>false</SharedDoc>
  <HyperlinkBase/>
  <HLinks>
    <vt:vector size="12" baseType="variant">
      <vt:variant>
        <vt:i4>2031702</vt:i4>
      </vt:variant>
      <vt:variant>
        <vt:i4>3</vt:i4>
      </vt:variant>
      <vt:variant>
        <vt:i4>0</vt:i4>
      </vt:variant>
      <vt:variant>
        <vt:i4>5</vt:i4>
      </vt:variant>
      <vt:variant>
        <vt:lpwstr>http://www.ciageragyventi.lt/</vt:lpwstr>
      </vt:variant>
      <vt:variant>
        <vt:lpwstr/>
      </vt:variant>
      <vt:variant>
        <vt:i4>6488111</vt:i4>
      </vt:variant>
      <vt:variant>
        <vt:i4>0</vt:i4>
      </vt:variant>
      <vt:variant>
        <vt:i4>0</vt:i4>
      </vt:variant>
      <vt:variant>
        <vt:i4>5</vt:i4>
      </vt:variant>
      <vt:variant>
        <vt:lpwstr>http://www.arsa.lt/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2020-02-10T14:41:00Z</lastPrinted>
  <dcterms:modified xsi:type="dcterms:W3CDTF">2022-02-22T11:31:00Z</dcterms:modified>
  <revision>2</revision>
  <dc:title/>
</coreProperties>
</file>