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1e1176ad21264b02b898ac46b4271355"/>
        <w:lock w:val="sdtLocked"/>
        <w:richText/>
      </w:sdtPr>
      <w:sdtContent>
        <w:tbl>
          <w:tblPr>
            <w:tblW w:w="0" w:type="auto"/>
            <w:tblLook w:val="04A0" w:firstRow="1" w:lastRow="0" w:firstColumn="1" w:lastColumn="0" w:noHBand="0" w:noVBand="1"/>
          </w:tblPr>
          <w:tblGrid>
            <w:gridCol w:w="4536"/>
          </w:tblGrid>
          <w:tr>
            <w:trPr>
              <w:trHeight w:val="851"/>
            </w:trPr>
            <w:tc>
              <w:tcPr>
                <w:tcW w:w="4536" w:type="dxa"/>
                <w:shd w:val="clear" w:color="auto" w:fill="auto"/>
              </w:tcPr>
              <w:p>
                <w:pPr>
                  <w:ind w:right="141"/>
                  <w:rPr>
                    <w:bCs/>
                    <w:szCs w:val="24"/>
                  </w:rPr>
                </w:pPr>
                <w:r>
                  <w:rPr>
                    <w:bCs/>
                    <w:szCs w:val="24"/>
                  </w:rPr>
                  <w:t xml:space="preserve">PATVIRTINTA                                                    Alytaus rajono savivaldybės tarybos                                                                           2022 m. vasario 17 d. sprendimu Nr. K-1                                                                           </w:t>
                </w:r>
              </w:p>
            </w:tc>
          </w:tr>
        </w:tbl>
        <w:p>
          <w:pPr>
            <w:rPr>
              <w:sz w:val="10"/>
              <w:szCs w:val="10"/>
            </w:rPr>
          </w:pPr>
        </w:p>
        <w:p>
          <w:pPr>
            <w:rPr>
              <w:bCs/>
              <w:szCs w:val="24"/>
            </w:rPr>
          </w:pPr>
        </w:p>
        <w:p>
          <w:pPr>
            <w:rPr>
              <w:sz w:val="10"/>
              <w:szCs w:val="10"/>
            </w:rPr>
          </w:pPr>
        </w:p>
        <w:p>
          <w:pPr>
            <w:ind w:left="5812" w:firstLine="62"/>
            <w:jc w:val="right"/>
            <w:rPr>
              <w:bCs/>
              <w:szCs w:val="24"/>
            </w:rPr>
          </w:pPr>
        </w:p>
        <w:sdt>
          <w:sdtPr>
            <w:alias w:val="1 frm."/>
            <w:tag w:val="part_29083046d4824e4b9a83a5eefc84848f"/>
            <w:lock w:val="sdtLocked"/>
            <w:richText/>
          </w:sdtPr>
          <w:sdtContent>
            <w:p>
              <w:pPr>
                <w:ind w:left="5812" w:firstLine="2914"/>
                <w:rPr>
                  <w:bCs/>
                  <w:szCs w:val="24"/>
                </w:rPr>
              </w:pPr>
              <w:r>
                <w:rPr>
                  <w:bCs/>
                  <w:szCs w:val="24"/>
                </w:rPr>
                <w:t xml:space="preserve">1 priedas                          </w:t>
              </w:r>
            </w:p>
            <w:p>
              <w:pPr>
                <w:ind w:right="141" w:firstLine="5890"/>
                <w:jc w:val="right"/>
                <w:rPr>
                  <w:bCs/>
                  <w:szCs w:val="24"/>
                </w:rPr>
              </w:pPr>
              <w:sdt>
                <w:sdtPr>
                  <w:alias w:val="Numeris"/>
                  <w:tag w:val="nr_29083046d4824e4b9a83a5eefc84848f"/>
                  <w:lock w:val="sdtLocked"/>
                  <w:richText/>
                </w:sdtPr>
                <w:sdtContent>
                  <w:r>
                    <w:rPr>
                      <w:bCs/>
                      <w:szCs w:val="24"/>
                    </w:rPr>
                    <w:t>1</w:t>
                  </w:r>
                </w:sdtContent>
              </w:sdt>
              <w:r>
                <w:rPr>
                  <w:bCs/>
                  <w:szCs w:val="24"/>
                </w:rPr>
                <w:t>b forma</w:t>
              </w:r>
            </w:p>
            <w:sdt>
              <w:sdtPr>
                <w:alias w:val="Pavadinimas"/>
                <w:tag w:val="title_29083046d4824e4b9a83a5eefc84848f"/>
                <w:lock w:val="sdtLocked"/>
                <w:richText/>
              </w:sdtPr>
              <w:sdtContent>
                <w:p>
                  <w:pPr>
                    <w:ind w:firstLine="5236"/>
                    <w:jc w:val="center"/>
                    <w:rPr>
                      <w:i/>
                      <w:iCs/>
                      <w:sz w:val="20"/>
                    </w:rPr>
                  </w:pPr>
                  <w:r>
                    <w:rPr>
                      <w:i/>
                      <w:iCs/>
                      <w:sz w:val="22"/>
                      <w:szCs w:val="22"/>
                    </w:rPr>
                    <w:br/>
                  </w:r>
                  <w:r>
                    <w:rPr>
                      <w:b/>
                      <w:iCs/>
                      <w:szCs w:val="22"/>
                    </w:rPr>
                    <w:t>APLINKOS IR KRAŠTOVAIZDŽIO APSAUGOS IR ŽEMĖS ŪKIO PLĖTROS</w:t>
                  </w:r>
                </w:p>
                <w:p>
                  <w:pPr>
                    <w:jc w:val="center"/>
                    <w:rPr>
                      <w:b/>
                      <w:bCs/>
                      <w:szCs w:val="22"/>
                    </w:rPr>
                  </w:pPr>
                  <w:r>
                    <w:rPr>
                      <w:b/>
                      <w:bCs/>
                      <w:szCs w:val="22"/>
                    </w:rPr>
                    <w:t>PROGRAMOS APRAŠYMAS</w:t>
                  </w:r>
                </w:p>
              </w:sdtContent>
            </w:sdt>
            <w:p>
              <w:pPr>
                <w:rPr>
                  <w:b/>
                  <w:bCs/>
                  <w:szCs w:val="22"/>
                </w:rPr>
              </w:pPr>
            </w:p>
          </w:sdtContent>
        </w:sdt>
      </w:sdtContent>
    </w:sdt>
    <w:sdt>
      <w:sdtPr>
        <w:alias w:val="lentele"/>
        <w:tag w:val="part_6178edf610084f4098082d45b121635c"/>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6660"/>
          </w:tblGrid>
          <w:tr>
            <w:tc>
              <w:tcPr>
                <w:tcW w:w="2988" w:type="dxa"/>
                <w:vAlign w:val="center"/>
              </w:tcPr>
              <w:p>
                <w:pPr>
                  <w:keepNext/>
                  <w:rPr>
                    <w:b/>
                    <w:bCs/>
                    <w:sz w:val="22"/>
                  </w:rPr>
                </w:pPr>
                <w:r>
                  <w:rPr>
                    <w:b/>
                    <w:bCs/>
                    <w:sz w:val="22"/>
                  </w:rPr>
                  <w:t>Biudžetiniai metai</w:t>
                </w:r>
              </w:p>
            </w:tc>
            <w:tc>
              <w:tcPr>
                <w:tcW w:w="6660" w:type="dxa"/>
                <w:vAlign w:val="center"/>
              </w:tcPr>
              <w:p>
                <w:pPr>
                  <w:rPr>
                    <w:b/>
                    <w:szCs w:val="24"/>
                  </w:rPr>
                </w:pPr>
                <w:r>
                  <w:rPr>
                    <w:b/>
                    <w:sz w:val="22"/>
                    <w:szCs w:val="24"/>
                  </w:rPr>
                  <w:t>2022 metai</w:t>
                </w:r>
              </w:p>
            </w:tc>
          </w:tr>
          <w:tr>
            <w:tc>
              <w:tcPr>
                <w:tcW w:w="2988" w:type="dxa"/>
                <w:vAlign w:val="center"/>
              </w:tcPr>
              <w:p>
                <w:pPr>
                  <w:keepNext/>
                  <w:rPr>
                    <w:b/>
                    <w:bCs/>
                    <w:sz w:val="22"/>
                  </w:rPr>
                </w:pPr>
                <w:r>
                  <w:rPr>
                    <w:b/>
                    <w:bCs/>
                    <w:sz w:val="22"/>
                  </w:rPr>
                  <w:t xml:space="preserve">Asignavimų valdytojas (-ai), kodas </w:t>
                </w:r>
              </w:p>
            </w:tc>
            <w:tc>
              <w:tcPr>
                <w:tcW w:w="6660" w:type="dxa"/>
                <w:vAlign w:val="center"/>
              </w:tcPr>
              <w:p>
                <w:pPr>
                  <w:rPr>
                    <w:b/>
                    <w:szCs w:val="24"/>
                  </w:rPr>
                </w:pPr>
                <w:r>
                  <w:rPr>
                    <w:szCs w:val="24"/>
                  </w:rPr>
                  <w:t>Alytaus rajono savivaldybės administracijos direktorius, 188718528</w:t>
                </w:r>
              </w:p>
            </w:tc>
          </w:tr>
          <w:tr>
            <w:tc>
              <w:tcPr>
                <w:tcW w:w="2988" w:type="dxa"/>
                <w:vAlign w:val="center"/>
              </w:tcPr>
              <w:p>
                <w:pPr>
                  <w:keepNext/>
                  <w:rPr>
                    <w:b/>
                    <w:bCs/>
                    <w:sz w:val="22"/>
                  </w:rPr>
                </w:pPr>
                <w:r>
                  <w:rPr>
                    <w:b/>
                    <w:bCs/>
                    <w:sz w:val="22"/>
                  </w:rPr>
                  <w:t>Vykdytojas (-ai)</w:t>
                </w:r>
              </w:p>
            </w:tc>
            <w:tc>
              <w:tcPr>
                <w:tcW w:w="6660" w:type="dxa"/>
                <w:vAlign w:val="center"/>
              </w:tcPr>
              <w:p>
                <w:pPr>
                  <w:rPr>
                    <w:szCs w:val="24"/>
                  </w:rPr>
                </w:pPr>
                <w:r>
                  <w:rPr>
                    <w:szCs w:val="24"/>
                  </w:rPr>
                  <w:t>Žemės ūkio skyrius, A13</w:t>
                </w:r>
              </w:p>
              <w:p>
                <w:pPr>
                  <w:rPr>
                    <w:sz w:val="10"/>
                    <w:szCs w:val="10"/>
                  </w:rPr>
                </w:pPr>
              </w:p>
              <w:p>
                <w:pPr>
                  <w:rPr>
                    <w:szCs w:val="24"/>
                  </w:rPr>
                </w:pPr>
                <w:r>
                  <w:rPr>
                    <w:szCs w:val="24"/>
                  </w:rPr>
                  <w:t>Komunalinio ūkio ir architektūros skyrius, A1</w:t>
                </w:r>
              </w:p>
            </w:tc>
          </w:tr>
        </w:tbl>
        <w:p>
          <w:pPr>
            <w:jc w:val="center"/>
            <w:rPr>
              <w:b/>
              <w:strike/>
              <w:sz w:val="22"/>
              <w:szCs w:val="24"/>
            </w:rPr>
          </w:pPr>
        </w:p>
      </w:sdtContent>
    </w:sdt>
    <w:sdt>
      <w:sdtPr>
        <w:alias w:val="lentele"/>
        <w:tag w:val="part_4b6c65b2172c41bda562fbdafaf1b1d9"/>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88"/>
            <w:gridCol w:w="5040"/>
            <w:gridCol w:w="900"/>
            <w:gridCol w:w="720"/>
          </w:tblGrid>
          <w:tr>
            <w:tc>
              <w:tcPr>
                <w:tcW w:w="2988" w:type="dxa"/>
                <w:vAlign w:val="center"/>
              </w:tcPr>
              <w:p>
                <w:pPr>
                  <w:keepNext/>
                  <w:tabs>
                    <w:tab w:val="left" w:pos="0"/>
                    <w:tab w:val="left" w:pos="180"/>
                  </w:tabs>
                  <w:ind w:right="-766"/>
                  <w:outlineLvl w:val="2"/>
                  <w:rPr>
                    <w:b/>
                    <w:bCs/>
                    <w:szCs w:val="24"/>
                  </w:rPr>
                </w:pPr>
                <w:r>
                  <w:rPr>
                    <w:b/>
                    <w:bCs/>
                    <w:szCs w:val="24"/>
                  </w:rPr>
                  <w:t>Programos pavadinimas</w:t>
                </w:r>
              </w:p>
            </w:tc>
            <w:tc>
              <w:tcPr>
                <w:tcW w:w="5040" w:type="dxa"/>
                <w:vAlign w:val="center"/>
              </w:tcPr>
              <w:p>
                <w:pPr>
                  <w:rPr>
                    <w:b/>
                    <w:bCs/>
                    <w:szCs w:val="24"/>
                  </w:rPr>
                </w:pPr>
                <w:r>
                  <w:rPr>
                    <w:b/>
                    <w:bCs/>
                    <w:szCs w:val="24"/>
                  </w:rPr>
                  <w:t>APLINKOS IR KRAŠTOVAIZDŽIO APSAUGA IR ŽEMĖS ŪKIO PLĖTRA</w:t>
                </w:r>
              </w:p>
            </w:tc>
            <w:tc>
              <w:tcPr>
                <w:tcW w:w="900" w:type="dxa"/>
                <w:vAlign w:val="center"/>
              </w:tcPr>
              <w:p>
                <w:pPr>
                  <w:keepNext/>
                  <w:jc w:val="center"/>
                  <w:outlineLvl w:val="3"/>
                  <w:rPr>
                    <w:b/>
                    <w:bCs/>
                    <w:szCs w:val="24"/>
                  </w:rPr>
                </w:pPr>
                <w:r>
                  <w:rPr>
                    <w:b/>
                    <w:bCs/>
                    <w:szCs w:val="24"/>
                  </w:rPr>
                  <w:t>Kodas</w:t>
                </w:r>
              </w:p>
            </w:tc>
            <w:tc>
              <w:tcPr>
                <w:tcW w:w="720" w:type="dxa"/>
                <w:vAlign w:val="center"/>
              </w:tcPr>
              <w:p>
                <w:pPr>
                  <w:jc w:val="center"/>
                  <w:rPr>
                    <w:b/>
                    <w:szCs w:val="24"/>
                  </w:rPr>
                </w:pPr>
                <w:r>
                  <w:rPr>
                    <w:b/>
                    <w:szCs w:val="24"/>
                  </w:rPr>
                  <w:t>07</w:t>
                </w:r>
              </w:p>
            </w:tc>
          </w:tr>
        </w:tbl>
        <w:p>
          <w:pPr>
            <w:jc w:val="center"/>
            <w:rPr>
              <w:b/>
              <w:strike/>
              <w:sz w:val="22"/>
              <w:szCs w:val="24"/>
            </w:rPr>
          </w:pPr>
        </w:p>
      </w:sdtContent>
    </w:sdt>
    <w:sdt>
      <w:sdtPr>
        <w:alias w:val="lentele"/>
        <w:tag w:val="part_b78575d98e434e5f8436d727542d4317"/>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72"/>
            <w:gridCol w:w="5056"/>
            <w:gridCol w:w="900"/>
            <w:gridCol w:w="720"/>
          </w:tblGrid>
          <w:tr>
            <w:tc>
              <w:tcPr>
                <w:tcW w:w="2972" w:type="dxa"/>
                <w:vAlign w:val="center"/>
              </w:tcPr>
              <w:p>
                <w:pPr>
                  <w:rPr>
                    <w:b/>
                    <w:szCs w:val="24"/>
                  </w:rPr>
                </w:pPr>
                <w:r>
                  <w:rPr>
                    <w:b/>
                    <w:sz w:val="22"/>
                    <w:szCs w:val="22"/>
                  </w:rPr>
                  <w:t>Programos parengimo argumentai</w:t>
                </w:r>
              </w:p>
            </w:tc>
            <w:tc>
              <w:tcPr>
                <w:tcW w:w="6676" w:type="dxa"/>
                <w:gridSpan w:val="3"/>
              </w:tcPr>
              <w:p>
                <w:pPr>
                  <w:ind w:firstLine="567"/>
                  <w:jc w:val="both"/>
                  <w:rPr>
                    <w:szCs w:val="24"/>
                  </w:rPr>
                </w:pPr>
                <w:r>
                  <w:rPr>
                    <w:szCs w:val="24"/>
                  </w:rPr>
                  <w:t xml:space="preserve">Programa parengta siekiant palaikyti kokybišką ir švarią aplinką, prižiūrėti rajono kraštovaizdį. </w:t>
                </w:r>
              </w:p>
              <w:p>
                <w:pPr>
                  <w:ind w:firstLine="567"/>
                  <w:jc w:val="both"/>
                  <w:rPr>
                    <w:szCs w:val="24"/>
                  </w:rPr>
                </w:pPr>
                <w:r>
                  <w:rPr>
                    <w:szCs w:val="24"/>
                  </w:rPr>
                  <w:t xml:space="preserve">Įgyvendinamos kaimo plėtros programos, administruojama subsidijų bei tiesioginių išmokų mokėjimas. Užtikrinamas melioracijos lėšų racionalus panaudojimas, įgyvendinama  melioracijos strategija. Gerinamos žemės ūkio produkcijos gamybos sąlygos, koordinuojamas bei išsaugomas melioruotų žemių fondas. Programa padės stiprinti bendruomeninę ir kitų NVO veiklą, jų materialinę bazę, saugoti ir tausoti gamtą. Numatytos lėšos sudarys galimybę aktyviau dalyvauti įvairių fondų projektų konkursuose, sprendžiant infrastruktūros problemas, puoselėjant kraštui būdingas tradicijas, plėtojant bendruomeninę veiklą, gyventojų užimtumą, keliant žemdirbių profesinį pasiruošimą, skatinant pažangų ūkininkavimą. </w:t>
                </w:r>
              </w:p>
              <w:p>
                <w:pPr>
                  <w:ind w:firstLine="567"/>
                  <w:jc w:val="both"/>
                  <w:rPr>
                    <w:szCs w:val="24"/>
                  </w:rPr>
                </w:pPr>
                <w:r>
                  <w:rPr>
                    <w:szCs w:val="24"/>
                  </w:rPr>
                  <w:t>Alytaus rajono savivaldybės specialioji komunalinių atliekų tvarkymo programa (toliau – programa) vykdoma, vadovaujantis Lietuvos Respublikos vietos savivaldos įstatymu, Lietuvos Respublikos atliekų tvarkymo įstatymu. Programa parengta, siekiant įdiegti visoje savivaldybės teritorijoje racionalią, patikimą, ekonomiškai pagrįstą ir pažangią atliekų tvarkymo sistemą (toliau – sistema). Programos vykdytojai – UAB Alytaus regiono atliekų tvarkymo centras (toliau – ARATC) ir Alytaus rajono savivaldybės administracija.</w:t>
                </w:r>
              </w:p>
              <w:p>
                <w:pPr>
                  <w:ind w:firstLine="567"/>
                  <w:jc w:val="both"/>
                  <w:rPr>
                    <w:szCs w:val="24"/>
                  </w:rPr>
                </w:pPr>
                <w:r>
                  <w:rPr>
                    <w:szCs w:val="24"/>
                  </w:rPr>
                  <w:t xml:space="preserve">Aplinkos apsaugos rėmimo programa skirta finansuoti savivaldybės vykdomas aplinkos apsaugos priemones, kuriomis likviduojama aplinkai padaryta žala. Programa siekiama užtikrinti biologinės įvairovės, gyvosios gamtos bei kraštovaizdžio išsaugojimą, visuomenės aplinkosauginį  švietimą, informacijos skleidimą, mokymą. Medžiojamųjų gyvūnų daromos žalos miškui prevencinių priemonių taikymą. Paramą saugomų teritorijų direkcijoms.</w:t>
                </w:r>
              </w:p>
            </w:tc>
          </w:tr>
          <w:tr>
            <w:tc>
              <w:tcPr>
                <w:tcW w:w="2972" w:type="dxa"/>
                <w:vAlign w:val="center"/>
              </w:tcPr>
              <w:p>
                <w:pPr>
                  <w:rPr>
                    <w:b/>
                    <w:szCs w:val="24"/>
                  </w:rPr>
                </w:pPr>
                <w:r>
                  <w:rPr>
                    <w:b/>
                    <w:sz w:val="22"/>
                    <w:szCs w:val="24"/>
                  </w:rPr>
                  <w:t>Ilgalaikis prioritetas</w:t>
                </w:r>
              </w:p>
              <w:p>
                <w:pPr>
                  <w:rPr>
                    <w:b/>
                    <w:szCs w:val="24"/>
                  </w:rPr>
                </w:pPr>
                <w:r>
                  <w:rPr>
                    <w:b/>
                    <w:sz w:val="22"/>
                    <w:szCs w:val="24"/>
                  </w:rPr>
                  <w:t>(pagal Alytaus rajono savivaldybės strateginį plėtros planą)</w:t>
                </w:r>
              </w:p>
            </w:tc>
            <w:tc>
              <w:tcPr>
                <w:tcW w:w="5056" w:type="dxa"/>
                <w:vAlign w:val="center"/>
              </w:tcPr>
              <w:p>
                <w:pPr>
                  <w:suppressAutoHyphens/>
                  <w:jc w:val="both"/>
                  <w:textAlignment w:val="baseline"/>
                  <w:rPr>
                    <w:b/>
                    <w:szCs w:val="24"/>
                  </w:rPr>
                </w:pPr>
                <w:r>
                  <w:rPr>
                    <w:b/>
                    <w:szCs w:val="24"/>
                  </w:rPr>
                  <w:t>TVARI, DARNI, INOVATYVI EKONOMIKOS PLĖTRA IR IŠVYSTYTA INFRASTRUKTŪRA</w:t>
                </w:r>
              </w:p>
              <w:p>
                <w:pPr>
                  <w:rPr>
                    <w:sz w:val="18"/>
                    <w:szCs w:val="18"/>
                  </w:rPr>
                </w:pPr>
              </w:p>
              <w:p>
                <w:pPr>
                  <w:suppressAutoHyphens/>
                  <w:jc w:val="both"/>
                  <w:textAlignment w:val="baseline"/>
                  <w:rPr>
                    <w:b/>
                    <w:szCs w:val="24"/>
                  </w:rPr>
                </w:pPr>
                <w:r>
                  <w:rPr>
                    <w:b/>
                    <w:szCs w:val="24"/>
                  </w:rPr>
                  <w:t>PATOGUS, SVETINGAS, ŽALIAS RAJONAS</w:t>
                </w:r>
              </w:p>
            </w:tc>
            <w:tc>
              <w:tcPr>
                <w:tcW w:w="900" w:type="dxa"/>
                <w:vAlign w:val="center"/>
              </w:tcPr>
              <w:p>
                <w:pPr>
                  <w:keepNext/>
                  <w:jc w:val="center"/>
                  <w:outlineLvl w:val="4"/>
                  <w:rPr>
                    <w:b/>
                    <w:bCs/>
                    <w:sz w:val="22"/>
                    <w:szCs w:val="24"/>
                  </w:rPr>
                </w:pPr>
                <w:r>
                  <w:rPr>
                    <w:b/>
                    <w:bCs/>
                    <w:sz w:val="22"/>
                    <w:szCs w:val="24"/>
                  </w:rPr>
                  <w:t>Kodas</w:t>
                </w:r>
              </w:p>
            </w:tc>
            <w:tc>
              <w:tcPr>
                <w:tcW w:w="720" w:type="dxa"/>
                <w:vAlign w:val="center"/>
              </w:tcPr>
              <w:p>
                <w:pPr>
                  <w:keepNext/>
                  <w:jc w:val="center"/>
                  <w:outlineLvl w:val="4"/>
                  <w:rPr>
                    <w:b/>
                    <w:sz w:val="22"/>
                    <w:szCs w:val="24"/>
                  </w:rPr>
                </w:pPr>
                <w:r>
                  <w:rPr>
                    <w:b/>
                    <w:sz w:val="22"/>
                    <w:szCs w:val="24"/>
                  </w:rPr>
                  <w:t>01</w:t>
                </w:r>
              </w:p>
              <w:p>
                <w:pPr>
                  <w:rPr>
                    <w:szCs w:val="24"/>
                  </w:rPr>
                </w:pPr>
              </w:p>
              <w:p>
                <w:pPr>
                  <w:rPr>
                    <w:szCs w:val="24"/>
                  </w:rPr>
                </w:pPr>
              </w:p>
              <w:p>
                <w:pPr>
                  <w:rPr>
                    <w:szCs w:val="24"/>
                  </w:rPr>
                </w:pPr>
              </w:p>
              <w:p>
                <w:pPr>
                  <w:jc w:val="center"/>
                  <w:rPr>
                    <w:b/>
                    <w:szCs w:val="24"/>
                  </w:rPr>
                </w:pPr>
                <w:r>
                  <w:rPr>
                    <w:b/>
                    <w:szCs w:val="24"/>
                  </w:rPr>
                  <w:t>03</w:t>
                </w:r>
              </w:p>
            </w:tc>
          </w:tr>
          <w:tr>
            <w:tc>
              <w:tcPr>
                <w:tcW w:w="2972" w:type="dxa"/>
                <w:vAlign w:val="center"/>
              </w:tcPr>
              <w:p>
                <w:pPr>
                  <w:rPr>
                    <w:b/>
                    <w:szCs w:val="24"/>
                  </w:rPr>
                </w:pPr>
                <w:r>
                  <w:rPr>
                    <w:b/>
                    <w:sz w:val="22"/>
                    <w:szCs w:val="24"/>
                  </w:rPr>
                  <w:t>Šia programa įgyvendinamas savivaldybės strateginis tikslas:</w:t>
                </w:r>
              </w:p>
            </w:tc>
            <w:tc>
              <w:tcPr>
                <w:tcW w:w="5056" w:type="dxa"/>
                <w:vAlign w:val="center"/>
              </w:tcPr>
              <w:p>
                <w:pPr>
                  <w:jc w:val="both"/>
                  <w:rPr>
                    <w:b/>
                    <w:bCs/>
                    <w:caps/>
                    <w:szCs w:val="24"/>
                  </w:rPr>
                </w:pPr>
                <w:r>
                  <w:rPr>
                    <w:b/>
                    <w:bCs/>
                    <w:caps/>
                    <w:szCs w:val="24"/>
                  </w:rPr>
                  <w:t>PLĖTOTI TVARŲ ŽEMĖS IR MIŠKŲ ŪKĮ, VYSTYTI KONKURENCINGĄ TVARŲ VERSLĄ</w:t>
                </w:r>
              </w:p>
              <w:p>
                <w:pPr>
                  <w:jc w:val="both"/>
                  <w:rPr>
                    <w:b/>
                    <w:bCs/>
                    <w:caps/>
                    <w:szCs w:val="24"/>
                  </w:rPr>
                </w:pPr>
              </w:p>
              <w:p>
                <w:pPr>
                  <w:jc w:val="both"/>
                  <w:rPr>
                    <w:b/>
                    <w:szCs w:val="24"/>
                  </w:rPr>
                </w:pPr>
                <w:r>
                  <w:rPr>
                    <w:b/>
                    <w:bCs/>
                    <w:caps/>
                    <w:szCs w:val="24"/>
                  </w:rPr>
                  <w:t>UŽTIKRINTI DARNĄ SU APLINKA IR GAMTA</w:t>
                </w:r>
              </w:p>
            </w:tc>
            <w:tc>
              <w:tcPr>
                <w:tcW w:w="900" w:type="dxa"/>
                <w:vAlign w:val="center"/>
              </w:tcPr>
              <w:p>
                <w:pPr>
                  <w:keepNext/>
                  <w:jc w:val="center"/>
                  <w:outlineLvl w:val="3"/>
                  <w:rPr>
                    <w:b/>
                    <w:bCs/>
                    <w:sz w:val="22"/>
                    <w:szCs w:val="24"/>
                  </w:rPr>
                </w:pPr>
                <w:r>
                  <w:rPr>
                    <w:b/>
                    <w:bCs/>
                    <w:sz w:val="22"/>
                    <w:szCs w:val="24"/>
                  </w:rPr>
                  <w:t>Kodas</w:t>
                </w:r>
              </w:p>
            </w:tc>
            <w:tc>
              <w:tcPr>
                <w:tcW w:w="720" w:type="dxa"/>
                <w:vAlign w:val="center"/>
              </w:tcPr>
              <w:p>
                <w:pPr>
                  <w:jc w:val="center"/>
                  <w:rPr>
                    <w:b/>
                    <w:sz w:val="22"/>
                    <w:szCs w:val="24"/>
                  </w:rPr>
                </w:pPr>
                <w:r>
                  <w:rPr>
                    <w:b/>
                    <w:sz w:val="22"/>
                    <w:szCs w:val="24"/>
                  </w:rPr>
                  <w:t>01</w:t>
                </w:r>
              </w:p>
              <w:p>
                <w:pPr>
                  <w:jc w:val="center"/>
                  <w:rPr>
                    <w:b/>
                    <w:sz w:val="22"/>
                    <w:szCs w:val="24"/>
                  </w:rPr>
                </w:pPr>
              </w:p>
              <w:p>
                <w:pPr>
                  <w:jc w:val="center"/>
                  <w:rPr>
                    <w:b/>
                    <w:sz w:val="22"/>
                    <w:szCs w:val="24"/>
                  </w:rPr>
                </w:pPr>
              </w:p>
              <w:p>
                <w:pPr>
                  <w:jc w:val="center"/>
                  <w:rPr>
                    <w:b/>
                    <w:sz w:val="22"/>
                    <w:szCs w:val="24"/>
                  </w:rPr>
                </w:pPr>
              </w:p>
              <w:p>
                <w:pPr>
                  <w:jc w:val="center"/>
                  <w:rPr>
                    <w:b/>
                    <w:szCs w:val="24"/>
                  </w:rPr>
                </w:pPr>
                <w:r>
                  <w:rPr>
                    <w:b/>
                    <w:sz w:val="22"/>
                    <w:szCs w:val="24"/>
                  </w:rPr>
                  <w:t>03</w:t>
                </w:r>
              </w:p>
            </w:tc>
          </w:tr>
          <w:tr>
            <w:tc>
              <w:tcPr>
                <w:tcW w:w="2972" w:type="dxa"/>
                <w:vAlign w:val="center"/>
              </w:tcPr>
              <w:p>
                <w:pPr>
                  <w:keepNext/>
                  <w:rPr>
                    <w:b/>
                    <w:bCs/>
                    <w:sz w:val="22"/>
                  </w:rPr>
                </w:pPr>
                <w:r>
                  <w:rPr>
                    <w:b/>
                    <w:bCs/>
                    <w:sz w:val="22"/>
                  </w:rPr>
                  <w:t>Programos tikslas</w:t>
                </w:r>
              </w:p>
            </w:tc>
            <w:tc>
              <w:tcPr>
                <w:tcW w:w="5056" w:type="dxa"/>
                <w:vAlign w:val="center"/>
              </w:tcPr>
              <w:p>
                <w:pPr>
                  <w:jc w:val="both"/>
                  <w:rPr>
                    <w:b/>
                    <w:bCs/>
                    <w:szCs w:val="24"/>
                  </w:rPr>
                </w:pPr>
                <w:r>
                  <w:rPr>
                    <w:b/>
                    <w:bCs/>
                    <w:szCs w:val="24"/>
                  </w:rPr>
                  <w:t>Konkurencingo žemės ūkio kūrimas</w:t>
                </w:r>
              </w:p>
            </w:tc>
            <w:tc>
              <w:tcPr>
                <w:tcW w:w="900" w:type="dxa"/>
                <w:vAlign w:val="center"/>
              </w:tcPr>
              <w:p>
                <w:pPr>
                  <w:keepNext/>
                  <w:jc w:val="center"/>
                  <w:rPr>
                    <w:b/>
                    <w:bCs/>
                    <w:sz w:val="22"/>
                  </w:rPr>
                </w:pPr>
                <w:r>
                  <w:rPr>
                    <w:b/>
                    <w:bCs/>
                    <w:sz w:val="22"/>
                  </w:rPr>
                  <w:t>Kodas</w:t>
                </w:r>
              </w:p>
            </w:tc>
            <w:tc>
              <w:tcPr>
                <w:tcW w:w="720" w:type="dxa"/>
                <w:vAlign w:val="center"/>
              </w:tcPr>
              <w:p>
                <w:pPr>
                  <w:jc w:val="center"/>
                  <w:rPr>
                    <w:b/>
                    <w:szCs w:val="24"/>
                  </w:rPr>
                </w:pPr>
                <w:r>
                  <w:rPr>
                    <w:b/>
                    <w:sz w:val="22"/>
                    <w:szCs w:val="24"/>
                  </w:rPr>
                  <w:t>01</w:t>
                </w:r>
              </w:p>
            </w:tc>
          </w:tr>
          <w:tr>
            <w:trPr>
              <w:trHeight w:val="471"/>
            </w:trPr>
            <w:tc>
              <w:tcPr>
                <w:tcW w:w="9648" w:type="dxa"/>
                <w:gridSpan w:val="4"/>
              </w:tcPr>
              <w:p>
                <w:pPr>
                  <w:jc w:val="both"/>
                  <w:rPr>
                    <w:b/>
                    <w:szCs w:val="24"/>
                  </w:rPr>
                </w:pPr>
                <w:r>
                  <w:rPr>
                    <w:b/>
                    <w:szCs w:val="24"/>
                  </w:rPr>
                  <w:t xml:space="preserve">Tikslo įgyvendinimo aprašymas </w:t>
                </w:r>
              </w:p>
              <w:p>
                <w:pPr>
                  <w:spacing w:line="259" w:lineRule="auto"/>
                  <w:ind w:firstLine="567"/>
                  <w:jc w:val="both"/>
                  <w:rPr>
                    <w:rFonts w:eastAsia="Calibri"/>
                    <w:szCs w:val="24"/>
                  </w:rPr>
                </w:pPr>
                <w:r>
                  <w:rPr>
                    <w:szCs w:val="24"/>
                  </w:rPr>
                  <w:t>Tikslas skirtas kaimo ekonominės veiklos įvairinimui, alternatyvių pajamų skatinimui, kaimo infrastruktūros problemų sprendimui, žemdirbiškų tradicijų puoselėjimui, žemdirbių ir kaimo gyventojų švietimui ir mokymui. Skatinti pažangų ūkininkavimą.</w:t>
                </w:r>
                <w:r>
                  <w:rPr>
                    <w:rFonts w:eastAsia="Calibri"/>
                    <w:szCs w:val="24"/>
                  </w:rPr>
                  <w:t xml:space="preserve"> </w:t>
                </w:r>
                <w:r>
                  <w:rPr>
                    <w:szCs w:val="24"/>
                  </w:rPr>
                  <w:t>Rūpinamasi žemės ūkio materialinės techninės bazės stiprinimu, siekiama tinkamai naudoti ir saugoti melioruotas žemes ir melioracijos statinius, didinti žemės ūkio naudmenų plotą. Priimamos ir administruojamos paraiškos tiesioginėms išmokoms gauti, teikiama metodinė pagalba, priimama deklaracijos apie žemės ūkio pasėlių plotus valstybės paramai gauti. Užtikrinama, kad žemės ūkio technika būtų įregistruota pagal teisės aktų reikalavimus, kontroliuojama ir įvertinama technikos būklė, teikiamos konsultacijas technikos remonto ir eksploatacijos klausimais. Registruojami ūkininkų ūkiai, bei valdos.</w:t>
                </w:r>
              </w:p>
              <w:p>
                <w:pPr>
                  <w:rPr>
                    <w:sz w:val="14"/>
                    <w:szCs w:val="14"/>
                  </w:rPr>
                </w:pPr>
              </w:p>
              <w:p>
                <w:pPr>
                  <w:spacing w:line="259" w:lineRule="auto"/>
                  <w:ind w:firstLine="567"/>
                  <w:jc w:val="both"/>
                  <w:rPr>
                    <w:rFonts w:eastAsia="Calibri"/>
                    <w:szCs w:val="24"/>
                  </w:rPr>
                </w:pPr>
                <w:r>
                  <w:rPr>
                    <w:rFonts w:eastAsia="Calibri"/>
                    <w:bCs/>
                    <w:szCs w:val="24"/>
                  </w:rPr>
                  <w:t>Tikslui pasiekti įgyvendinamas uždavinys:</w:t>
                </w:r>
              </w:p>
              <w:p>
                <w:pPr>
                  <w:rPr>
                    <w:sz w:val="14"/>
                    <w:szCs w:val="14"/>
                  </w:rPr>
                </w:pPr>
              </w:p>
              <w:p>
                <w:pPr>
                  <w:jc w:val="both"/>
                  <w:rPr>
                    <w:rFonts w:eastAsia="Calibri"/>
                    <w:b/>
                    <w:szCs w:val="24"/>
                  </w:rPr>
                </w:pPr>
                <w:r>
                  <w:rPr>
                    <w:rFonts w:eastAsia="Calibri"/>
                    <w:b/>
                    <w:szCs w:val="24"/>
                  </w:rPr>
                  <w:t>01 uždavinys. Koordinuoti funkcijų vykdymą žemės ūkio srityje. Skatinti pažangų ūkininkavimą.</w:t>
                </w:r>
              </w:p>
              <w:p>
                <w:pPr>
                  <w:rPr>
                    <w:sz w:val="10"/>
                    <w:szCs w:val="10"/>
                  </w:rPr>
                </w:pPr>
              </w:p>
              <w:p>
                <w:pPr>
                  <w:keepNext/>
                  <w:spacing w:line="360" w:lineRule="auto"/>
                  <w:jc w:val="both"/>
                  <w:rPr>
                    <w:bCs/>
                    <w:i/>
                  </w:rPr>
                </w:pPr>
                <w:r>
                  <w:rPr>
                    <w:b/>
                    <w:bCs/>
                    <w:i/>
                  </w:rPr>
                  <w:t>01 priemonė</w:t>
                </w:r>
                <w:r>
                  <w:rPr>
                    <w:bCs/>
                    <w:i/>
                  </w:rPr>
                  <w:t xml:space="preserve">. </w:t>
                </w:r>
                <w:r>
                  <w:rPr>
                    <w:i/>
                    <w:szCs w:val="24"/>
                  </w:rPr>
                  <w:t>Žemės ūkio funkcijoms atlikti.</w:t>
                </w:r>
              </w:p>
              <w:p>
                <w:pPr>
                  <w:rPr>
                    <w:sz w:val="10"/>
                    <w:szCs w:val="10"/>
                  </w:rPr>
                </w:pPr>
              </w:p>
              <w:p>
                <w:pPr>
                  <w:jc w:val="both"/>
                  <w:rPr>
                    <w:szCs w:val="24"/>
                  </w:rPr>
                </w:pPr>
                <w:r>
                  <w:rPr>
                    <w:rFonts w:eastAsia="Calibri"/>
                    <w:szCs w:val="24"/>
                  </w:rPr>
                  <w:t xml:space="preserve">Siekiama, kad būtų renkami ir registruojami prašymai, bei pateisinami dokumentai dėl vienkartinių ir kitų išmokų, laiku priimamos žemės ūkio naudmenų ir pasėlių deklaracijos, įbraižomi deklaruojami laukai, atliekami deklaracijų papildymai ir patikslinimai. Vadovaujantis Lietuvos Respublikos Ūkininko ūkio įstatymu 1999 m. gegužės 4 d. Nr.VIII-1159, pateikus prašymą ir reikiamus dokumentus registruojamas/išregistruojamas ūkininko ūkis LR Žemės ūkio ir kaimo verslo registre,. </w:t>
                </w:r>
                <w:r>
                  <w:rPr>
                    <w:szCs w:val="24"/>
                  </w:rPr>
                  <w:t>Perduodama naujausia informacija, konsultuojami ūkininkai apie galimybes pasinaudoti ES ir valstybės parama ūkių modernizavimui ir plėtrai. Rengiami kaimo plėtros programų tarybos sprendimų projektai ir tiesioginių išmokų išmokėjimo administracijos direktoriaus įsakymų projektai.</w:t>
                </w:r>
                <w:r>
                  <w:rPr>
                    <w:rFonts w:eastAsia="Calibri"/>
                    <w:szCs w:val="24"/>
                  </w:rPr>
                  <w:t xml:space="preserve"> Pagal priimtus prašymus registruojamos/išregistruojamos valdos LR Žemės ūkio ir kaimo verslo registre, vertinamos paraiškos dėl dalies palūkanų ir draudimo įmokų kompensavimo.</w:t>
                </w:r>
              </w:p>
              <w:p>
                <w:pPr>
                  <w:keepNext/>
                  <w:jc w:val="both"/>
                  <w:rPr>
                    <w:rFonts w:eastAsia="Calibri"/>
                    <w:szCs w:val="24"/>
                  </w:rPr>
                </w:pPr>
                <w:r>
                  <w:rPr>
                    <w:rFonts w:eastAsia="Calibri"/>
                    <w:szCs w:val="24"/>
                  </w:rPr>
                  <w:t>Žemdirbiai nuolat domisi naujovėmis, pažangiu ūkininkavimu. Jiems aktualu ne tik dirvožemio gerinimas ir įvairių trąšų naudojimas, bet ir kaip efektyviai, taupiai naudoti išteklius. Ūkininkai renkasi įvairius žemės dirbimo būdus, agrotechnologijas, laikosi aplinkosauginių reikalavimų. Ūkiuose atnaujinama žemės ūkio technika, kuri registruojama vadovaujantis Lietuvos Respublikos Žemės ūkio ministro įsakymu 2006 m. spalio 2 d. Nr. 3D-384 „Dėl traktorių, savaeigių ir žemės ūkio mašinų ir jų priekabų registravimo taisyklių patvirtinimo“. Atliekama traktorių, savaeigių ir žemės ūkio mašinų ir jų priekabų techninė apžiūra.</w:t>
                </w:r>
              </w:p>
              <w:p>
                <w:pPr>
                  <w:keepNext/>
                  <w:jc w:val="both"/>
                  <w:rPr>
                    <w:rFonts w:eastAsia="Calibri"/>
                    <w:szCs w:val="24"/>
                  </w:rPr>
                </w:pPr>
                <w:r>
                  <w:rPr>
                    <w:rFonts w:eastAsia="Calibri"/>
                    <w:szCs w:val="24"/>
                  </w:rPr>
                  <w:t xml:space="preserve">Registruojami prašymai, organizuojamas komisijos darbas pasėliams padarytai žalai, bei medžiojamų gyvūnų padarytai žalai nustatyti ir nuostoliams kompensuoti. </w:t>
                </w:r>
              </w:p>
              <w:p>
                <w:pPr>
                  <w:jc w:val="both"/>
                  <w:rPr>
                    <w:rFonts w:eastAsia="Calibri"/>
                    <w:bCs/>
                    <w:szCs w:val="24"/>
                  </w:rPr>
                </w:pPr>
                <w:r>
                  <w:rPr>
                    <w:rFonts w:eastAsia="Calibri"/>
                    <w:szCs w:val="24"/>
                  </w:rPr>
                  <w:t xml:space="preserve">Kuriantis ūkiams ar tęsiant ūkinės veiklos vykdymą reikia didinti žemės ūkio naudmenų plotą, todėl svarbu </w:t>
                </w:r>
                <w:r>
                  <w:rPr>
                    <w:rFonts w:eastAsia="Calibri"/>
                    <w:bCs/>
                    <w:szCs w:val="24"/>
                  </w:rPr>
                  <w:t>tvarkyti melioruotų žemių ir melioracijos įrenginių kadastrą, kurti skaitmeninį melioracijos projektinės dokumentacijos archyvą, kontroliuoti kitų žinybų darbus, turinčius įtakos melioracijos įrenginiams bei vandens režimui melioruotose žemėse.</w:t>
                </w:r>
                <w:r>
                  <w:rPr>
                    <w:rFonts w:eastAsia="Calibri"/>
                    <w:szCs w:val="24"/>
                  </w:rPr>
                  <w:t xml:space="preserve"> </w:t>
                </w:r>
              </w:p>
              <w:p>
                <w:pPr>
                  <w:rPr>
                    <w:sz w:val="10"/>
                    <w:szCs w:val="10"/>
                  </w:rPr>
                </w:pPr>
              </w:p>
              <w:p>
                <w:pPr>
                  <w:rPr>
                    <w:rFonts w:eastAsia="Calibri"/>
                    <w:b/>
                    <w:szCs w:val="24"/>
                  </w:rPr>
                </w:pPr>
                <w:r>
                  <w:rPr>
                    <w:rFonts w:eastAsia="Calibri"/>
                    <w:szCs w:val="24"/>
                  </w:rPr>
                  <w:t>Vykdomas administracinių paslaugų teikimas, susijęs su žemės ūkio veikla Alytaus miesto savivaldybės gyventojams pagal savivaldybių susitarimą patvirtintą 2017 m. balandžio 14 d. sutartimi.</w:t>
                </w:r>
              </w:p>
              <w:p>
                <w:pPr>
                  <w:rPr>
                    <w:sz w:val="10"/>
                    <w:szCs w:val="10"/>
                  </w:rPr>
                </w:pPr>
              </w:p>
              <w:p>
                <w:pPr>
                  <w:jc w:val="both"/>
                  <w:rPr>
                    <w:szCs w:val="24"/>
                    <w:lang w:eastAsia="en-GB"/>
                  </w:rPr>
                </w:pPr>
                <w:r>
                  <w:rPr>
                    <w:b/>
                    <w:bCs/>
                    <w:i/>
                  </w:rPr>
                  <w:t>02 priemonė.</w:t>
                </w:r>
                <w:r>
                  <w:rPr>
                    <w:bCs/>
                    <w:i/>
                  </w:rPr>
                  <w:t xml:space="preserve"> </w:t>
                </w:r>
                <w:r>
                  <w:rPr>
                    <w:i/>
                    <w:szCs w:val="24"/>
                  </w:rPr>
                  <w:t>Žemės ūkio funkcijų administravimas.</w:t>
                </w:r>
                <w:r>
                  <w:rPr>
                    <w:b/>
                    <w:szCs w:val="24"/>
                  </w:rPr>
                  <w:t xml:space="preserve"> </w:t>
                </w:r>
                <w:r>
                  <w:rPr>
                    <w:rFonts w:eastAsia="Calibri"/>
                    <w:szCs w:val="24"/>
                  </w:rPr>
                  <w:t xml:space="preserve">Vykdant šią priemonę surenkami reikiami dokumentai ūkio registravimui  ir išregistravimui, teikiamos konsultacijos. Išduodami nustatytos formos ūkininko pažymėjimai</w:t>
                </w:r>
                <w:r>
                  <w:rPr>
                    <w:rFonts w:eastAsia="Calibri"/>
                    <w:i/>
                    <w:szCs w:val="24"/>
                  </w:rPr>
                  <w:t>.</w:t>
                </w:r>
              </w:p>
              <w:p>
                <w:pPr>
                  <w:rPr>
                    <w:sz w:val="10"/>
                    <w:szCs w:val="10"/>
                  </w:rPr>
                </w:pPr>
              </w:p>
              <w:p>
                <w:pPr>
                  <w:jc w:val="both"/>
                  <w:rPr>
                    <w:b/>
                    <w:szCs w:val="24"/>
                  </w:rPr>
                </w:pPr>
                <w:r>
                  <w:rPr>
                    <w:i/>
                    <w:szCs w:val="24"/>
                    <w:u w:val="single"/>
                  </w:rPr>
                  <w:t>Rezultato vertinimo kriterijai:</w:t>
                </w:r>
                <w:r>
                  <w:rPr>
                    <w:b/>
                    <w:szCs w:val="24"/>
                  </w:rPr>
                  <w:t xml:space="preserve"> </w:t>
                </w:r>
              </w:p>
              <w:p>
                <w:pPr>
                  <w:rPr>
                    <w:sz w:val="10"/>
                    <w:szCs w:val="10"/>
                  </w:rPr>
                </w:pPr>
              </w:p>
              <w:p>
                <w:pPr>
                  <w:jc w:val="both"/>
                  <w:rPr>
                    <w:szCs w:val="24"/>
                  </w:rPr>
                </w:pPr>
                <w:r>
                  <w:rPr>
                    <w:szCs w:val="24"/>
                  </w:rPr>
                  <w:t>Administruota programų, suteikta žemės ūkio subjektams paslaugų, atlikta kitų darbų susijusių su perduotomis funkcijomis, vnt.</w:t>
                </w:r>
                <w:r>
                  <w:rPr>
                    <w:bCs/>
                    <w:szCs w:val="24"/>
                  </w:rPr>
                  <w:t xml:space="preserve"> –</w:t>
                </w:r>
                <w:r>
                  <w:rPr>
                    <w:szCs w:val="24"/>
                  </w:rPr>
                  <w:t xml:space="preserve"> 61455.</w:t>
                </w:r>
              </w:p>
              <w:p>
                <w:pPr>
                  <w:jc w:val="both"/>
                  <w:rPr>
                    <w:b/>
                    <w:szCs w:val="24"/>
                  </w:rPr>
                </w:pPr>
                <w:r>
                  <w:rPr>
                    <w:szCs w:val="24"/>
                  </w:rPr>
                  <w:t>Ūkininkų ūkių įregistravimas, pažymėjimų išdavimas, vnt. – 100.</w:t>
                </w:r>
              </w:p>
            </w:tc>
          </w:tr>
          <w:tr>
            <w:trPr>
              <w:trHeight w:val="465"/>
            </w:trPr>
            <w:tc>
              <w:tcPr>
                <w:tcW w:w="2972" w:type="dxa"/>
                <w:vAlign w:val="center"/>
              </w:tcPr>
              <w:p>
                <w:pPr>
                  <w:rPr>
                    <w:b/>
                    <w:szCs w:val="24"/>
                  </w:rPr>
                </w:pPr>
                <w:r>
                  <w:rPr>
                    <w:b/>
                    <w:sz w:val="22"/>
                    <w:szCs w:val="24"/>
                  </w:rPr>
                  <w:t>Programos tikslas</w:t>
                </w:r>
              </w:p>
            </w:tc>
            <w:tc>
              <w:tcPr>
                <w:tcW w:w="5056" w:type="dxa"/>
                <w:vAlign w:val="center"/>
              </w:tcPr>
              <w:p>
                <w:pPr>
                  <w:jc w:val="both"/>
                  <w:rPr>
                    <w:b/>
                    <w:bCs/>
                    <w:szCs w:val="24"/>
                  </w:rPr>
                </w:pPr>
                <w:r>
                  <w:rPr>
                    <w:b/>
                    <w:szCs w:val="24"/>
                  </w:rPr>
                  <w:t>Gerinti žemės ūkio produkcijos gamybos sąlygas, koordinuoti bei išsaugoti melioruotų žemių fondą</w:t>
                </w:r>
              </w:p>
            </w:tc>
            <w:tc>
              <w:tcPr>
                <w:tcW w:w="900" w:type="dxa"/>
                <w:vAlign w:val="center"/>
              </w:tcPr>
              <w:p>
                <w:pPr>
                  <w:jc w:val="center"/>
                  <w:rPr>
                    <w:b/>
                    <w:szCs w:val="24"/>
                  </w:rPr>
                </w:pPr>
                <w:r>
                  <w:rPr>
                    <w:b/>
                    <w:sz w:val="22"/>
                    <w:szCs w:val="24"/>
                  </w:rPr>
                  <w:t>Kodas</w:t>
                </w:r>
              </w:p>
            </w:tc>
            <w:tc>
              <w:tcPr>
                <w:tcW w:w="720" w:type="dxa"/>
                <w:vAlign w:val="center"/>
              </w:tcPr>
              <w:p>
                <w:pPr>
                  <w:jc w:val="center"/>
                  <w:rPr>
                    <w:b/>
                    <w:bCs/>
                    <w:szCs w:val="24"/>
                  </w:rPr>
                </w:pPr>
                <w:r>
                  <w:rPr>
                    <w:b/>
                    <w:bCs/>
                    <w:sz w:val="22"/>
                    <w:szCs w:val="24"/>
                  </w:rPr>
                  <w:t>02</w:t>
                </w:r>
              </w:p>
            </w:tc>
          </w:tr>
          <w:tr>
            <w:trPr>
              <w:trHeight w:val="416"/>
            </w:trPr>
            <w:tc>
              <w:tcPr>
                <w:tcW w:w="9648" w:type="dxa"/>
                <w:gridSpan w:val="4"/>
              </w:tcPr>
              <w:p>
                <w:pPr>
                  <w:rPr>
                    <w:sz w:val="10"/>
                    <w:szCs w:val="10"/>
                  </w:rPr>
                </w:pPr>
              </w:p>
              <w:p>
                <w:pPr>
                  <w:jc w:val="both"/>
                  <w:rPr>
                    <w:rFonts w:eastAsia="Calibri"/>
                    <w:b/>
                    <w:bCs/>
                    <w:szCs w:val="24"/>
                  </w:rPr>
                </w:pPr>
                <w:r>
                  <w:rPr>
                    <w:rFonts w:eastAsia="Calibri"/>
                    <w:b/>
                    <w:bCs/>
                    <w:szCs w:val="24"/>
                  </w:rPr>
                  <w:t>Tikslo įgyvendinimo aprašymas</w:t>
                </w:r>
                <w:r>
                  <w:rPr>
                    <w:rFonts w:eastAsia="Calibri"/>
                    <w:bCs/>
                    <w:szCs w:val="24"/>
                  </w:rPr>
                  <w:t xml:space="preserve">: </w:t>
                </w:r>
                <w:r>
                  <w:rPr>
                    <w:bCs/>
                    <w:szCs w:val="24"/>
                  </w:rPr>
                  <w:t>Siekiama tinkamai naudoti, prižiūrėti ir saugoti melioruotas žemes ir melioracijos statinius, juos remontuoti, rekonstruoti, modernizuoti, gerinant statinių būklę, drenažo sistemų veikimą, didinti naudmenų plotą.</w:t>
                </w:r>
                <w:r>
                  <w:rPr>
                    <w:rFonts w:eastAsia="Calibri"/>
                    <w:b/>
                    <w:bCs/>
                    <w:szCs w:val="24"/>
                  </w:rPr>
                  <w:t xml:space="preserve"> </w:t>
                </w:r>
                <w:r>
                  <w:rPr>
                    <w:rFonts w:eastAsia="Calibri"/>
                    <w:bCs/>
                    <w:szCs w:val="24"/>
                  </w:rPr>
                  <w:t>Šiam tikslui įgyvendinti keliamas šis uždavinys:</w:t>
                </w:r>
              </w:p>
              <w:p>
                <w:pPr>
                  <w:rPr>
                    <w:sz w:val="10"/>
                    <w:szCs w:val="10"/>
                  </w:rPr>
                </w:pPr>
              </w:p>
              <w:p>
                <w:pPr>
                  <w:spacing w:line="259" w:lineRule="auto"/>
                  <w:jc w:val="both"/>
                  <w:rPr>
                    <w:rFonts w:eastAsia="Calibri"/>
                    <w:b/>
                    <w:bCs/>
                    <w:szCs w:val="24"/>
                  </w:rPr>
                </w:pPr>
                <w:r>
                  <w:rPr>
                    <w:rFonts w:eastAsia="Calibri"/>
                    <w:b/>
                    <w:bCs/>
                    <w:szCs w:val="24"/>
                  </w:rPr>
                  <w:t xml:space="preserve">01 uždavinys. Užtikrinti melioracijos įrenginių hidrotechnikos statinių normalų funkcionavimą ir išsaugoti žemės ūkiui tinkamą nusausintų žemių būklę. </w:t>
                </w:r>
              </w:p>
              <w:p>
                <w:pPr>
                  <w:rPr>
                    <w:sz w:val="10"/>
                    <w:szCs w:val="10"/>
                  </w:rPr>
                </w:pPr>
              </w:p>
              <w:p>
                <w:pPr>
                  <w:ind w:firstLine="567"/>
                  <w:jc w:val="both"/>
                  <w:rPr>
                    <w:rFonts w:eastAsia="Calibri"/>
                    <w:bCs/>
                    <w:szCs w:val="24"/>
                  </w:rPr>
                </w:pPr>
                <w:r>
                  <w:rPr>
                    <w:rFonts w:eastAsia="Calibri"/>
                    <w:bCs/>
                    <w:szCs w:val="24"/>
                  </w:rPr>
                  <w:t xml:space="preserve">Užtikrinamas melioracijos įrenginių hidrotechnikos statinių normalus funkcionavimas ir </w:t>
                </w:r>
                <w:r>
                  <w:rPr>
                    <w:rFonts w:eastAsia="Calibri"/>
                    <w:szCs w:val="24"/>
                  </w:rPr>
                  <w:t>saugojama žemės ūkiui tinkamos nusausintos žemės būklė.</w:t>
                </w:r>
              </w:p>
              <w:p>
                <w:pPr>
                  <w:ind w:firstLine="567"/>
                  <w:jc w:val="both"/>
                  <w:rPr>
                    <w:rFonts w:eastAsia="Calibri"/>
                    <w:bCs/>
                    <w:szCs w:val="24"/>
                  </w:rPr>
                </w:pPr>
                <w:r>
                  <w:rPr>
                    <w:rFonts w:eastAsia="Calibri"/>
                    <w:b/>
                    <w:i/>
                    <w:szCs w:val="24"/>
                  </w:rPr>
                  <w:t>01 priemonė</w:t>
                </w:r>
                <w:r>
                  <w:rPr>
                    <w:rFonts w:eastAsia="Calibri"/>
                    <w:i/>
                    <w:szCs w:val="24"/>
                  </w:rPr>
                  <w:t xml:space="preserve">. Melioracijos ir hidrotechnikos statinių valdymas ir naudojimas. </w:t>
                </w:r>
                <w:r>
                  <w:rPr>
                    <w:rFonts w:eastAsia="Calibri"/>
                    <w:bCs/>
                    <w:szCs w:val="24"/>
                  </w:rPr>
                  <w:t>Vykdoma melioracijos statinių priežiūros darbai, eksploatuojamos sausinimo siurblinės ir vykdoma hidrotechninių įrenginių priežiūra. Drenažo sistemų, magistralinių melioracijos griovių, sausinimo sistemų bei pralaidų remontas. Atliekamos projektavimo ir ekspertizės paslaugos. Kaupiami, sisteminami, atnaujinami ir saugojami pagrindiniai melioracijos kadastro duomenys, skenuojama melioracijos projektinė dokumentacija, pririšant ją LKS-94 koordinačių sistemoje.</w:t>
                </w:r>
              </w:p>
              <w:p>
                <w:pPr>
                  <w:rPr>
                    <w:sz w:val="10"/>
                    <w:szCs w:val="10"/>
                  </w:rPr>
                </w:pPr>
              </w:p>
              <w:p>
                <w:pPr>
                  <w:jc w:val="both"/>
                  <w:rPr>
                    <w:i/>
                    <w:szCs w:val="24"/>
                    <w:u w:val="single"/>
                  </w:rPr>
                </w:pPr>
                <w:r>
                  <w:rPr>
                    <w:i/>
                    <w:szCs w:val="24"/>
                    <w:u w:val="single"/>
                  </w:rPr>
                  <w:t>Rezultato vertinimo kriterijai:</w:t>
                </w:r>
              </w:p>
              <w:p>
                <w:pPr>
                  <w:rPr>
                    <w:sz w:val="10"/>
                    <w:szCs w:val="10"/>
                  </w:rPr>
                </w:pPr>
              </w:p>
              <w:p>
                <w:pPr>
                  <w:ind w:firstLine="62"/>
                  <w:jc w:val="both"/>
                  <w:rPr>
                    <w:szCs w:val="24"/>
                  </w:rPr>
                </w:pPr>
                <w:r>
                  <w:rPr>
                    <w:szCs w:val="24"/>
                  </w:rPr>
                  <w:t>žemių gerinimas, melioruotų žemės fondų išsaugojimas, vnt. – 21</w:t>
                </w:r>
              </w:p>
              <w:p>
                <w:pPr>
                  <w:jc w:val="both"/>
                  <w:rPr>
                    <w:szCs w:val="24"/>
                  </w:rPr>
                </w:pPr>
              </w:p>
              <w:p>
                <w:pPr>
                  <w:jc w:val="both"/>
                  <w:rPr>
                    <w:rFonts w:eastAsia="Calibri"/>
                    <w:szCs w:val="24"/>
                  </w:rPr>
                </w:pPr>
                <w:r>
                  <w:rPr>
                    <w:b/>
                    <w:i/>
                    <w:szCs w:val="24"/>
                  </w:rPr>
                  <w:t>02 priemonė</w:t>
                </w:r>
                <w:r>
                  <w:rPr>
                    <w:i/>
                    <w:szCs w:val="24"/>
                  </w:rPr>
                  <w:t xml:space="preserve">. Melioracijos sistemų ir statinių remontas ir rekonstrukcija. </w:t>
                </w:r>
                <w:r>
                  <w:rPr>
                    <w:rFonts w:eastAsia="Calibri"/>
                    <w:szCs w:val="24"/>
                  </w:rPr>
                  <w:t>Rekonstruojamos drenažo sistemos, melioracijos grioviai ir juose esantys įrenginiai. Atliekama planinės dokumentacijos analizė, parenkamos užduotys projektams, atliekama jų vykdymo priežiūra.</w:t>
                </w:r>
              </w:p>
              <w:p>
                <w:pPr>
                  <w:jc w:val="both"/>
                  <w:rPr>
                    <w:i/>
                    <w:szCs w:val="24"/>
                    <w:u w:val="single"/>
                  </w:rPr>
                </w:pPr>
                <w:r>
                  <w:rPr>
                    <w:rFonts w:eastAsia="Calibri"/>
                    <w:i/>
                    <w:szCs w:val="24"/>
                    <w:u w:val="single"/>
                  </w:rPr>
                  <w:t>Rezultato vertinimo kriterijai:</w:t>
                </w:r>
              </w:p>
              <w:p>
                <w:pPr>
                  <w:jc w:val="both"/>
                  <w:rPr>
                    <w:i/>
                    <w:szCs w:val="24"/>
                  </w:rPr>
                </w:pPr>
                <w:r>
                  <w:rPr>
                    <w:szCs w:val="24"/>
                  </w:rPr>
                  <w:t xml:space="preserve">Melioracijos griovių  rekonstrukcija – 17 km.</w:t>
                </w:r>
              </w:p>
            </w:tc>
          </w:tr>
          <w:tr>
            <w:tc>
              <w:tcPr>
                <w:tcW w:w="2972" w:type="dxa"/>
                <w:vAlign w:val="center"/>
              </w:tcPr>
              <w:p>
                <w:pPr>
                  <w:keepNext/>
                  <w:rPr>
                    <w:b/>
                    <w:bCs/>
                    <w:szCs w:val="24"/>
                  </w:rPr>
                </w:pPr>
                <w:r>
                  <w:rPr>
                    <w:b/>
                    <w:bCs/>
                    <w:szCs w:val="24"/>
                  </w:rPr>
                  <w:t>Programos tikslas</w:t>
                </w:r>
              </w:p>
            </w:tc>
            <w:tc>
              <w:tcPr>
                <w:tcW w:w="5056" w:type="dxa"/>
                <w:vAlign w:val="center"/>
              </w:tcPr>
              <w:p>
                <w:pPr>
                  <w:jc w:val="both"/>
                  <w:rPr>
                    <w:b/>
                    <w:szCs w:val="24"/>
                  </w:rPr>
                </w:pPr>
                <w:r>
                  <w:rPr>
                    <w:b/>
                    <w:bCs/>
                    <w:szCs w:val="24"/>
                  </w:rPr>
                  <w:t>Modernizuoti žemės ūkį ir alternatyvius verslus, didinti verslumą, žemės ūkio konkurencingumą, sudaryti sąlygas infrastruktūros plėtrai, aktyvinti bendruomeninę veiklą</w:t>
                </w:r>
              </w:p>
            </w:tc>
            <w:tc>
              <w:tcPr>
                <w:tcW w:w="900" w:type="dxa"/>
                <w:vAlign w:val="center"/>
              </w:tcPr>
              <w:p>
                <w:pPr>
                  <w:keepNext/>
                  <w:jc w:val="center"/>
                  <w:rPr>
                    <w:b/>
                    <w:bCs/>
                    <w:szCs w:val="24"/>
                  </w:rPr>
                </w:pPr>
                <w:r>
                  <w:rPr>
                    <w:b/>
                    <w:bCs/>
                    <w:szCs w:val="24"/>
                  </w:rPr>
                  <w:t>Kodas</w:t>
                </w:r>
              </w:p>
            </w:tc>
            <w:tc>
              <w:tcPr>
                <w:tcW w:w="720" w:type="dxa"/>
                <w:vAlign w:val="center"/>
              </w:tcPr>
              <w:p>
                <w:pPr>
                  <w:jc w:val="center"/>
                  <w:rPr>
                    <w:b/>
                    <w:szCs w:val="24"/>
                  </w:rPr>
                </w:pPr>
                <w:r>
                  <w:rPr>
                    <w:b/>
                    <w:szCs w:val="24"/>
                  </w:rPr>
                  <w:t>03</w:t>
                </w:r>
              </w:p>
            </w:tc>
          </w:tr>
          <w:tr>
            <w:tc>
              <w:tcPr>
                <w:tcW w:w="9648" w:type="dxa"/>
                <w:gridSpan w:val="4"/>
              </w:tcPr>
              <w:p>
                <w:pPr>
                  <w:rPr>
                    <w:sz w:val="10"/>
                    <w:szCs w:val="10"/>
                  </w:rPr>
                </w:pPr>
              </w:p>
              <w:p>
                <w:pPr>
                  <w:jc w:val="both"/>
                  <w:rPr>
                    <w:b/>
                    <w:bCs/>
                    <w:szCs w:val="24"/>
                  </w:rPr>
                </w:pPr>
                <w:r>
                  <w:rPr>
                    <w:b/>
                    <w:bCs/>
                    <w:szCs w:val="24"/>
                  </w:rPr>
                  <w:t xml:space="preserve">Tikslo įgyvendinimo aprašymas: </w:t>
                </w:r>
                <w:r>
                  <w:rPr>
                    <w:szCs w:val="24"/>
                    <w:lang w:val="en-US"/>
                  </w:rPr>
                  <w:t>siekiama skatinti paramos gavėjus plėsti ir modernizuoti žemės ūkį ir alternatyvius verslus, teikti informaciją bei naujausių pasiekimų sklaidą tarp žemdirbių, didinti užimtumą (verslumą),</w:t>
                </w:r>
                <w:r>
                  <w:rPr>
                    <w:szCs w:val="24"/>
                    <w:lang w:val="en-US" w:eastAsia="lt-LT"/>
                  </w:rPr>
                  <w:t xml:space="preserve"> didinti žemės ūkio konkurencingumą, sudaryti tinkamas sąlygas infrastruktūros plėtrai, gerinti aplinkos apsaugą, teikti paramą rajono kaimo bendruomenių iš kitų fondų finansuojamų projektų, kurie, skatina kaimo plėtrą ir kaimo gyventojų iniciatyvumą, ugdo partnerystę ir bendruomeniškumą, kuria patrauklią ir patogią gyvenamąją aplinką rajone. Aktyvinti Alytaus rajono nevyriausybines organizacijas, skatinant dalyvavimą kultūriniame bei visuomeniniame rajono gyvenime, užtikrinant gyvenimo kokybę Alytaus rajone ir suteikiant gyventojams platesnes galimybes tenkinti įvairiapusius poreikius. Tikslui įgyvendinti iškeliamas uždavinys:</w:t>
                </w:r>
              </w:p>
              <w:p>
                <w:pPr>
                  <w:rPr>
                    <w:sz w:val="10"/>
                    <w:szCs w:val="10"/>
                  </w:rPr>
                </w:pPr>
              </w:p>
              <w:p>
                <w:pPr>
                  <w:spacing w:line="259" w:lineRule="auto"/>
                  <w:jc w:val="both"/>
                  <w:rPr>
                    <w:rFonts w:eastAsia="Calibri"/>
                    <w:b/>
                    <w:szCs w:val="24"/>
                    <w:lang w:eastAsia="lt-LT"/>
                  </w:rPr>
                </w:pPr>
                <w:r>
                  <w:rPr>
                    <w:rFonts w:eastAsia="Calibri"/>
                    <w:b/>
                    <w:szCs w:val="24"/>
                    <w:lang w:eastAsia="lt-LT"/>
                  </w:rPr>
                  <w:t>01 uždavinys. Plėtoti asociacijų, bendruomenių veiklą ir jų kūrimąsi, skatinti paklausių netradicinių žemės ūkio produktų gamybos plėtrą, skatinti verslą kaime, remti bendruomenių iniciatyvas.</w:t>
                </w:r>
              </w:p>
              <w:p>
                <w:pPr>
                  <w:rPr>
                    <w:sz w:val="10"/>
                    <w:szCs w:val="10"/>
                  </w:rPr>
                </w:pPr>
              </w:p>
              <w:p>
                <w:pPr>
                  <w:spacing w:line="259" w:lineRule="auto"/>
                  <w:jc w:val="both"/>
                  <w:rPr>
                    <w:rFonts w:eastAsia="Calibri"/>
                    <w:i/>
                    <w:szCs w:val="24"/>
                    <w:lang w:eastAsia="lt-LT"/>
                  </w:rPr>
                </w:pPr>
                <w:r>
                  <w:rPr>
                    <w:rFonts w:eastAsia="Calibri"/>
                    <w:b/>
                    <w:i/>
                    <w:szCs w:val="24"/>
                    <w:lang w:eastAsia="lt-LT"/>
                  </w:rPr>
                  <w:t>01 priemonė</w:t>
                </w:r>
                <w:r>
                  <w:rPr>
                    <w:rFonts w:eastAsia="Calibri"/>
                    <w:i/>
                    <w:szCs w:val="24"/>
                    <w:lang w:eastAsia="lt-LT"/>
                  </w:rPr>
                  <w:t>. Žemės ūkio ir kaimo bendruomenių projektų finansavimas. Nevyriausybinių organizacijų projektų finansavimas.</w:t>
                </w:r>
                <w:r>
                  <w:rPr>
                    <w:rFonts w:eastAsia="Calibri"/>
                    <w:szCs w:val="24"/>
                    <w:lang w:eastAsia="lt-LT"/>
                  </w:rPr>
                  <w:t xml:space="preserve"> </w:t>
                </w:r>
                <w:r>
                  <w:rPr>
                    <w:szCs w:val="24"/>
                    <w:lang w:val="en-US"/>
                  </w:rPr>
                  <w:t xml:space="preserve">Vykdant šią priemonę </w:t>
                </w:r>
                <w:r>
                  <w:rPr>
                    <w:szCs w:val="24"/>
                    <w:lang w:val="en-US" w:eastAsia="lt-LT"/>
                  </w:rPr>
                  <w:t>atliekamos šios funkcijos:</w:t>
                </w:r>
                <w:r>
                  <w:rPr>
                    <w:szCs w:val="24"/>
                    <w:lang w:val="en-US"/>
                  </w:rPr>
                  <w:t xml:space="preserve"> </w:t>
                </w:r>
                <w:r>
                  <w:rPr>
                    <w:szCs w:val="24"/>
                    <w:lang w:val="en-US" w:eastAsia="lt-LT"/>
                  </w:rPr>
                  <w:t>naujų darbo vietų kūrimas kaime, plėtojama asociacijų, bendruomenių veikla, teikiamos žemės ūkio mokymo ir konsultavimo paslaugos, diegiamos naujos – modernios inžinerinės infrastruktūros, gerinama melioracijos statinių techninė būklė, skatinama aplinką tausojančio žemės ūkio plėtra.</w:t>
                </w:r>
                <w:r>
                  <w:rPr>
                    <w:szCs w:val="24"/>
                    <w:lang w:val="en-US"/>
                  </w:rPr>
                  <w:t xml:space="preserve"> Vadovaujantis Alytaus rajono nevyriausybinių organizacijų projektų finansavimo iš savivaldybės biudžeto lėšų tvarkos aprašu, patvirtintu Alytaus rajono savivaldybės tarybos 2020 m gruodžio 28 d. sprendimu Nr. K-268, finansuoti nevyriausybinių organizacijų projektus ir iniciatyvas, kurios stiprina nevyriausybinių organizacijų veiklą, teikiant naudą ne tik nevyriausybinių organizacijų veiklų dalyviams, bet ir Alytaus rajono visuomenei, vystant bendruomeniškumą seniūnijose, pagarbą tautinėms ir kultūrinėms vertybėms.</w:t>
                </w:r>
              </w:p>
              <w:p>
                <w:pPr>
                  <w:rPr>
                    <w:sz w:val="10"/>
                    <w:szCs w:val="10"/>
                  </w:rPr>
                </w:pPr>
              </w:p>
              <w:p>
                <w:pPr>
                  <w:jc w:val="both"/>
                  <w:rPr>
                    <w:b/>
                    <w:szCs w:val="24"/>
                    <w:u w:val="single"/>
                  </w:rPr>
                </w:pPr>
                <w:r>
                  <w:rPr>
                    <w:i/>
                    <w:szCs w:val="24"/>
                    <w:u w:val="single"/>
                  </w:rPr>
                  <w:t>Rezultato vertinimo kriterijai:</w:t>
                </w:r>
                <w:r>
                  <w:rPr>
                    <w:b/>
                    <w:szCs w:val="24"/>
                    <w:u w:val="single"/>
                  </w:rPr>
                  <w:t xml:space="preserve"> </w:t>
                </w:r>
              </w:p>
              <w:p>
                <w:pPr>
                  <w:rPr>
                    <w:sz w:val="10"/>
                    <w:szCs w:val="10"/>
                  </w:rPr>
                </w:pPr>
              </w:p>
              <w:p>
                <w:pPr>
                  <w:jc w:val="both"/>
                  <w:rPr>
                    <w:szCs w:val="24"/>
                  </w:rPr>
                </w:pPr>
                <w:r>
                  <w:rPr>
                    <w:szCs w:val="24"/>
                  </w:rPr>
                  <w:t>skiriamas finansavimas žemės ūkio ir kaimo bendruomenėms bei kitiems ūkio subjektams, tūkst. Eur – 180,0.</w:t>
                </w:r>
              </w:p>
            </w:tc>
          </w:tr>
          <w:tr>
            <w:trPr>
              <w:trHeight w:val="503"/>
            </w:trPr>
            <w:tc>
              <w:tcPr>
                <w:tcW w:w="2972" w:type="dxa"/>
                <w:vAlign w:val="center"/>
              </w:tcPr>
              <w:p>
                <w:pPr>
                  <w:keepNext/>
                  <w:rPr>
                    <w:b/>
                    <w:bCs/>
                    <w:szCs w:val="24"/>
                  </w:rPr>
                </w:pPr>
                <w:r>
                  <w:rPr>
                    <w:b/>
                    <w:bCs/>
                    <w:szCs w:val="24"/>
                  </w:rPr>
                  <w:t>Programos tikslas</w:t>
                </w:r>
              </w:p>
            </w:tc>
            <w:tc>
              <w:tcPr>
                <w:tcW w:w="5056" w:type="dxa"/>
                <w:vAlign w:val="center"/>
              </w:tcPr>
              <w:p>
                <w:pPr>
                  <w:jc w:val="both"/>
                  <w:rPr>
                    <w:b/>
                    <w:szCs w:val="24"/>
                  </w:rPr>
                </w:pPr>
                <w:r>
                  <w:rPr>
                    <w:b/>
                    <w:szCs w:val="24"/>
                  </w:rPr>
                  <w:t xml:space="preserve">Sudaryti sąlygas Alytaus rajono gyventojams saugiai ir tvarkingai atsikratyti buityje susidarančių atliekų </w:t>
                </w:r>
              </w:p>
            </w:tc>
            <w:tc>
              <w:tcPr>
                <w:tcW w:w="900" w:type="dxa"/>
                <w:vAlign w:val="center"/>
              </w:tcPr>
              <w:p>
                <w:pPr>
                  <w:keepNext/>
                  <w:jc w:val="center"/>
                  <w:rPr>
                    <w:b/>
                    <w:bCs/>
                    <w:szCs w:val="24"/>
                  </w:rPr>
                </w:pPr>
                <w:r>
                  <w:rPr>
                    <w:b/>
                    <w:bCs/>
                    <w:szCs w:val="24"/>
                  </w:rPr>
                  <w:t>Kodas</w:t>
                </w:r>
              </w:p>
            </w:tc>
            <w:tc>
              <w:tcPr>
                <w:tcW w:w="720" w:type="dxa"/>
                <w:vAlign w:val="center"/>
              </w:tcPr>
              <w:p>
                <w:pPr>
                  <w:jc w:val="center"/>
                  <w:rPr>
                    <w:b/>
                    <w:szCs w:val="24"/>
                  </w:rPr>
                </w:pPr>
                <w:r>
                  <w:rPr>
                    <w:b/>
                    <w:szCs w:val="24"/>
                  </w:rPr>
                  <w:t>04</w:t>
                </w:r>
              </w:p>
            </w:tc>
          </w:tr>
          <w:tr>
            <w:trPr>
              <w:trHeight w:val="707"/>
            </w:trPr>
            <w:tc>
              <w:tcPr>
                <w:tcW w:w="9648" w:type="dxa"/>
                <w:gridSpan w:val="4"/>
              </w:tcPr>
              <w:p>
                <w:pPr>
                  <w:rPr>
                    <w:sz w:val="8"/>
                    <w:szCs w:val="8"/>
                  </w:rPr>
                </w:pPr>
              </w:p>
              <w:p>
                <w:pPr>
                  <w:ind w:firstLine="360"/>
                  <w:jc w:val="both"/>
                  <w:rPr>
                    <w:b/>
                    <w:szCs w:val="24"/>
                  </w:rPr>
                </w:pPr>
                <w:r>
                  <w:rPr>
                    <w:b/>
                    <w:szCs w:val="24"/>
                  </w:rPr>
                  <w:t>Tikslo įgyvendinimo aprašyma</w:t>
                </w:r>
                <w:r>
                  <w:rPr>
                    <w:szCs w:val="24"/>
                  </w:rPr>
                  <w:t>s: įgyvendinant programą, siekiama užtikrinti pažangų, Lietuvos Respublikos vietos savivaldos įstatymo, Lietuvos Respublikos atliekų tvarkymo įstatymo reikalavimus atitinkantį komunalinių atliekų tvarkymą savivaldybės teritorijoje. Programos uždaviniai: surinkti ir pašalinti komunalines atliekas jų susidarymo vietose bei jas tvarkyti, užtikrinant kuo mažesnį neigiamą poveikį aplinkai, tausojant gamtos išteklius, užkertant kelią užkrečiamoms ligoms plisti, saugant aplinką nuo organinės, fizinės ir cheminės taršos, sukurti komunalinių atliekų tvarkymui reikalingą infrastruktūrą, formuoti tvarkingą, saugią gyventojų ir svečių poreikius atitinkančią, poilsiui tinkamą aplinką, užtikrinti viešosios komunalinių atliekų tvarkymo paslaugos teikimą visiems savivaldybės atliekų turėtojams.</w:t>
                </w:r>
                <w:r>
                  <w:rPr>
                    <w:b/>
                    <w:szCs w:val="24"/>
                  </w:rPr>
                  <w:t xml:space="preserve"> </w:t>
                </w:r>
                <w:r>
                  <w:rPr>
                    <w:szCs w:val="24"/>
                  </w:rPr>
                  <w:t>Siekiant kokybiškai vykdyti atliekų tvarkymo užduotis ir funkcijas numatomas uždavinys:</w:t>
                </w:r>
              </w:p>
              <w:p>
                <w:pPr>
                  <w:rPr>
                    <w:sz w:val="10"/>
                    <w:szCs w:val="10"/>
                  </w:rPr>
                </w:pPr>
              </w:p>
              <w:p>
                <w:pPr>
                  <w:jc w:val="both"/>
                  <w:rPr>
                    <w:b/>
                    <w:szCs w:val="24"/>
                  </w:rPr>
                </w:pPr>
                <w:r>
                  <w:rPr>
                    <w:b/>
                    <w:szCs w:val="24"/>
                  </w:rPr>
                  <w:t xml:space="preserve">01 uždavinys. Komunalinių atliekų surinkimas ir transportavimas iš Alytaus rajono savivaldybės atliekų turėtojų. </w:t>
                </w:r>
              </w:p>
              <w:p>
                <w:pPr>
                  <w:rPr>
                    <w:sz w:val="10"/>
                    <w:szCs w:val="10"/>
                  </w:rPr>
                </w:pPr>
              </w:p>
              <w:p>
                <w:pPr>
                  <w:ind w:firstLine="567"/>
                  <w:jc w:val="both"/>
                  <w:rPr>
                    <w:szCs w:val="24"/>
                  </w:rPr>
                </w:pPr>
                <w:r>
                  <w:rPr>
                    <w:bCs/>
                    <w:szCs w:val="24"/>
                  </w:rPr>
                  <w:t xml:space="preserve">Įgyvendinant šį uždavinį numatoma </w:t>
                </w:r>
                <w:r>
                  <w:rPr>
                    <w:szCs w:val="24"/>
                  </w:rPr>
                  <w:t>surinkti atliekas jų susidarymo vietose ir transportuoti jas iki regioninio sąvartyno. Tokiu būdu užkertant kelią užkrečiamų ligų plitimui, saugojant aplinką nuo organinės, fizinės ir cheminės taršos, užtikrinant viešosios komunalinių atliekų tvarkymo paslaugos teikimą visiems savivaldybės atliekų turėtojams.</w:t>
                </w:r>
              </w:p>
              <w:p>
                <w:pPr>
                  <w:ind w:firstLine="567"/>
                  <w:jc w:val="both"/>
                  <w:rPr>
                    <w:szCs w:val="24"/>
                  </w:rPr>
                </w:pPr>
                <w:r>
                  <w:rPr>
                    <w:bCs/>
                    <w:szCs w:val="24"/>
                  </w:rPr>
                  <w:t>Numatoma atvežtas komunalines atliekas tvarkyti, užtikrinant kuo mažesnį neigiamą poveikį aplinkai.</w:t>
                </w:r>
                <w:r>
                  <w:rPr>
                    <w:b/>
                    <w:szCs w:val="24"/>
                  </w:rPr>
                  <w:t xml:space="preserve"> </w:t>
                </w:r>
                <w:r>
                  <w:rPr>
                    <w:szCs w:val="24"/>
                  </w:rPr>
                  <w:t xml:space="preserve">Kompensacijos skiriamos Alytaus rajono savivaldybėje gyvenančioms šeimoms ar vieniems gyvenantiems asmenims, kurių vidutinės mėnesio pajamos neviršija 4 valstybės remiamų pajamų dydžio. </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b/>
                    <w:szCs w:val="24"/>
                  </w:rPr>
                </w:pPr>
                <w:r>
                  <w:rPr>
                    <w:szCs w:val="24"/>
                  </w:rPr>
                  <w:t>atliekų tvarkymas seniūnijose, seniūnijų skaičius – 11</w:t>
                </w:r>
              </w:p>
            </w:tc>
          </w:tr>
          <w:tr>
            <w:trPr>
              <w:trHeight w:val="699"/>
            </w:trPr>
            <w:tc>
              <w:tcPr>
                <w:tcW w:w="2972" w:type="dxa"/>
                <w:vAlign w:val="center"/>
              </w:tcPr>
              <w:p>
                <w:pPr>
                  <w:rPr>
                    <w:b/>
                    <w:szCs w:val="24"/>
                  </w:rPr>
                </w:pPr>
                <w:r>
                  <w:rPr>
                    <w:b/>
                    <w:sz w:val="22"/>
                    <w:szCs w:val="24"/>
                  </w:rPr>
                  <w:t>Programos tikslas</w:t>
                </w:r>
              </w:p>
            </w:tc>
            <w:tc>
              <w:tcPr>
                <w:tcW w:w="5056" w:type="dxa"/>
                <w:vAlign w:val="center"/>
              </w:tcPr>
              <w:p>
                <w:pPr>
                  <w:rPr>
                    <w:b/>
                    <w:szCs w:val="24"/>
                  </w:rPr>
                </w:pPr>
                <w:r>
                  <w:rPr>
                    <w:b/>
                    <w:sz w:val="22"/>
                    <w:szCs w:val="22"/>
                  </w:rPr>
                  <w:t>Užtikrinti gamtinės aplinkos išsaugojimą</w:t>
                </w:r>
              </w:p>
            </w:tc>
            <w:tc>
              <w:tcPr>
                <w:tcW w:w="900" w:type="dxa"/>
                <w:vAlign w:val="center"/>
              </w:tcPr>
              <w:p>
                <w:pPr>
                  <w:keepNext/>
                  <w:jc w:val="center"/>
                  <w:outlineLvl w:val="3"/>
                  <w:rPr>
                    <w:b/>
                    <w:bCs/>
                    <w:sz w:val="22"/>
                    <w:szCs w:val="24"/>
                  </w:rPr>
                </w:pPr>
                <w:r>
                  <w:rPr>
                    <w:b/>
                    <w:bCs/>
                    <w:sz w:val="22"/>
                    <w:szCs w:val="22"/>
                  </w:rPr>
                  <w:t>Kodas</w:t>
                </w:r>
              </w:p>
            </w:tc>
            <w:tc>
              <w:tcPr>
                <w:tcW w:w="720" w:type="dxa"/>
                <w:vAlign w:val="center"/>
              </w:tcPr>
              <w:p>
                <w:pPr>
                  <w:jc w:val="center"/>
                  <w:rPr>
                    <w:b/>
                    <w:szCs w:val="24"/>
                  </w:rPr>
                </w:pPr>
                <w:r>
                  <w:rPr>
                    <w:b/>
                    <w:sz w:val="22"/>
                    <w:szCs w:val="22"/>
                  </w:rPr>
                  <w:t>05</w:t>
                </w:r>
              </w:p>
            </w:tc>
          </w:tr>
          <w:tr>
            <w:trPr>
              <w:trHeight w:val="471"/>
            </w:trPr>
            <w:tc>
              <w:tcPr>
                <w:tcW w:w="9648" w:type="dxa"/>
                <w:gridSpan w:val="4"/>
                <w:shd w:val="clear" w:color="auto" w:fill="auto"/>
              </w:tcPr>
              <w:p>
                <w:pPr>
                  <w:rPr>
                    <w:sz w:val="10"/>
                    <w:szCs w:val="10"/>
                  </w:rPr>
                </w:pPr>
              </w:p>
              <w:p>
                <w:pPr>
                  <w:jc w:val="both"/>
                  <w:rPr>
                    <w:b/>
                    <w:szCs w:val="24"/>
                  </w:rPr>
                </w:pPr>
                <w:r>
                  <w:rPr>
                    <w:b/>
                    <w:szCs w:val="24"/>
                  </w:rPr>
                  <w:t xml:space="preserve">Tikslo įgyvendinimo aprašymas: </w:t>
                </w:r>
                <w:r>
                  <w:rPr>
                    <w:szCs w:val="24"/>
                  </w:rPr>
                  <w:t>įgyvendinant šį tikslą yra vykdoma biologinės įvairovės ir gamtos apsauga (medžiojamų gyvūnų daromos žalos prevencija, ypatingų ekologinių situacijų padarinių likvidavimo priemonės, visuomenės sveikatinimas, švietimas, aplinkos teršimo mažinimas, aplinkos monitoringas, aplinkos oro kokybės vertinimas, želdynų apsauga). Pastaruoju metu vis didesnis dėmesys Lietuvoje skiriamas gamtos išteklių ir aplinkos apsaugai, tai daryti įpareigoja ne tik Lietuvos, bet ir Europos Sąjungos teisės aktai. Todėl šia programa yra tobulinama aplinkosauginė infrastruktūra, kuriama sveika gyvenamoji aplinka, didinamas Alytaus rajono patrauklumas verslui, turizmui ir poilsiui, mažinama aplinkos teršimo šaltinių skaičius, sprendžiamos gyvosios gamtos, kraštovaizdžio, biologinės įvairovės išsaugojimo ir atkūrimo bei gamtos išteklių apsaugos problemos. Tikslui įgyvendinti iškeliami uždaviniai:</w:t>
                </w:r>
              </w:p>
              <w:p>
                <w:pPr>
                  <w:rPr>
                    <w:sz w:val="10"/>
                    <w:szCs w:val="10"/>
                  </w:rPr>
                </w:pPr>
              </w:p>
              <w:p>
                <w:pPr>
                  <w:jc w:val="both"/>
                  <w:rPr>
                    <w:b/>
                    <w:szCs w:val="24"/>
                  </w:rPr>
                </w:pPr>
                <w:r>
                  <w:rPr>
                    <w:b/>
                    <w:szCs w:val="24"/>
                  </w:rPr>
                  <w:t>01 uždavinys. Vykdyti biologinės įvairovės ir gamtos apsaugą, mažinti aplinkos teršimą, priemonėmis, kuriomis kompensuojama aplinkai padaryta žala.</w:t>
                </w:r>
              </w:p>
              <w:p>
                <w:pPr>
                  <w:rPr>
                    <w:sz w:val="10"/>
                    <w:szCs w:val="10"/>
                  </w:rPr>
                </w:pPr>
              </w:p>
              <w:p>
                <w:pPr>
                  <w:ind w:firstLine="567"/>
                  <w:jc w:val="both"/>
                  <w:rPr>
                    <w:szCs w:val="24"/>
                  </w:rPr>
                </w:pPr>
                <w:r>
                  <w:rPr>
                    <w:szCs w:val="24"/>
                  </w:rPr>
                  <w:t xml:space="preserve">Šiuo uždaviniu užtikrinama kokybiškas atliekų tvarkymas, želdynų ir želdinių apsauga, tvarkymas ir priežiūra, biologinės įvairovės, gyvosios gamtos bei kraštovaizdžio išsaugojimas, saugomų teritorijų priežiūra, tvarkymas ir gamtos paveldo objektų priežiūra, apsauga, steigimas, organizuojamas aplinkos monitoringas ir prevencija. </w:t>
                </w:r>
              </w:p>
              <w:p>
                <w:pPr>
                  <w:ind w:firstLine="567"/>
                  <w:jc w:val="both"/>
                  <w:rPr>
                    <w:szCs w:val="24"/>
                  </w:rPr>
                </w:pPr>
                <w:r>
                  <w:rPr>
                    <w:szCs w:val="24"/>
                  </w:rPr>
                  <w:t xml:space="preserve">Numatoma remti aplinkosaugos švietimo ir ugdymo projektus. Vadovaujantis aplinkos oro apsaugos įstatymu planuojama atlikti aplinkos oro kokybės vertinimą, bei užtikrinti sveiką gyvenamąją aplinką Alytaus rajono gyventojams. Taip pat organizuoti informacijos apie aplinką sklaidą spaudoje, interneto tinklapyje, rengiant ir leidžiant, prenumeruojant ir perkant informacinius pažintinius aplinkosauginės tematikos leidinius. Numatoma organizuoti aplinkosauginius renginius, visuomenės švietimą ir informavimą.  Planuojama atlikti aplinkos oro kokybės vertinimą, užtikrinant sveiką gyvenamąją aplinką Alytaus rajono gyventojams.</w:t>
                </w:r>
              </w:p>
              <w:p>
                <w:pPr>
                  <w:ind w:firstLine="567"/>
                  <w:jc w:val="both"/>
                  <w:rPr>
                    <w:szCs w:val="24"/>
                  </w:rPr>
                </w:pPr>
                <w:r>
                  <w:rPr>
                    <w:szCs w:val="24"/>
                  </w:rPr>
                  <w:t xml:space="preserve">Asbesto turinčių gaminių atliekų surinkimo apvažiavimo būdu, transportavimo ir saugaus šalinimo tikslas – skatinti gyventojus, įstaigas tvarkingai šalinti asbesto turinčių gaminių atliekas, kadangi toks atliekų surinkimas gyventojams, įstaigoms nemokamas ir nesudaro papildomų nepatogumų dėl transportavimo. Dotacija skirta asbesto turinčių gaminių atliekų surinkimui iš Alytaus rajono teritorijoje esamų visuomeninės paskirties ir individualių gyventojų pastatų apvažiavimo būdu, transportavimui ir saugiam pašalinimui. Sutvarkytas  asbesto turinčių gaminių atliekų kiekis  iš gyventojų ir visuomeninių pastatų. </w:t>
                </w:r>
              </w:p>
              <w:p>
                <w:pPr>
                  <w:rPr>
                    <w:sz w:val="10"/>
                    <w:szCs w:val="10"/>
                  </w:rPr>
                </w:pPr>
              </w:p>
              <w:p>
                <w:pPr>
                  <w:tabs>
                    <w:tab w:val="right" w:pos="0"/>
                  </w:tabs>
                  <w:jc w:val="both"/>
                </w:pPr>
                <w:r>
                  <w:rPr>
                    <w:b/>
                    <w:szCs w:val="24"/>
                  </w:rPr>
                  <w:t xml:space="preserve">02 uždavinys. </w:t>
                </w:r>
                <w:r>
                  <w:rPr>
                    <w:b/>
                  </w:rPr>
                  <w:t>Užtikrinti tinkamą kapinių priežiūrą, prižiūrėti ir tvarkyti bendrojo naudojimo objektus</w:t>
                </w:r>
                <w:r>
                  <w:rPr>
                    <w:b/>
                    <w:szCs w:val="24"/>
                  </w:rPr>
                  <w:t>.</w:t>
                </w:r>
              </w:p>
              <w:p>
                <w:pPr>
                  <w:rPr>
                    <w:sz w:val="10"/>
                    <w:szCs w:val="10"/>
                  </w:rPr>
                </w:pPr>
              </w:p>
              <w:p>
                <w:pPr>
                  <w:ind w:firstLine="567"/>
                  <w:jc w:val="both"/>
                  <w:rPr>
                    <w:bCs/>
                    <w:szCs w:val="24"/>
                  </w:rPr>
                </w:pPr>
                <w:r>
                  <w:rPr>
                    <w:bCs/>
                    <w:szCs w:val="24"/>
                  </w:rPr>
                  <w:t>Įgyvendinant šį uždavinį, užtikrinama gera kapinių ir bendrojo naudojimo objektų būklė ir</w:t>
                </w:r>
                <w:r>
                  <w:rPr>
                    <w:szCs w:val="24"/>
                  </w:rPr>
                  <w:t xml:space="preserve"> sistemingai surenkamos atliekos iš kapinių, bendrojo naudojimo objektų</w:t>
                </w:r>
                <w:r>
                  <w:rPr>
                    <w:bCs/>
                    <w:szCs w:val="24"/>
                  </w:rPr>
                  <w:t>.</w:t>
                </w:r>
              </w:p>
            </w:tc>
          </w:tr>
          <w:tr>
            <w:tc>
              <w:tcPr>
                <w:tcW w:w="2972" w:type="dxa"/>
                <w:vAlign w:val="center"/>
              </w:tcPr>
              <w:p>
                <w:pPr>
                  <w:rPr>
                    <w:b/>
                    <w:szCs w:val="24"/>
                  </w:rPr>
                </w:pPr>
                <w:r>
                  <w:rPr>
                    <w:b/>
                    <w:sz w:val="22"/>
                    <w:szCs w:val="24"/>
                  </w:rPr>
                  <w:t>Programos tikslas</w:t>
                </w:r>
              </w:p>
            </w:tc>
            <w:tc>
              <w:tcPr>
                <w:tcW w:w="5056" w:type="dxa"/>
                <w:vAlign w:val="center"/>
              </w:tcPr>
              <w:p>
                <w:pPr>
                  <w:jc w:val="both"/>
                  <w:rPr>
                    <w:b/>
                    <w:szCs w:val="24"/>
                  </w:rPr>
                </w:pPr>
                <w:r>
                  <w:rPr>
                    <w:b/>
                    <w:sz w:val="22"/>
                    <w:szCs w:val="22"/>
                  </w:rPr>
                  <w:t>Formuoti ir įgyvendinti gamtos apsaugos ir atliekų tvarkymo programų politiką bei atlikti visus veiksmus susijusius su rajono aplinkos ir kraštovaizdžio apsauga</w:t>
                </w:r>
              </w:p>
            </w:tc>
            <w:tc>
              <w:tcPr>
                <w:tcW w:w="900" w:type="dxa"/>
                <w:vAlign w:val="center"/>
              </w:tcPr>
              <w:p>
                <w:pPr>
                  <w:keepNext/>
                  <w:jc w:val="center"/>
                  <w:outlineLvl w:val="3"/>
                  <w:rPr>
                    <w:b/>
                    <w:bCs/>
                    <w:sz w:val="22"/>
                    <w:szCs w:val="24"/>
                  </w:rPr>
                </w:pPr>
                <w:r>
                  <w:rPr>
                    <w:b/>
                    <w:bCs/>
                    <w:sz w:val="22"/>
                    <w:szCs w:val="22"/>
                  </w:rPr>
                  <w:t>Kodas</w:t>
                </w:r>
              </w:p>
            </w:tc>
            <w:tc>
              <w:tcPr>
                <w:tcW w:w="720" w:type="dxa"/>
                <w:vAlign w:val="center"/>
              </w:tcPr>
              <w:p>
                <w:pPr>
                  <w:jc w:val="center"/>
                  <w:rPr>
                    <w:b/>
                    <w:szCs w:val="24"/>
                  </w:rPr>
                </w:pPr>
                <w:r>
                  <w:rPr>
                    <w:b/>
                    <w:sz w:val="22"/>
                    <w:szCs w:val="22"/>
                  </w:rPr>
                  <w:t>06</w:t>
                </w:r>
              </w:p>
            </w:tc>
          </w:tr>
          <w:tr>
            <w:trPr>
              <w:trHeight w:val="471"/>
            </w:trPr>
            <w:tc>
              <w:tcPr>
                <w:tcW w:w="9648" w:type="dxa"/>
                <w:gridSpan w:val="4"/>
              </w:tcPr>
              <w:p>
                <w:pPr>
                  <w:rPr>
                    <w:sz w:val="10"/>
                    <w:szCs w:val="10"/>
                  </w:rPr>
                </w:pPr>
              </w:p>
              <w:p>
                <w:pPr>
                  <w:jc w:val="both"/>
                  <w:rPr>
                    <w:szCs w:val="24"/>
                  </w:rPr>
                </w:pPr>
                <w:r>
                  <w:rPr>
                    <w:b/>
                    <w:szCs w:val="24"/>
                  </w:rPr>
                  <w:t>Tikslo įgyvendinimo aprašymas</w:t>
                </w:r>
                <w:r>
                  <w:rPr>
                    <w:szCs w:val="24"/>
                  </w:rPr>
                  <w:t xml:space="preserve">:  užtikrinant efektyvią gamtos apsaugos ir atliekų tvarkymo politiką, būtini kompetentingi šios srities specialistai. Tikslui įgyvendinti iškeliami uždaviniai:</w:t>
                </w:r>
              </w:p>
              <w:p>
                <w:pPr>
                  <w:rPr>
                    <w:sz w:val="10"/>
                    <w:szCs w:val="10"/>
                  </w:rPr>
                </w:pPr>
              </w:p>
              <w:p>
                <w:pPr>
                  <w:jc w:val="both"/>
                  <w:rPr>
                    <w:b/>
                    <w:szCs w:val="24"/>
                  </w:rPr>
                </w:pPr>
                <w:r>
                  <w:rPr>
                    <w:b/>
                    <w:szCs w:val="24"/>
                  </w:rPr>
                  <w:t>01 uždavinys. Užtikrinti darbuotojo veiklos efektyvumą ir rezultatyvumą.</w:t>
                </w:r>
              </w:p>
              <w:p>
                <w:pPr>
                  <w:rPr>
                    <w:sz w:val="10"/>
                    <w:szCs w:val="10"/>
                  </w:rPr>
                </w:pPr>
              </w:p>
              <w:p>
                <w:pPr>
                  <w:ind w:firstLine="567"/>
                  <w:jc w:val="both"/>
                  <w:rPr>
                    <w:szCs w:val="24"/>
                    <w:lang w:eastAsia="lt-LT"/>
                  </w:rPr>
                </w:pPr>
                <w:r>
                  <w:rPr>
                    <w:szCs w:val="24"/>
                    <w:lang w:eastAsia="lt-LT"/>
                  </w:rPr>
                  <w:t>Priemonė – aplinkos apsaugos specialisto veiklos organizavimas. Prie institucijos išlaikymo (valdymo) išlaidų priskiriama: priskaičiuotas darbo užmokestis ir socialinio draudimo įmokos; prekių ir paslaugų naudojimo išlaidos (komunalinės, ryšių paslaugos, transporto išlaikymas, spaudiniai, komandiruotės, kvalifikacijos kėlimas, materialiojo ir nematerialiojo turto nuoma ir kt.), taip pat darbo vietų įkūrimo, administracinių pastatų išlaikymo (įskaitant ir remontą) sąnaudos; darbdavių socialinės pašalpos; materialiojo ir nematerialiojo turto įsigijimo išlaidos.</w:t>
                </w:r>
              </w:p>
              <w:p>
                <w:pPr>
                  <w:rPr>
                    <w:sz w:val="10"/>
                    <w:szCs w:val="10"/>
                  </w:rPr>
                </w:pPr>
              </w:p>
              <w:p>
                <w:pPr>
                  <w:jc w:val="both"/>
                  <w:rPr>
                    <w:i/>
                    <w:szCs w:val="24"/>
                    <w:u w:val="single"/>
                  </w:rPr>
                </w:pPr>
                <w:r>
                  <w:rPr>
                    <w:i/>
                    <w:szCs w:val="24"/>
                    <w:u w:val="single"/>
                  </w:rPr>
                  <w:t>Rezultato vertinimo kriterijai:</w:t>
                </w:r>
              </w:p>
              <w:p>
                <w:pPr>
                  <w:rPr>
                    <w:sz w:val="10"/>
                    <w:szCs w:val="10"/>
                  </w:rPr>
                </w:pPr>
              </w:p>
              <w:p>
                <w:pPr>
                  <w:jc w:val="both"/>
                  <w:rPr>
                    <w:i/>
                    <w:szCs w:val="24"/>
                    <w:u w:val="single"/>
                  </w:rPr>
                </w:pPr>
                <w:r>
                  <w:rPr>
                    <w:szCs w:val="24"/>
                  </w:rPr>
                  <w:t>aplinkos apsaugos specialisto veiklos organizavimas, tūkst. Eur – 18,7</w:t>
                </w:r>
              </w:p>
            </w:tc>
          </w:tr>
        </w:tbl>
        <w:p>
          <w:pPr>
            <w:jc w:val="center"/>
            <w:rPr>
              <w:b/>
              <w:strike/>
              <w:sz w:val="22"/>
              <w:szCs w:val="24"/>
            </w:rPr>
          </w:pPr>
        </w:p>
      </w:sdtContent>
    </w:sdt>
    <w:sdt>
      <w:sdtPr>
        <w:alias w:val="lentele"/>
        <w:tag w:val="part_9e6b255bfeba418d928b457f0c847c74"/>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48"/>
          </w:tblGrid>
          <w:tr>
            <w:trPr>
              <w:trHeight w:val="2789"/>
            </w:trPr>
            <w:tc>
              <w:tcPr>
                <w:tcW w:w="9648" w:type="dxa"/>
              </w:tcPr>
              <w:p>
                <w:pPr>
                  <w:jc w:val="both"/>
                  <w:rPr>
                    <w:b/>
                    <w:szCs w:val="24"/>
                  </w:rPr>
                </w:pPr>
                <w:r>
                  <w:rPr>
                    <w:b/>
                    <w:szCs w:val="24"/>
                  </w:rPr>
                  <w:t xml:space="preserve">Numatomas programos įgyvendinimo rezultatas: </w:t>
                </w:r>
                <w:r>
                  <w:rPr>
                    <w:szCs w:val="24"/>
                  </w:rPr>
                  <w:t>Gerėjant žemės ūkio produkcijos gamybos sąlygoms, didėjant tiesioginėms išmokoms, gerėjant infrastruktūros sąlygoms, didės ir rajono gyventojų bei ūkininkų pajamos bei konkurencingumas.</w:t>
                </w:r>
              </w:p>
              <w:p>
                <w:pPr>
                  <w:ind w:firstLine="558"/>
                  <w:jc w:val="both"/>
                  <w:rPr>
                    <w:szCs w:val="24"/>
                  </w:rPr>
                </w:pPr>
                <w:r>
                  <w:rPr>
                    <w:szCs w:val="24"/>
                  </w:rPr>
                  <w:t>Numatoma, kad vykdant gamtos apsaugos specialiąją programą sumažės taršos poveikis aplinkai ir žmonių sveikatai, bus sukurtos prielaidos efektyvesnei atliekų tvarkymo sistemai vystyti, planingai tvarkomi kraštovaizdžio elementai, pasikeis visuomenės požiūris į aplinką, padidės sąmoningumo lygis, tikslinga aplinkos apsaugos informacija padės įvairioms visuomenės grupėms keisti savo elgseną ir įpročius.</w:t>
                </w:r>
              </w:p>
              <w:p>
                <w:pPr>
                  <w:ind w:firstLine="567"/>
                  <w:jc w:val="both"/>
                  <w:rPr>
                    <w:szCs w:val="24"/>
                  </w:rPr>
                </w:pPr>
                <w:r>
                  <w:rPr>
                    <w:szCs w:val="24"/>
                  </w:rPr>
                  <w:t xml:space="preserve">Vykdant atliekų tvarkymo programą, teikiamos kokybiškos komunalinių atliekų surinkimo ir naikinimo paslaugos, kurios padės užtikrinti </w:t>
                </w:r>
                <w:r>
                  <w:rPr>
                    <w:bCs/>
                    <w:szCs w:val="24"/>
                  </w:rPr>
                  <w:t>švarią</w:t>
                </w:r>
                <w:r>
                  <w:rPr>
                    <w:szCs w:val="24"/>
                  </w:rPr>
                  <w:t xml:space="preserve">, sveiką ir saugią </w:t>
                </w:r>
                <w:r>
                  <w:rPr>
                    <w:bCs/>
                    <w:szCs w:val="24"/>
                  </w:rPr>
                  <w:t>aplinką.</w:t>
                </w:r>
              </w:p>
            </w:tc>
          </w:tr>
        </w:tbl>
        <w:p>
          <w:pPr>
            <w:rPr>
              <w:szCs w:val="24"/>
            </w:rPr>
          </w:pPr>
        </w:p>
      </w:sdtContent>
    </w:sdt>
    <w:sdt>
      <w:sdtPr>
        <w:alias w:val="lentele"/>
        <w:tag w:val="part_71fc983353624947b1b308e41c92e58b"/>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648"/>
          </w:tblGrid>
          <w:tr>
            <w:tc>
              <w:tcPr>
                <w:tcW w:w="9648" w:type="dxa"/>
              </w:tcPr>
              <w:p>
                <w:pPr>
                  <w:jc w:val="both"/>
                  <w:rPr>
                    <w:b/>
                    <w:bCs/>
                    <w:szCs w:val="24"/>
                  </w:rPr>
                </w:pPr>
                <w:r>
                  <w:rPr>
                    <w:b/>
                    <w:bCs/>
                    <w:szCs w:val="24"/>
                  </w:rPr>
                  <w:t xml:space="preserve">Galimi programos vykdymo ir finansavimo variantai: </w:t>
                </w:r>
                <w:r>
                  <w:rPr>
                    <w:bCs/>
                    <w:szCs w:val="24"/>
                  </w:rPr>
                  <w:t>Programa vykdoma pagal perduotas Valstybės funkcijas savivaldybei vykdyti. Programos finansuojamos iš Lietuvos Respublikos ir Europos Sąjungos lėšų bei Alytaus rajono savivaldybės biudžeto lėšų.</w:t>
                </w:r>
              </w:p>
            </w:tc>
          </w:tr>
        </w:tbl>
        <w:p>
          <w:pPr>
            <w:rPr>
              <w:b/>
              <w:strike/>
              <w:szCs w:val="22"/>
            </w:rPr>
          </w:pPr>
        </w:p>
      </w:sdtContent>
    </w:sdt>
    <w:sdt>
      <w:sdtPr>
        <w:alias w:val="lentele"/>
        <w:tag w:val="part_f03aa6efd43d4c5bac15752546144295"/>
        <w:lock w:val="sdtLocked"/>
        <w:richText/>
      </w:sdtPr>
      <w:sdtContent>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648"/>
          </w:tblGrid>
          <w:tr>
            <w:tc>
              <w:tcPr>
                <w:tcW w:w="9648" w:type="dxa"/>
              </w:tcPr>
              <w:p>
                <w:pPr>
                  <w:jc w:val="both"/>
                  <w:rPr>
                    <w:szCs w:val="24"/>
                  </w:rPr>
                </w:pPr>
                <w:r>
                  <w:rPr>
                    <w:b/>
                    <w:sz w:val="22"/>
                    <w:szCs w:val="24"/>
                  </w:rPr>
                  <w:t>Veiksmai, numatyti Alytaus rajono savivaldybės strateginiame plėtros plane, kurie susiję su vykdoma programa</w:t>
                </w:r>
                <w:r>
                  <w:rPr>
                    <w:szCs w:val="24"/>
                  </w:rPr>
                  <w:t>: 1 prioritetas. Tvari, darni, inovatyvi ekonomikos plėtra ir išvystyta infrastruktūra. 1.1. tikslas. Plėtoti tvarų žemės ir miškų ūkį, vystyti konkurencingą tvarų verslą.1.1.1. uždavinys. Skatinti žemės ūkio pažangumą, konkurencingumą ir inovatyvumą. 1.1.3. uždavinys. Skatinti tvaraus, inovatyvaus verslo plėtrą, investicijų augimą. 1.1.4. uždavinys. Skatinti gyventojų ir bendruomenių verslumą, kaimo vietovių gyvybingumą. 1.2. tikslas. Sukurti palankią aplinką bei ekonominę infrastruktūrą investicijoms ir darniam verslo vystymuisi.</w:t>
                </w:r>
              </w:p>
              <w:p>
                <w:pPr>
                  <w:jc w:val="both"/>
                  <w:rPr>
                    <w:szCs w:val="24"/>
                  </w:rPr>
                </w:pPr>
                <w:r>
                  <w:rPr>
                    <w:szCs w:val="24"/>
                  </w:rPr>
                  <w:t>3 programa. Patogus, svetingas, žalias rajonas. 3.3. tikslas. Užtikrinti darną su aplinka ir gamta. 3.3.1. uždavinys. Vykdyti aplinkos apsaugos stebėseną, gerinti jos kokybę. 3.3.2 uždavinys. Skatinti tausų ir racionalų išteklių naudojimą, perėjimą prie žiedinės ekonomikos, mažinti taršą, šiltnamio dujų išmetimą.</w:t>
                </w:r>
              </w:p>
            </w:tc>
          </w:tr>
        </w:tbl>
        <w:p>
          <w:pPr>
            <w:rPr>
              <w:szCs w:val="24"/>
            </w:rPr>
          </w:pPr>
        </w:p>
      </w:sdtContent>
    </w:sdt>
    <w:sdt>
      <w:sdtPr>
        <w:alias w:val="lentele"/>
        <w:tag w:val="part_6efcca698bf246229f4581c233a45be8"/>
        <w:lock w:val="sdtLocked"/>
        <w:richText/>
      </w:sdtPr>
      <w:sdtContent>
        <w:tbl>
          <w:tblPr>
            <w:tblW w:w="9727" w:type="dxa"/>
            <w:tblInd w:w="-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727"/>
          </w:tblGrid>
          <w:tr>
            <w:trPr>
              <w:trHeight w:val="4210"/>
            </w:trPr>
            <w:tc>
              <w:tcPr>
                <w:tcW w:w="9648" w:type="dxa"/>
              </w:tcPr>
              <w:p>
                <w:pPr>
                  <w:jc w:val="both"/>
                  <w:textAlignment w:val="top"/>
                  <w:rPr>
                    <w:szCs w:val="24"/>
                  </w:rPr>
                </w:pPr>
                <w:r>
                  <w:rPr>
                    <w:b/>
                    <w:szCs w:val="24"/>
                  </w:rPr>
                  <w:t>Susiję įstatymai ir kiti svarbūs teisės aktai:</w:t>
                </w:r>
                <w:r>
                  <w:rPr>
                    <w:szCs w:val="24"/>
                  </w:rPr>
                  <w:t xml:space="preserve"> </w:t>
                </w:r>
              </w:p>
              <w:p>
                <w:pPr>
                  <w:ind w:left="357" w:hanging="357"/>
                  <w:jc w:val="both"/>
                  <w:textAlignment w:val="top"/>
                  <w:rPr>
                    <w:szCs w:val="24"/>
                  </w:rPr>
                </w:pPr>
                <w:r>
                  <w:rPr>
                    <w:rFonts w:ascii="Courier New" w:hAnsi="Courier New" w:cs="Courier New"/>
                    <w:szCs w:val="24"/>
                  </w:rPr>
                  <w:t>o</w:t>
                  <w:tab/>
                </w:r>
                <w:r>
                  <w:rPr>
                    <w:szCs w:val="24"/>
                  </w:rPr>
                  <w:t xml:space="preserve">Lietuvos Respublikos aplinkos monitoringo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vietos savivaldos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savivaldybių aplinkos apsaugos rėmimo specialiosios programos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melioracijos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želdynų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aplinkos oro apsaugos įstatymas; </w:t>
                </w:r>
              </w:p>
              <w:p>
                <w:pPr>
                  <w:ind w:left="357" w:hanging="357"/>
                  <w:jc w:val="both"/>
                  <w:textAlignment w:val="top"/>
                  <w:rPr>
                    <w:szCs w:val="24"/>
                  </w:rPr>
                </w:pPr>
                <w:r>
                  <w:rPr>
                    <w:rFonts w:ascii="Courier New" w:hAnsi="Courier New" w:cs="Courier New"/>
                    <w:szCs w:val="24"/>
                  </w:rPr>
                  <w:t>o</w:t>
                  <w:tab/>
                </w:r>
                <w:r>
                  <w:rPr>
                    <w:szCs w:val="24"/>
                  </w:rPr>
                  <w:t xml:space="preserve">Lietuvos Respublikos Vyriausybės 2002 m. vasario 27 d. nutarimas Nr. 295 „Dėl įstatymų nuostatų, nurodančių perduoti savivaldybėms kai kuriuos apskrities viršininko įgaliojimus žemės ūkio klausimais, vykdymo”; </w:t>
                </w:r>
              </w:p>
              <w:p>
                <w:pPr>
                  <w:ind w:left="357" w:hanging="357"/>
                  <w:jc w:val="both"/>
                  <w:textAlignment w:val="top"/>
                  <w:rPr>
                    <w:szCs w:val="24"/>
                  </w:rPr>
                </w:pPr>
                <w:r>
                  <w:rPr>
                    <w:rFonts w:ascii="Courier New" w:hAnsi="Courier New" w:cs="Courier New"/>
                    <w:szCs w:val="24"/>
                  </w:rPr>
                  <w:t>o</w:t>
                  <w:tab/>
                </w:r>
                <w:r>
                  <w:rPr>
                    <w:szCs w:val="24"/>
                  </w:rPr>
                  <w:t>2017-04-14 Sutartis Nr. SUT-187/SR-565(3.9) „Dėl Alytaus miesto savivaldybės teikiamų administracinių paslaugų funkcijų įgyvendinimo perdavimo Alytaus rajono savivaldybei“;</w:t>
                </w:r>
              </w:p>
              <w:p>
                <w:pPr>
                  <w:ind w:left="357" w:hanging="357"/>
                  <w:jc w:val="both"/>
                  <w:textAlignment w:val="top"/>
                  <w:rPr>
                    <w:szCs w:val="24"/>
                  </w:rPr>
                </w:pPr>
                <w:r>
                  <w:rPr>
                    <w:rFonts w:ascii="Courier New" w:hAnsi="Courier New" w:cs="Courier New"/>
                    <w:szCs w:val="24"/>
                  </w:rPr>
                  <w:t>o</w:t>
                  <w:tab/>
                </w:r>
                <w:r>
                  <w:rPr>
                    <w:szCs w:val="24"/>
                  </w:rPr>
                  <w:t>Lietuvos Respublikos žemės ūkio ministro 2018 m. gruodžio 21 d. įsakymas Nr. 3D-942 „Dėl valstybės biudžeto specialiųjų tikslinių dotacijų, skiriamų savivaldybių biudžetams Žemės ūkio ministerijos kuruojamai valstybinei (valstybės perduotai savivaldybėms) savivaldybės erdvinių duomenų rinkinio tvarkymo funkcijai atlikti”.</w:t>
                </w:r>
              </w:p>
            </w:tc>
          </w:tr>
          <w:tr>
            <w:trPr>
              <w:trHeight w:val="407"/>
            </w:trPr>
            <w:tc>
              <w:tcPr>
                <w:tcW w:w="9648" w:type="dxa"/>
              </w:tcPr>
              <w:p>
                <w:pPr>
                  <w:jc w:val="both"/>
                  <w:textAlignment w:val="top"/>
                  <w:rPr>
                    <w:b/>
                    <w:szCs w:val="24"/>
                  </w:rPr>
                </w:pPr>
                <w:r>
                  <w:rPr>
                    <w:b/>
                    <w:szCs w:val="24"/>
                  </w:rPr>
                  <w:t>Kita svarbi informacija:</w:t>
                </w:r>
              </w:p>
            </w:tc>
          </w:tr>
        </w:tbl>
        <w:p>
          <w:pPr>
            <w:rPr>
              <w:vanish/>
              <w:szCs w:val="24"/>
            </w:rPr>
          </w:pPr>
        </w:p>
      </w:sdtContent>
    </w:sdt>
    <w:sdt>
      <w:sdtPr>
        <w:alias w:val="pastraipa"/>
        <w:tag w:val="part_856a3b9a01804efeb448ff7fb7d86261"/>
        <w:lock w:val="sdtLocked"/>
        <w:richText/>
      </w:sdtPr>
      <w:sdtContent>
        <w:p>
          <w:pPr>
            <w:jc w:val="center"/>
            <w:rPr>
              <w:rFonts w:ascii="Arial" w:hAnsi="Arial" w:cs="Arial"/>
              <w:sz w:val="20"/>
            </w:rPr>
          </w:pPr>
          <w:r>
            <w:rPr>
              <w:szCs w:val="24"/>
            </w:rPr>
            <w:t>_________________________________</w:t>
          </w:r>
        </w:p>
      </w:sdtContent>
    </w:sdt>
    <w:sectPr>
      <w:pgSz w:w="11907" w:h="16839" w:code="9"/>
      <w:pgMar w:top="1134" w:right="567" w:bottom="1134" w:left="1701" w:header="709" w:footer="709" w:gutter="0"/>
      <w:cols w:space="708"/>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US"/>
        </w:rPr>
      </w:pPr>
      <w:r>
        <w:rPr>
          <w:szCs w:val="24"/>
          <w:lang w:val="en-US"/>
        </w:rPr>
        <w:separator/>
      </w:r>
    </w:p>
  </w:endnote>
  <w:endnote w:type="continuationSeparator" w:id="0">
    <w:p>
      <w:pPr>
        <w:rPr>
          <w:szCs w:val="24"/>
          <w:lang w:val="en-US"/>
        </w:rPr>
      </w:pPr>
      <w:r>
        <w:rPr>
          <w:szCs w:val="24"/>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US"/>
        </w:rPr>
      </w:pPr>
      <w:r>
        <w:rPr>
          <w:szCs w:val="24"/>
          <w:lang w:val="en-US"/>
        </w:rPr>
        <w:separator/>
      </w:r>
    </w:p>
  </w:footnote>
  <w:footnote w:type="continuationSeparator" w:id="0">
    <w:p>
      <w:pPr>
        <w:rPr>
          <w:szCs w:val="24"/>
          <w:lang w:val="en-US"/>
        </w:rPr>
      </w:pPr>
      <w:r>
        <w:rPr>
          <w:szCs w:val="24"/>
          <w:lang w:val="en-US"/>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C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7B91A3C2-4D16-4E6D-B884-60DA07F0F04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208742">
      <w:bodyDiv w:val="1"/>
      <w:marLeft w:val="0"/>
      <w:marRight w:val="0"/>
      <w:marTop w:val="0"/>
      <w:marBottom w:val="0"/>
      <w:divBdr>
        <w:top w:val="none" w:sz="0" w:space="0" w:color="auto"/>
        <w:left w:val="none" w:sz="0" w:space="0" w:color="auto"/>
        <w:bottom w:val="none" w:sz="0" w:space="0" w:color="auto"/>
        <w:right w:val="none" w:sz="0" w:space="0" w:color="auto"/>
      </w:divBdr>
    </w:div>
    <w:div w:id="206573294">
      <w:bodyDiv w:val="1"/>
      <w:marLeft w:val="0"/>
      <w:marRight w:val="0"/>
      <w:marTop w:val="0"/>
      <w:marBottom w:val="0"/>
      <w:divBdr>
        <w:top w:val="none" w:sz="0" w:space="0" w:color="auto"/>
        <w:left w:val="none" w:sz="0" w:space="0" w:color="auto"/>
        <w:bottom w:val="none" w:sz="0" w:space="0" w:color="auto"/>
        <w:right w:val="none" w:sz="0" w:space="0" w:color="auto"/>
      </w:divBdr>
    </w:div>
    <w:div w:id="751781791">
      <w:bodyDiv w:val="1"/>
      <w:marLeft w:val="0"/>
      <w:marRight w:val="0"/>
      <w:marTop w:val="0"/>
      <w:marBottom w:val="0"/>
      <w:divBdr>
        <w:top w:val="none" w:sz="0" w:space="0" w:color="auto"/>
        <w:left w:val="none" w:sz="0" w:space="0" w:color="auto"/>
        <w:bottom w:val="none" w:sz="0" w:space="0" w:color="auto"/>
        <w:right w:val="none" w:sz="0" w:space="0" w:color="auto"/>
      </w:divBdr>
    </w:div>
    <w:div w:id="1425687699">
      <w:bodyDiv w:val="1"/>
      <w:marLeft w:val="0"/>
      <w:marRight w:val="0"/>
      <w:marTop w:val="0"/>
      <w:marBottom w:val="0"/>
      <w:divBdr>
        <w:top w:val="none" w:sz="0" w:space="0" w:color="auto"/>
        <w:left w:val="none" w:sz="0" w:space="0" w:color="auto"/>
        <w:bottom w:val="none" w:sz="0" w:space="0" w:color="auto"/>
        <w:right w:val="none" w:sz="0" w:space="0" w:color="auto"/>
      </w:divBdr>
    </w:div>
    <w:div w:id="1591232626">
      <w:marLeft w:val="0"/>
      <w:marRight w:val="0"/>
      <w:marTop w:val="0"/>
      <w:marBottom w:val="0"/>
      <w:divBdr>
        <w:top w:val="none" w:sz="0" w:space="0" w:color="auto"/>
        <w:left w:val="none" w:sz="0" w:space="0" w:color="auto"/>
        <w:bottom w:val="none" w:sz="0" w:space="0" w:color="auto"/>
        <w:right w:val="none" w:sz="0" w:space="0" w:color="auto"/>
      </w:divBdr>
    </w:div>
    <w:div w:id="1591232627">
      <w:marLeft w:val="0"/>
      <w:marRight w:val="0"/>
      <w:marTop w:val="0"/>
      <w:marBottom w:val="0"/>
      <w:divBdr>
        <w:top w:val="none" w:sz="0" w:space="0" w:color="auto"/>
        <w:left w:val="none" w:sz="0" w:space="0" w:color="auto"/>
        <w:bottom w:val="none" w:sz="0" w:space="0" w:color="auto"/>
        <w:right w:val="none" w:sz="0" w:space="0" w:color="auto"/>
      </w:divBdr>
    </w:div>
    <w:div w:id="1591232628">
      <w:marLeft w:val="0"/>
      <w:marRight w:val="0"/>
      <w:marTop w:val="0"/>
      <w:marBottom w:val="0"/>
      <w:divBdr>
        <w:top w:val="none" w:sz="0" w:space="0" w:color="auto"/>
        <w:left w:val="none" w:sz="0" w:space="0" w:color="auto"/>
        <w:bottom w:val="none" w:sz="0" w:space="0" w:color="auto"/>
        <w:right w:val="none" w:sz="0" w:space="0" w:color="auto"/>
      </w:divBdr>
    </w:div>
    <w:div w:id="1591232629">
      <w:marLeft w:val="0"/>
      <w:marRight w:val="0"/>
      <w:marTop w:val="0"/>
      <w:marBottom w:val="0"/>
      <w:divBdr>
        <w:top w:val="none" w:sz="0" w:space="0" w:color="auto"/>
        <w:left w:val="none" w:sz="0" w:space="0" w:color="auto"/>
        <w:bottom w:val="none" w:sz="0" w:space="0" w:color="auto"/>
        <w:right w:val="none" w:sz="0" w:space="0" w:color="auto"/>
      </w:divBdr>
    </w:div>
    <w:div w:id="1591232630">
      <w:marLeft w:val="195"/>
      <w:marRight w:val="195"/>
      <w:marTop w:val="0"/>
      <w:marBottom w:val="0"/>
      <w:divBdr>
        <w:top w:val="none" w:sz="0" w:space="0" w:color="auto"/>
        <w:left w:val="none" w:sz="0" w:space="0" w:color="auto"/>
        <w:bottom w:val="none" w:sz="0" w:space="0" w:color="auto"/>
        <w:right w:val="none" w:sz="0" w:space="0" w:color="auto"/>
      </w:divBdr>
      <w:divsChild>
        <w:div w:id="1591232633">
          <w:marLeft w:val="0"/>
          <w:marRight w:val="0"/>
          <w:marTop w:val="0"/>
          <w:marBottom w:val="0"/>
          <w:divBdr>
            <w:top w:val="none" w:sz="0" w:space="0" w:color="auto"/>
            <w:left w:val="none" w:sz="0" w:space="0" w:color="auto"/>
            <w:bottom w:val="none" w:sz="0" w:space="0" w:color="auto"/>
            <w:right w:val="none" w:sz="0" w:space="0" w:color="auto"/>
          </w:divBdr>
        </w:div>
      </w:divsChild>
    </w:div>
    <w:div w:id="1591232631">
      <w:marLeft w:val="0"/>
      <w:marRight w:val="0"/>
      <w:marTop w:val="0"/>
      <w:marBottom w:val="0"/>
      <w:divBdr>
        <w:top w:val="none" w:sz="0" w:space="0" w:color="auto"/>
        <w:left w:val="none" w:sz="0" w:space="0" w:color="auto"/>
        <w:bottom w:val="none" w:sz="0" w:space="0" w:color="auto"/>
        <w:right w:val="none" w:sz="0" w:space="0" w:color="auto"/>
      </w:divBdr>
    </w:div>
    <w:div w:id="1591232632">
      <w:marLeft w:val="0"/>
      <w:marRight w:val="0"/>
      <w:marTop w:val="0"/>
      <w:marBottom w:val="0"/>
      <w:divBdr>
        <w:top w:val="none" w:sz="0" w:space="0" w:color="auto"/>
        <w:left w:val="none" w:sz="0" w:space="0" w:color="auto"/>
        <w:bottom w:val="none" w:sz="0" w:space="0" w:color="auto"/>
        <w:right w:val="none" w:sz="0" w:space="0" w:color="auto"/>
      </w:divBdr>
    </w:div>
    <w:div w:id="1591232634">
      <w:marLeft w:val="0"/>
      <w:marRight w:val="0"/>
      <w:marTop w:val="0"/>
      <w:marBottom w:val="0"/>
      <w:divBdr>
        <w:top w:val="none" w:sz="0" w:space="0" w:color="auto"/>
        <w:left w:val="none" w:sz="0" w:space="0" w:color="auto"/>
        <w:bottom w:val="none" w:sz="0" w:space="0" w:color="auto"/>
        <w:right w:val="none" w:sz="0" w:space="0" w:color="auto"/>
      </w:divBdr>
    </w:div>
    <w:div w:id="1591232635">
      <w:marLeft w:val="0"/>
      <w:marRight w:val="0"/>
      <w:marTop w:val="0"/>
      <w:marBottom w:val="0"/>
      <w:divBdr>
        <w:top w:val="none" w:sz="0" w:space="0" w:color="auto"/>
        <w:left w:val="none" w:sz="0" w:space="0" w:color="auto"/>
        <w:bottom w:val="none" w:sz="0" w:space="0" w:color="auto"/>
        <w:right w:val="none" w:sz="0" w:space="0" w:color="auto"/>
      </w:divBdr>
    </w:div>
    <w:div w:id="1591232636">
      <w:marLeft w:val="0"/>
      <w:marRight w:val="0"/>
      <w:marTop w:val="0"/>
      <w:marBottom w:val="0"/>
      <w:divBdr>
        <w:top w:val="none" w:sz="0" w:space="0" w:color="auto"/>
        <w:left w:val="none" w:sz="0" w:space="0" w:color="auto"/>
        <w:bottom w:val="none" w:sz="0" w:space="0" w:color="auto"/>
        <w:right w:val="none" w:sz="0" w:space="0" w:color="auto"/>
      </w:divBdr>
    </w:div>
    <w:div w:id="1591232637">
      <w:marLeft w:val="0"/>
      <w:marRight w:val="0"/>
      <w:marTop w:val="0"/>
      <w:marBottom w:val="0"/>
      <w:divBdr>
        <w:top w:val="none" w:sz="0" w:space="0" w:color="auto"/>
        <w:left w:val="none" w:sz="0" w:space="0" w:color="auto"/>
        <w:bottom w:val="none" w:sz="0" w:space="0" w:color="auto"/>
        <w:right w:val="none" w:sz="0" w:space="0" w:color="auto"/>
      </w:divBdr>
    </w:div>
    <w:div w:id="1591232638">
      <w:marLeft w:val="0"/>
      <w:marRight w:val="0"/>
      <w:marTop w:val="0"/>
      <w:marBottom w:val="0"/>
      <w:divBdr>
        <w:top w:val="none" w:sz="0" w:space="0" w:color="auto"/>
        <w:left w:val="none" w:sz="0" w:space="0" w:color="auto"/>
        <w:bottom w:val="none" w:sz="0" w:space="0" w:color="auto"/>
        <w:right w:val="none" w:sz="0" w:space="0" w:color="auto"/>
      </w:divBdr>
    </w:div>
    <w:div w:id="1591232639">
      <w:marLeft w:val="0"/>
      <w:marRight w:val="0"/>
      <w:marTop w:val="0"/>
      <w:marBottom w:val="0"/>
      <w:divBdr>
        <w:top w:val="none" w:sz="0" w:space="0" w:color="auto"/>
        <w:left w:val="none" w:sz="0" w:space="0" w:color="auto"/>
        <w:bottom w:val="none" w:sz="0" w:space="0" w:color="auto"/>
        <w:right w:val="none" w:sz="0" w:space="0" w:color="auto"/>
      </w:divBdr>
    </w:div>
    <w:div w:id="1591232640">
      <w:marLeft w:val="195"/>
      <w:marRight w:val="195"/>
      <w:marTop w:val="0"/>
      <w:marBottom w:val="0"/>
      <w:divBdr>
        <w:top w:val="none" w:sz="0" w:space="0" w:color="auto"/>
        <w:left w:val="none" w:sz="0" w:space="0" w:color="auto"/>
        <w:bottom w:val="none" w:sz="0" w:space="0" w:color="auto"/>
        <w:right w:val="none" w:sz="0" w:space="0" w:color="auto"/>
      </w:divBdr>
      <w:divsChild>
        <w:div w:id="1591232649">
          <w:marLeft w:val="0"/>
          <w:marRight w:val="0"/>
          <w:marTop w:val="0"/>
          <w:marBottom w:val="0"/>
          <w:divBdr>
            <w:top w:val="none" w:sz="0" w:space="0" w:color="auto"/>
            <w:left w:val="none" w:sz="0" w:space="0" w:color="auto"/>
            <w:bottom w:val="none" w:sz="0" w:space="0" w:color="auto"/>
            <w:right w:val="none" w:sz="0" w:space="0" w:color="auto"/>
          </w:divBdr>
        </w:div>
      </w:divsChild>
    </w:div>
    <w:div w:id="1591232641">
      <w:marLeft w:val="0"/>
      <w:marRight w:val="0"/>
      <w:marTop w:val="0"/>
      <w:marBottom w:val="0"/>
      <w:divBdr>
        <w:top w:val="none" w:sz="0" w:space="0" w:color="auto"/>
        <w:left w:val="none" w:sz="0" w:space="0" w:color="auto"/>
        <w:bottom w:val="none" w:sz="0" w:space="0" w:color="auto"/>
        <w:right w:val="none" w:sz="0" w:space="0" w:color="auto"/>
      </w:divBdr>
    </w:div>
    <w:div w:id="1591232642">
      <w:marLeft w:val="0"/>
      <w:marRight w:val="0"/>
      <w:marTop w:val="0"/>
      <w:marBottom w:val="0"/>
      <w:divBdr>
        <w:top w:val="none" w:sz="0" w:space="0" w:color="auto"/>
        <w:left w:val="none" w:sz="0" w:space="0" w:color="auto"/>
        <w:bottom w:val="none" w:sz="0" w:space="0" w:color="auto"/>
        <w:right w:val="none" w:sz="0" w:space="0" w:color="auto"/>
      </w:divBdr>
    </w:div>
    <w:div w:id="1591232643">
      <w:marLeft w:val="0"/>
      <w:marRight w:val="0"/>
      <w:marTop w:val="0"/>
      <w:marBottom w:val="0"/>
      <w:divBdr>
        <w:top w:val="none" w:sz="0" w:space="0" w:color="auto"/>
        <w:left w:val="none" w:sz="0" w:space="0" w:color="auto"/>
        <w:bottom w:val="none" w:sz="0" w:space="0" w:color="auto"/>
        <w:right w:val="none" w:sz="0" w:space="0" w:color="auto"/>
      </w:divBdr>
    </w:div>
    <w:div w:id="1591232644">
      <w:marLeft w:val="0"/>
      <w:marRight w:val="0"/>
      <w:marTop w:val="0"/>
      <w:marBottom w:val="0"/>
      <w:divBdr>
        <w:top w:val="none" w:sz="0" w:space="0" w:color="auto"/>
        <w:left w:val="none" w:sz="0" w:space="0" w:color="auto"/>
        <w:bottom w:val="none" w:sz="0" w:space="0" w:color="auto"/>
        <w:right w:val="none" w:sz="0" w:space="0" w:color="auto"/>
      </w:divBdr>
    </w:div>
    <w:div w:id="1591232645">
      <w:marLeft w:val="0"/>
      <w:marRight w:val="0"/>
      <w:marTop w:val="0"/>
      <w:marBottom w:val="0"/>
      <w:divBdr>
        <w:top w:val="none" w:sz="0" w:space="0" w:color="auto"/>
        <w:left w:val="none" w:sz="0" w:space="0" w:color="auto"/>
        <w:bottom w:val="none" w:sz="0" w:space="0" w:color="auto"/>
        <w:right w:val="none" w:sz="0" w:space="0" w:color="auto"/>
      </w:divBdr>
    </w:div>
    <w:div w:id="1591232646">
      <w:marLeft w:val="0"/>
      <w:marRight w:val="0"/>
      <w:marTop w:val="0"/>
      <w:marBottom w:val="0"/>
      <w:divBdr>
        <w:top w:val="none" w:sz="0" w:space="0" w:color="auto"/>
        <w:left w:val="none" w:sz="0" w:space="0" w:color="auto"/>
        <w:bottom w:val="none" w:sz="0" w:space="0" w:color="auto"/>
        <w:right w:val="none" w:sz="0" w:space="0" w:color="auto"/>
      </w:divBdr>
    </w:div>
    <w:div w:id="1591232647">
      <w:marLeft w:val="0"/>
      <w:marRight w:val="0"/>
      <w:marTop w:val="0"/>
      <w:marBottom w:val="0"/>
      <w:divBdr>
        <w:top w:val="none" w:sz="0" w:space="0" w:color="auto"/>
        <w:left w:val="none" w:sz="0" w:space="0" w:color="auto"/>
        <w:bottom w:val="none" w:sz="0" w:space="0" w:color="auto"/>
        <w:right w:val="none" w:sz="0" w:space="0" w:color="auto"/>
      </w:divBdr>
    </w:div>
    <w:div w:id="1591232648">
      <w:marLeft w:val="0"/>
      <w:marRight w:val="0"/>
      <w:marTop w:val="0"/>
      <w:marBottom w:val="0"/>
      <w:divBdr>
        <w:top w:val="none" w:sz="0" w:space="0" w:color="auto"/>
        <w:left w:val="none" w:sz="0" w:space="0" w:color="auto"/>
        <w:bottom w:val="none" w:sz="0" w:space="0" w:color="auto"/>
        <w:right w:val="none" w:sz="0" w:space="0" w:color="auto"/>
      </w:divBdr>
    </w:div>
    <w:div w:id="1591232650">
      <w:marLeft w:val="0"/>
      <w:marRight w:val="0"/>
      <w:marTop w:val="0"/>
      <w:marBottom w:val="0"/>
      <w:divBdr>
        <w:top w:val="none" w:sz="0" w:space="0" w:color="auto"/>
        <w:left w:val="none" w:sz="0" w:space="0" w:color="auto"/>
        <w:bottom w:val="none" w:sz="0" w:space="0" w:color="auto"/>
        <w:right w:val="none" w:sz="0" w:space="0" w:color="auto"/>
      </w:divBdr>
    </w:div>
    <w:div w:id="1591232651">
      <w:marLeft w:val="0"/>
      <w:marRight w:val="0"/>
      <w:marTop w:val="0"/>
      <w:marBottom w:val="0"/>
      <w:divBdr>
        <w:top w:val="none" w:sz="0" w:space="0" w:color="auto"/>
        <w:left w:val="none" w:sz="0" w:space="0" w:color="auto"/>
        <w:bottom w:val="none" w:sz="0" w:space="0" w:color="auto"/>
        <w:right w:val="none" w:sz="0" w:space="0" w:color="auto"/>
      </w:divBdr>
    </w:div>
    <w:div w:id="1591232652">
      <w:marLeft w:val="0"/>
      <w:marRight w:val="0"/>
      <w:marTop w:val="0"/>
      <w:marBottom w:val="0"/>
      <w:divBdr>
        <w:top w:val="none" w:sz="0" w:space="0" w:color="auto"/>
        <w:left w:val="none" w:sz="0" w:space="0" w:color="auto"/>
        <w:bottom w:val="none" w:sz="0" w:space="0" w:color="auto"/>
        <w:right w:val="none" w:sz="0" w:space="0" w:color="auto"/>
      </w:divBdr>
    </w:div>
    <w:div w:id="1591232653">
      <w:marLeft w:val="0"/>
      <w:marRight w:val="0"/>
      <w:marTop w:val="0"/>
      <w:marBottom w:val="0"/>
      <w:divBdr>
        <w:top w:val="none" w:sz="0" w:space="0" w:color="auto"/>
        <w:left w:val="none" w:sz="0" w:space="0" w:color="auto"/>
        <w:bottom w:val="none" w:sz="0" w:space="0" w:color="auto"/>
        <w:right w:val="none" w:sz="0" w:space="0" w:color="auto"/>
      </w:divBdr>
    </w:div>
    <w:div w:id="1591232654">
      <w:marLeft w:val="0"/>
      <w:marRight w:val="0"/>
      <w:marTop w:val="0"/>
      <w:marBottom w:val="0"/>
      <w:divBdr>
        <w:top w:val="none" w:sz="0" w:space="0" w:color="auto"/>
        <w:left w:val="none" w:sz="0" w:space="0" w:color="auto"/>
        <w:bottom w:val="none" w:sz="0" w:space="0" w:color="auto"/>
        <w:right w:val="none" w:sz="0" w:space="0" w:color="auto"/>
      </w:divBdr>
    </w:div>
    <w:div w:id="1591232655">
      <w:marLeft w:val="0"/>
      <w:marRight w:val="0"/>
      <w:marTop w:val="0"/>
      <w:marBottom w:val="0"/>
      <w:divBdr>
        <w:top w:val="none" w:sz="0" w:space="0" w:color="auto"/>
        <w:left w:val="none" w:sz="0" w:space="0" w:color="auto"/>
        <w:bottom w:val="none" w:sz="0" w:space="0" w:color="auto"/>
        <w:right w:val="none" w:sz="0" w:space="0" w:color="auto"/>
      </w:divBdr>
    </w:div>
    <w:div w:id="1591232656">
      <w:marLeft w:val="0"/>
      <w:marRight w:val="0"/>
      <w:marTop w:val="0"/>
      <w:marBottom w:val="0"/>
      <w:divBdr>
        <w:top w:val="none" w:sz="0" w:space="0" w:color="auto"/>
        <w:left w:val="none" w:sz="0" w:space="0" w:color="auto"/>
        <w:bottom w:val="none" w:sz="0" w:space="0" w:color="auto"/>
        <w:right w:val="none" w:sz="0" w:space="0" w:color="auto"/>
      </w:divBdr>
    </w:div>
    <w:div w:id="1591232657">
      <w:marLeft w:val="0"/>
      <w:marRight w:val="0"/>
      <w:marTop w:val="0"/>
      <w:marBottom w:val="0"/>
      <w:divBdr>
        <w:top w:val="none" w:sz="0" w:space="0" w:color="auto"/>
        <w:left w:val="none" w:sz="0" w:space="0" w:color="auto"/>
        <w:bottom w:val="none" w:sz="0" w:space="0" w:color="auto"/>
        <w:right w:val="none" w:sz="0" w:space="0" w:color="auto"/>
      </w:divBdr>
    </w:div>
    <w:div w:id="1591232658">
      <w:marLeft w:val="0"/>
      <w:marRight w:val="0"/>
      <w:marTop w:val="0"/>
      <w:marBottom w:val="0"/>
      <w:divBdr>
        <w:top w:val="none" w:sz="0" w:space="0" w:color="auto"/>
        <w:left w:val="none" w:sz="0" w:space="0" w:color="auto"/>
        <w:bottom w:val="none" w:sz="0" w:space="0" w:color="auto"/>
        <w:right w:val="none" w:sz="0" w:space="0" w:color="auto"/>
      </w:divBdr>
    </w:div>
    <w:div w:id="1591232659">
      <w:marLeft w:val="0"/>
      <w:marRight w:val="0"/>
      <w:marTop w:val="0"/>
      <w:marBottom w:val="0"/>
      <w:divBdr>
        <w:top w:val="none" w:sz="0" w:space="0" w:color="auto"/>
        <w:left w:val="none" w:sz="0" w:space="0" w:color="auto"/>
        <w:bottom w:val="none" w:sz="0" w:space="0" w:color="auto"/>
        <w:right w:val="none" w:sz="0" w:space="0" w:color="auto"/>
      </w:divBdr>
    </w:div>
    <w:div w:id="15912326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lentele" DocPartId="9b571efb51ac4cae9c096084b87d2160" PartId="1e1176ad21264b02b898ac46b4271355">
    <Part Type="forma" Nr="1" Abbr="1 frm." Title="APLINKOS IR KRAŠTOVAIZDŽIO APSAUGOS IR ŽEMĖS ŪKIO PLĖTROS PROGRAMOS APRAŠYMAS" DocPartId="88391c71f525448e801c959a73f9dc5d" PartId="29083046d4824e4b9a83a5eefc84848f"/>
  </Part>
  <Part Type="lentele" DocPartId="f07c1c470be64ddab2b6ba186d69f4c2" PartId="6178edf610084f4098082d45b121635c"/>
  <Part Type="lentele" DocPartId="708caffed05747359bb93a914600444e" PartId="4b6c65b2172c41bda562fbdafaf1b1d9"/>
  <Part Type="lentele" DocPartId="64cc4f3a32114f258b8cb6ec0eaaf181" PartId="b78575d98e434e5f8436d727542d4317"/>
  <Part Type="lentele" DocPartId="5b88104ad45c45a8b86ef2503875f547" PartId="9e6b255bfeba418d928b457f0c847c74"/>
  <Part Type="lentele" DocPartId="4c781687b8e74b02bfd333e9d3df79fc" PartId="71fc983353624947b1b308e41c92e58b"/>
  <Part Type="lentele" DocPartId="bd5a4d9c588f4ca4848f1dc8c6d61308" PartId="f03aa6efd43d4c5bac15752546144295"/>
  <Part Type="lentele" DocPartId="60fede76ec3543779a1bf475031004d1" PartId="6efcca698bf246229f4581c233a45be8"/>
  <Part Type="pastraipa" DocPartId="4dcf0d43bcaf42cabd64f564ba3df415" PartId="856a3b9a01804efeb448ff7fb7d86261"/>
</Parts>
</file>

<file path=customXml/itemProps1.xml><?xml version="1.0" encoding="utf-8"?>
<ds:datastoreItem xmlns:ds="http://schemas.openxmlformats.org/officeDocument/2006/customXml" ds:itemID="{99460036-5ABB-4257-9513-E3D94F7D1399}">
  <ds:schemaRefs>
    <ds:schemaRef ds:uri="http://schemas.openxmlformats.org/officeDocument/2006/bibliography"/>
  </ds:schemaRefs>
</ds:datastoreItem>
</file>

<file path=customXml/itemProps2.xml><?xml version="1.0" encoding="utf-8"?>
<ds:datastoreItem xmlns:ds="http://schemas.openxmlformats.org/officeDocument/2006/customXml" ds:itemID="{238D092B-E54E-44A4-840A-4F12FC252AA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2277</Words>
  <Characters>17700</Characters>
  <Application>Microsoft Office Word</Application>
  <DocSecurity>4</DocSecurity>
  <Lines>347</Lines>
  <Paragraphs>139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19838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2022-02-22T11:31:00Z</dcterms:created>
  <dc:creator>r.dirsiene</dc:creator>
  <lastModifiedBy>adlibuser</lastModifiedBy>
  <lastPrinted>2020-02-10T14:41:00Z</lastPrinted>
  <dcterms:modified xsi:type="dcterms:W3CDTF">2022-02-22T11:31:00Z</dcterms:modified>
  <revision>2</revision>
</coreProperties>
</file>