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a25907d821bb48188c9335453e051df7"/>
        <w:lock w:val="sdtLocked"/>
        <w:richText/>
      </w:sdtPr>
      <w:sdtContent>
        <w:tbl>
          <w:tblPr>
            <w:tblW w:w="0" w:type="auto"/>
            <w:tblLook w:val="04A0" w:firstRow="1" w:lastRow="0" w:firstColumn="1" w:lastColumn="0" w:noHBand="0" w:noVBand="1"/>
          </w:tblPr>
          <w:tblGrid>
            <w:gridCol w:w="4503"/>
          </w:tblGrid>
          <w:tr>
            <w:trPr>
              <w:trHeight w:val="851"/>
            </w:trPr>
            <w:tc>
              <w:tcPr>
                <w:tcW w:w="4503" w:type="dxa"/>
                <w:shd w:val="clear" w:color="auto" w:fill="auto"/>
              </w:tcPr>
              <w:p>
                <w:pPr>
                  <w:ind w:right="141"/>
                  <w:rPr>
                    <w:bCs/>
                    <w:szCs w:val="24"/>
                  </w:rPr>
                </w:pPr>
                <w:r>
                  <w:rPr>
                    <w:bCs/>
                    <w:szCs w:val="24"/>
                  </w:rPr>
                  <w:t xml:space="preserve">PATVIRTINTA                                                    Alytaus rajono savivaldybės tarybos                                                                           2022 m. vasario 17 d. sprendimu Nr. K-1                                                                            </w:t>
                </w:r>
              </w:p>
            </w:tc>
          </w:tr>
          <w:tr>
            <w:trPr>
              <w:trHeight w:val="851"/>
            </w:trPr>
            <w:tc>
              <w:tcPr>
                <w:tcW w:w="4503" w:type="dxa"/>
                <w:shd w:val="clear" w:color="auto" w:fill="auto"/>
              </w:tcPr>
              <w:p>
                <w:pPr>
                  <w:rPr>
                    <w:bCs/>
                    <w:szCs w:val="24"/>
                    <w:lang w:val="en-US"/>
                  </w:rPr>
                </w:pPr>
              </w:p>
            </w:tc>
          </w:tr>
          <w:tr>
            <w:trPr>
              <w:trHeight w:val="851"/>
            </w:trPr>
            <w:tc>
              <w:tcPr>
                <w:tcW w:w="4503" w:type="dxa"/>
                <w:shd w:val="clear" w:color="auto" w:fill="auto"/>
              </w:tcPr>
              <w:p>
                <w:pPr>
                  <w:tabs>
                    <w:tab w:val="left" w:pos="3045"/>
                  </w:tabs>
                  <w:ind w:right="141" w:firstLine="3231"/>
                  <w:rPr>
                    <w:bCs/>
                    <w:szCs w:val="24"/>
                  </w:rPr>
                </w:pPr>
                <w:r>
                  <w:rPr>
                    <w:bCs/>
                    <w:szCs w:val="24"/>
                  </w:rPr>
                  <w:t>1 priedas</w:t>
                </w:r>
              </w:p>
              <w:p>
                <w:pPr>
                  <w:ind w:right="141" w:firstLine="720"/>
                  <w:jc w:val="right"/>
                  <w:rPr>
                    <w:bCs/>
                    <w:szCs w:val="24"/>
                  </w:rPr>
                </w:pPr>
                <w:r>
                  <w:rPr>
                    <w:bCs/>
                    <w:szCs w:val="24"/>
                  </w:rPr>
                  <w:t>1 b forma</w:t>
                </w:r>
              </w:p>
              <w:p>
                <w:pPr>
                  <w:tabs>
                    <w:tab w:val="left" w:pos="3045"/>
                  </w:tabs>
                  <w:rPr>
                    <w:szCs w:val="24"/>
                  </w:rPr>
                </w:pPr>
              </w:p>
            </w:tc>
          </w:tr>
        </w:tbl>
        <w:p>
          <w:pPr>
            <w:ind w:right="141"/>
            <w:jc w:val="right"/>
            <w:rPr>
              <w:bCs/>
              <w:szCs w:val="24"/>
            </w:rPr>
          </w:pPr>
        </w:p>
        <w:p>
          <w:pPr>
            <w:ind w:right="141"/>
            <w:jc w:val="right"/>
            <w:rPr>
              <w:bCs/>
              <w:szCs w:val="24"/>
            </w:rPr>
          </w:pPr>
        </w:p>
        <w:p>
          <w:pPr>
            <w:ind w:right="141"/>
            <w:jc w:val="right"/>
            <w:rPr>
              <w:bCs/>
              <w:szCs w:val="24"/>
            </w:rPr>
          </w:pPr>
        </w:p>
        <w:p>
          <w:pPr>
            <w:ind w:right="141"/>
            <w:jc w:val="right"/>
            <w:rPr>
              <w:bCs/>
              <w:szCs w:val="24"/>
            </w:rPr>
          </w:pPr>
        </w:p>
        <w:p>
          <w:pPr>
            <w:ind w:right="141"/>
            <w:jc w:val="right"/>
            <w:rPr>
              <w:bCs/>
              <w:szCs w:val="24"/>
            </w:rPr>
          </w:pPr>
        </w:p>
        <w:p>
          <w:pPr>
            <w:ind w:left="1531" w:right="141"/>
            <w:jc w:val="right"/>
            <w:rPr>
              <w:bCs/>
              <w:szCs w:val="24"/>
            </w:rPr>
          </w:pPr>
        </w:p>
        <w:p>
          <w:pPr>
            <w:jc w:val="center"/>
            <w:rPr>
              <w:b/>
              <w:bCs/>
              <w:sz w:val="22"/>
              <w:szCs w:val="24"/>
            </w:rPr>
          </w:pPr>
        </w:p>
        <w:p>
          <w:pPr>
            <w:jc w:val="center"/>
            <w:rPr>
              <w:b/>
              <w:bCs/>
              <w:sz w:val="22"/>
              <w:szCs w:val="24"/>
            </w:rPr>
          </w:pPr>
        </w:p>
        <w:p>
          <w:pPr>
            <w:jc w:val="center"/>
            <w:rPr>
              <w:b/>
              <w:bCs/>
              <w:sz w:val="22"/>
              <w:szCs w:val="24"/>
            </w:rPr>
          </w:pPr>
        </w:p>
      </w:sdtContent>
    </w:sdt>
    <w:sdt>
      <w:sdtPr>
        <w:alias w:val="lentele"/>
        <w:tag w:val="part_8466bbf4dd914d36b528c4e243959ff0"/>
        <w:lock w:val="sdtLocked"/>
        <w:richText/>
      </w:sdtPr>
      <w:sdtContent>
        <w:sdt>
          <w:sdtPr>
            <w:alias w:val="Pavadinimas"/>
            <w:tag w:val="title_8466bbf4dd914d36b528c4e243959ff0"/>
            <w:lock w:val="sdtLocked"/>
            <w:richText/>
          </w:sdtPr>
          <w:sdtContent>
            <w:p>
              <w:pPr>
                <w:jc w:val="center"/>
                <w:rPr>
                  <w:b/>
                  <w:bCs/>
                  <w:szCs w:val="22"/>
                </w:rPr>
              </w:pPr>
              <w:r>
                <w:rPr>
                  <w:b/>
                  <w:bCs/>
                  <w:sz w:val="22"/>
                  <w:szCs w:val="24"/>
                </w:rPr>
                <w:t>SAVIVALDYBĖS VEIKLOS, PAGRINDINIŲ FUNKCIJŲ VYKDYMO, STRATEGIJOS FORMAVIMO IR JOS ĮGYVENDINIMO</w:t>
              </w:r>
            </w:p>
            <w:p>
              <w:pPr>
                <w:jc w:val="center"/>
                <w:rPr>
                  <w:b/>
                  <w:bCs/>
                  <w:szCs w:val="22"/>
                </w:rPr>
              </w:pPr>
              <w:r>
                <w:rPr>
                  <w:b/>
                  <w:bCs/>
                  <w:szCs w:val="22"/>
                </w:rPr>
                <w:t>PROGRAMOS APRAŠYMAS</w:t>
              </w:r>
            </w:p>
          </w:sdtContent>
        </w:sdt>
        <w:p>
          <w:pPr>
            <w:jc w:val="center"/>
            <w:rPr>
              <w:b/>
              <w:bCs/>
              <w:szCs w:val="22"/>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73"/>
            <w:gridCol w:w="4797"/>
            <w:gridCol w:w="870"/>
            <w:gridCol w:w="1091"/>
          </w:tblGrid>
          <w:tr>
            <w:tc>
              <w:tcPr>
                <w:tcW w:w="3273" w:type="dxa"/>
              </w:tcPr>
              <w:p>
                <w:pPr>
                  <w:keepNext/>
                  <w:rPr>
                    <w:b/>
                    <w:bCs/>
                    <w:sz w:val="22"/>
                  </w:rPr>
                </w:pPr>
                <w:r>
                  <w:rPr>
                    <w:b/>
                    <w:bCs/>
                    <w:sz w:val="22"/>
                  </w:rPr>
                  <w:t>Biudžetiniai metai</w:t>
                </w:r>
              </w:p>
            </w:tc>
            <w:tc>
              <w:tcPr>
                <w:tcW w:w="6758" w:type="dxa"/>
                <w:gridSpan w:val="3"/>
              </w:tcPr>
              <w:p>
                <w:pPr>
                  <w:rPr>
                    <w:b/>
                    <w:sz w:val="22"/>
                    <w:szCs w:val="24"/>
                  </w:rPr>
                </w:pPr>
                <w:r>
                  <w:rPr>
                    <w:b/>
                    <w:sz w:val="22"/>
                    <w:szCs w:val="24"/>
                  </w:rPr>
                  <w:t>2022 metai</w:t>
                </w:r>
              </w:p>
            </w:tc>
          </w:tr>
          <w:tr>
            <w:trPr>
              <w:trHeight w:val="1257"/>
            </w:trPr>
            <w:tc>
              <w:tcPr>
                <w:tcW w:w="3273" w:type="dxa"/>
                <w:vAlign w:val="center"/>
              </w:tcPr>
              <w:p>
                <w:pPr>
                  <w:keepNext/>
                  <w:rPr>
                    <w:b/>
                    <w:bCs/>
                    <w:sz w:val="22"/>
                  </w:rPr>
                </w:pPr>
                <w:r>
                  <w:rPr>
                    <w:b/>
                    <w:bCs/>
                    <w:sz w:val="22"/>
                  </w:rPr>
                  <w:t>Asignavimų valdytojas (-ai), kodas (-ai)</w:t>
                </w:r>
              </w:p>
            </w:tc>
            <w:tc>
              <w:tcPr>
                <w:tcW w:w="6758" w:type="dxa"/>
                <w:gridSpan w:val="3"/>
              </w:tcPr>
              <w:p>
                <w:pPr>
                  <w:rPr>
                    <w:szCs w:val="24"/>
                  </w:rPr>
                </w:pPr>
                <w:r>
                  <w:rPr>
                    <w:szCs w:val="24"/>
                  </w:rPr>
                  <w:t>Alytaus rajono savivaldybės administracijos direktorius, 188718528</w:t>
                </w:r>
              </w:p>
              <w:p>
                <w:pPr>
                  <w:rPr>
                    <w:szCs w:val="24"/>
                  </w:rPr>
                </w:pPr>
                <w:r>
                  <w:rPr>
                    <w:szCs w:val="24"/>
                  </w:rPr>
                  <w:t>Alytaus rajono savivaldybės biudžetinės įstaigos priešgaisrinės apsaugos tarybos direktorius, 188731956</w:t>
                </w:r>
              </w:p>
              <w:p>
                <w:pPr>
                  <w:rPr>
                    <w:sz w:val="22"/>
                    <w:szCs w:val="24"/>
                  </w:rPr>
                </w:pPr>
                <w:r>
                  <w:rPr>
                    <w:szCs w:val="24"/>
                  </w:rPr>
                  <w:t>Alytaus rajono savivaldybės kontrolierius, 188652583</w:t>
                </w:r>
              </w:p>
            </w:tc>
          </w:tr>
          <w:tr>
            <w:trPr>
              <w:trHeight w:val="1961"/>
            </w:trPr>
            <w:tc>
              <w:tcPr>
                <w:tcW w:w="3273" w:type="dxa"/>
                <w:vAlign w:val="center"/>
              </w:tcPr>
              <w:p>
                <w:pPr>
                  <w:keepNext/>
                  <w:rPr>
                    <w:b/>
                    <w:bCs/>
                    <w:sz w:val="22"/>
                  </w:rPr>
                </w:pPr>
                <w:r>
                  <w:rPr>
                    <w:b/>
                    <w:bCs/>
                    <w:sz w:val="22"/>
                  </w:rPr>
                  <w:t>Vykdytojas (-ai), kodas (-ai)</w:t>
                </w:r>
              </w:p>
            </w:tc>
            <w:tc>
              <w:tcPr>
                <w:tcW w:w="6758" w:type="dxa"/>
                <w:gridSpan w:val="3"/>
              </w:tcPr>
              <w:p>
                <w:pPr>
                  <w:rPr>
                    <w:szCs w:val="24"/>
                  </w:rPr>
                </w:pPr>
                <w:r>
                  <w:rPr>
                    <w:szCs w:val="24"/>
                  </w:rPr>
                  <w:t>Buhalterinės apskaitos skyrius, A2</w:t>
                </w:r>
              </w:p>
              <w:p>
                <w:pPr>
                  <w:rPr>
                    <w:szCs w:val="24"/>
                  </w:rPr>
                </w:pPr>
                <w:r>
                  <w:rPr>
                    <w:szCs w:val="24"/>
                  </w:rPr>
                  <w:t>Civilinės metrikacijos skyrius, A4</w:t>
                </w:r>
              </w:p>
              <w:p>
                <w:pPr>
                  <w:rPr>
                    <w:szCs w:val="24"/>
                  </w:rPr>
                </w:pPr>
                <w:r>
                  <w:rPr>
                    <w:szCs w:val="24"/>
                  </w:rPr>
                  <w:t>Turto valdymo skyrius, A5</w:t>
                </w:r>
              </w:p>
              <w:p>
                <w:pPr>
                  <w:rPr>
                    <w:szCs w:val="24"/>
                  </w:rPr>
                </w:pPr>
                <w:r>
                  <w:rPr>
                    <w:szCs w:val="24"/>
                  </w:rPr>
                  <w:t>Finansų ir investicijų skyrius, A6</w:t>
                </w:r>
              </w:p>
              <w:p>
                <w:pPr>
                  <w:rPr>
                    <w:szCs w:val="24"/>
                  </w:rPr>
                </w:pPr>
                <w:r>
                  <w:rPr>
                    <w:szCs w:val="24"/>
                  </w:rPr>
                  <w:t>Teisės ir vidaus administravimo skyrius, A12</w:t>
                </w:r>
              </w:p>
              <w:p>
                <w:pPr>
                  <w:tabs>
                    <w:tab w:val="left" w:pos="851"/>
                  </w:tabs>
                  <w:ind w:hanging="12"/>
                  <w:rPr>
                    <w:szCs w:val="24"/>
                  </w:rPr>
                </w:pPr>
                <w:r>
                  <w:rPr>
                    <w:szCs w:val="24"/>
                  </w:rPr>
                  <w:t xml:space="preserve">Alytaus rajono savivaldybės biudžetinė įstaiga Priešgaisrinės </w:t>
                </w:r>
              </w:p>
              <w:p>
                <w:pPr>
                  <w:rPr>
                    <w:sz w:val="22"/>
                    <w:szCs w:val="24"/>
                  </w:rPr>
                </w:pPr>
                <w:r>
                  <w:rPr>
                    <w:bCs/>
                    <w:szCs w:val="24"/>
                  </w:rPr>
                  <w:t>apsaugos tarnyba, P1</w:t>
                </w:r>
              </w:p>
              <w:p>
                <w:pPr>
                  <w:rPr>
                    <w:szCs w:val="24"/>
                  </w:rPr>
                </w:pPr>
                <w:r>
                  <w:rPr>
                    <w:szCs w:val="24"/>
                  </w:rPr>
                  <w:t>Alytaus rajono savivaldybės kontrolės ir audito tarnyba, K1</w:t>
                </w:r>
              </w:p>
            </w:tc>
          </w:tr>
          <w:tr>
            <w:tc>
              <w:tcPr>
                <w:tcW w:w="3273" w:type="dxa"/>
                <w:vAlign w:val="center"/>
              </w:tcPr>
              <w:p>
                <w:pPr>
                  <w:keepNext/>
                  <w:tabs>
                    <w:tab w:val="left" w:pos="0"/>
                    <w:tab w:val="left" w:pos="180"/>
                  </w:tabs>
                  <w:ind w:right="-766"/>
                  <w:outlineLvl w:val="2"/>
                  <w:rPr>
                    <w:b/>
                    <w:bCs/>
                    <w:szCs w:val="24"/>
                  </w:rPr>
                </w:pPr>
                <w:r>
                  <w:rPr>
                    <w:b/>
                    <w:bCs/>
                    <w:szCs w:val="24"/>
                  </w:rPr>
                  <w:t>Programos pavadinimas</w:t>
                </w:r>
              </w:p>
            </w:tc>
            <w:tc>
              <w:tcPr>
                <w:tcW w:w="4797" w:type="dxa"/>
                <w:vAlign w:val="center"/>
              </w:tcPr>
              <w:p>
                <w:pPr>
                  <w:jc w:val="both"/>
                  <w:rPr>
                    <w:b/>
                    <w:bCs/>
                    <w:szCs w:val="24"/>
                  </w:rPr>
                </w:pPr>
                <w:r>
                  <w:rPr>
                    <w:b/>
                    <w:bCs/>
                    <w:szCs w:val="24"/>
                  </w:rPr>
                  <w:t>SAVIVALDYBĖS VEIKLOS, PAGRINDINIŲ FUNKCIJŲ VYKDYMAS, STRATEGIJOS FORMAVIMAS IR JOS ĮGYVENDINIMAS</w:t>
                </w:r>
              </w:p>
            </w:tc>
            <w:tc>
              <w:tcPr>
                <w:tcW w:w="0" w:type="auto"/>
                <w:vAlign w:val="center"/>
              </w:tcPr>
              <w:p>
                <w:pPr>
                  <w:keepNext/>
                  <w:jc w:val="center"/>
                  <w:outlineLvl w:val="3"/>
                  <w:rPr>
                    <w:b/>
                    <w:bCs/>
                    <w:sz w:val="22"/>
                    <w:szCs w:val="24"/>
                  </w:rPr>
                </w:pPr>
                <w:r>
                  <w:rPr>
                    <w:b/>
                    <w:bCs/>
                    <w:sz w:val="22"/>
                    <w:szCs w:val="24"/>
                  </w:rPr>
                  <w:t>Kodas</w:t>
                </w:r>
              </w:p>
            </w:tc>
            <w:tc>
              <w:tcPr>
                <w:tcW w:w="1091" w:type="dxa"/>
                <w:vAlign w:val="center"/>
              </w:tcPr>
              <w:p>
                <w:pPr>
                  <w:jc w:val="center"/>
                  <w:rPr>
                    <w:b/>
                    <w:sz w:val="22"/>
                    <w:szCs w:val="24"/>
                  </w:rPr>
                </w:pPr>
                <w:r>
                  <w:rPr>
                    <w:b/>
                    <w:sz w:val="22"/>
                    <w:szCs w:val="24"/>
                  </w:rPr>
                  <w:t>02</w:t>
                </w:r>
              </w:p>
            </w:tc>
          </w:tr>
          <w:tr>
            <w:tc>
              <w:tcPr>
                <w:tcW w:w="3273" w:type="dxa"/>
                <w:vAlign w:val="center"/>
              </w:tcPr>
              <w:p>
                <w:pPr>
                  <w:rPr>
                    <w:b/>
                    <w:sz w:val="22"/>
                    <w:szCs w:val="22"/>
                  </w:rPr>
                </w:pPr>
                <w:r>
                  <w:rPr>
                    <w:b/>
                    <w:sz w:val="22"/>
                    <w:szCs w:val="22"/>
                  </w:rPr>
                  <w:t>Programos parengimo argumentai</w:t>
                </w:r>
              </w:p>
            </w:tc>
            <w:tc>
              <w:tcPr>
                <w:tcW w:w="6758" w:type="dxa"/>
                <w:gridSpan w:val="3"/>
              </w:tcPr>
              <w:p>
                <w:pPr>
                  <w:ind w:firstLine="567"/>
                  <w:jc w:val="both"/>
                  <w:rPr>
                    <w:szCs w:val="24"/>
                  </w:rPr>
                </w:pPr>
                <w:r>
                  <w:rPr>
                    <w:szCs w:val="24"/>
                  </w:rPr>
                  <w:t>Savivaldybė įgyvendina vietos valdžios principus, funkcijas savo aptarnaujamoje teritorijoje. Efektyviai veiklai būtinas racionalus, suplanuotas išteklių paskirstymas, sistemingas veiklos, darbo planavimas. Turi būti tinkamai įgyvendintos valstybės deleguotos funkcijos.</w:t>
                </w:r>
              </w:p>
              <w:p>
                <w:pPr>
                  <w:ind w:firstLine="567"/>
                  <w:jc w:val="both"/>
                  <w:rPr>
                    <w:szCs w:val="24"/>
                  </w:rPr>
                </w:pPr>
                <w:r>
                  <w:rPr>
                    <w:bCs/>
                    <w:szCs w:val="24"/>
                    <w:lang w:val="en-US"/>
                  </w:rPr>
                  <w:t>Alytaus rajono savivaldybės kontrolės ir audito tarnyba netiesiogiai susijusi su visais Alytaus rajono savivaldybės strateginiame plėtros plane įvardintais prioritetais. N</w:t>
                </w:r>
                <w:r>
                  <w:rPr>
                    <w:szCs w:val="24"/>
                    <w:lang w:val="en-US"/>
                  </w:rPr>
                  <w:t>uo to, kaip kokybiškai ir racionaliai dirbs Tarnyba, priklauso visų vykdomų programų rezultatai.</w:t>
                </w:r>
              </w:p>
              <w:p>
                <w:pPr>
                  <w:ind w:firstLine="567"/>
                  <w:jc w:val="both"/>
                  <w:rPr>
                    <w:szCs w:val="24"/>
                  </w:rPr>
                </w:pPr>
                <w:r>
                  <w:rPr>
                    <w:szCs w:val="24"/>
                  </w:rPr>
                  <w:t>Atsižvelgiant į tai, kad žmogaus ir visuomenės sveikata yra viena svarbiausių visuomenės vertybių, siekiama mažinti alkoholinių gėrimų, tabako, tabako gaminių ir su jais susijusių gaminių vartojimą, jų prieinamumą (ypač nepilnamečiams asmenims) ir dėl alkoholinių gėrimų, tabako, tabako gaminių ir su jais susijusių gaminių vartojimo atsiradusius neigiamus padarinius gyventojų sveikatai ir ūkiui.</w:t>
                </w:r>
              </w:p>
              <w:p>
                <w:pPr>
                  <w:ind w:firstLine="567"/>
                  <w:jc w:val="both"/>
                  <w:rPr>
                    <w:szCs w:val="22"/>
                    <w:lang w:val="en-US"/>
                  </w:rPr>
                </w:pPr>
                <w:r>
                  <w:rPr>
                    <w:szCs w:val="22"/>
                    <w:lang w:val="en-US"/>
                  </w:rPr>
                  <w:t>Civilinės metrikacijos skyriui priskirta vykdyti valstybines funkcijas: civilinės būklės aktų registravimas, gyventojų registro tvarkymas ir duomenų teikimas valstybės registrams, gyvenamosios vietos deklaravimo duomenų tvarkymas.</w:t>
                </w:r>
              </w:p>
              <w:p>
                <w:pPr>
                  <w:ind w:firstLine="567"/>
                  <w:jc w:val="both"/>
                  <w:rPr>
                    <w:b/>
                    <w:szCs w:val="24"/>
                  </w:rPr>
                </w:pPr>
                <w:r>
                  <w:rPr>
                    <w:bCs/>
                    <w:szCs w:val="24"/>
                  </w:rPr>
                  <w:t>Programa parengta, siekiant užtikrinti Alytaus rajono gyventojų saugumą, gelbėti žmones ir apsaugoti jų turtą gaisro vietoje, teikti informaciją rajono gyventojams priešgaisrinės saugos klausimais, teikti būtinas paslaugas žmonėms ir įmonėms nelaimės atveju.</w:t>
                </w:r>
              </w:p>
            </w:tc>
          </w:tr>
          <w:tr>
            <w:tc>
              <w:tcPr>
                <w:tcW w:w="3273" w:type="dxa"/>
              </w:tcPr>
              <w:p>
                <w:pPr>
                  <w:rPr>
                    <w:b/>
                    <w:sz w:val="22"/>
                    <w:szCs w:val="24"/>
                  </w:rPr>
                </w:pPr>
                <w:r>
                  <w:rPr>
                    <w:b/>
                    <w:sz w:val="22"/>
                    <w:szCs w:val="24"/>
                  </w:rPr>
                  <w:t>Ilgalaikis prioritetas</w:t>
                </w:r>
              </w:p>
              <w:p>
                <w:pPr>
                  <w:rPr>
                    <w:b/>
                    <w:sz w:val="22"/>
                    <w:szCs w:val="24"/>
                  </w:rPr>
                </w:pPr>
                <w:r>
                  <w:rPr>
                    <w:b/>
                    <w:sz w:val="22"/>
                    <w:szCs w:val="24"/>
                  </w:rPr>
                  <w:t>(pagal Alytaus rajono savivaldybės strateginį plėtros planą)</w:t>
                </w:r>
              </w:p>
            </w:tc>
            <w:tc>
              <w:tcPr>
                <w:tcW w:w="4797" w:type="dxa"/>
                <w:vAlign w:val="center"/>
              </w:tcPr>
              <w:p>
                <w:pPr>
                  <w:keepNext/>
                  <w:outlineLvl w:val="4"/>
                  <w:rPr>
                    <w:b/>
                    <w:sz w:val="22"/>
                    <w:szCs w:val="24"/>
                    <w:lang w:val="en-GB"/>
                  </w:rPr>
                </w:pPr>
                <w:r>
                  <w:rPr>
                    <w:b/>
                    <w:sz w:val="22"/>
                    <w:szCs w:val="24"/>
                    <w:lang w:val="en-GB"/>
                  </w:rPr>
                  <w:t>SUMANIOS, VEIKLIOS, SUSITELKUSIOS BENDRUOMENĖS, PAŽANGI, SOCIALIAI ATSAKINGA SAVIVALDA</w:t>
                </w:r>
              </w:p>
              <w:p>
                <w:pPr>
                  <w:rPr>
                    <w:szCs w:val="24"/>
                    <w:lang w:val="en-GB"/>
                  </w:rPr>
                </w:pPr>
              </w:p>
              <w:p>
                <w:pPr>
                  <w:rPr>
                    <w:szCs w:val="24"/>
                    <w:lang w:val="en-GB"/>
                  </w:rPr>
                </w:pPr>
              </w:p>
            </w:tc>
            <w:tc>
              <w:tcPr>
                <w:tcW w:w="0" w:type="auto"/>
                <w:vAlign w:val="center"/>
              </w:tcPr>
              <w:p>
                <w:pPr>
                  <w:keepNext/>
                  <w:jc w:val="center"/>
                  <w:outlineLvl w:val="4"/>
                  <w:rPr>
                    <w:b/>
                    <w:bCs/>
                    <w:sz w:val="22"/>
                    <w:szCs w:val="24"/>
                  </w:rPr>
                </w:pPr>
                <w:r>
                  <w:rPr>
                    <w:b/>
                    <w:bCs/>
                    <w:sz w:val="22"/>
                    <w:szCs w:val="24"/>
                  </w:rPr>
                  <w:t>Kodas</w:t>
                </w:r>
              </w:p>
            </w:tc>
            <w:tc>
              <w:tcPr>
                <w:tcW w:w="1091" w:type="dxa"/>
                <w:vAlign w:val="center"/>
              </w:tcPr>
              <w:p>
                <w:pPr>
                  <w:keepNext/>
                  <w:jc w:val="center"/>
                  <w:outlineLvl w:val="4"/>
                  <w:rPr>
                    <w:b/>
                    <w:sz w:val="22"/>
                    <w:szCs w:val="24"/>
                  </w:rPr>
                </w:pPr>
                <w:r>
                  <w:rPr>
                    <w:b/>
                    <w:sz w:val="22"/>
                    <w:szCs w:val="24"/>
                  </w:rPr>
                  <w:t>02</w:t>
                </w:r>
              </w:p>
              <w:p>
                <w:pPr>
                  <w:rPr>
                    <w:szCs w:val="24"/>
                  </w:rPr>
                </w:pPr>
              </w:p>
              <w:p>
                <w:pPr>
                  <w:rPr>
                    <w:szCs w:val="24"/>
                  </w:rPr>
                </w:pPr>
              </w:p>
              <w:p>
                <w:pPr>
                  <w:rPr>
                    <w:szCs w:val="24"/>
                  </w:rPr>
                </w:pPr>
              </w:p>
              <w:p>
                <w:pPr>
                  <w:rPr>
                    <w:szCs w:val="24"/>
                  </w:rPr>
                </w:pPr>
              </w:p>
            </w:tc>
          </w:tr>
          <w:tr>
            <w:tc>
              <w:tcPr>
                <w:tcW w:w="3273" w:type="dxa"/>
                <w:vAlign w:val="center"/>
              </w:tcPr>
              <w:p>
                <w:pPr>
                  <w:rPr>
                    <w:b/>
                    <w:sz w:val="22"/>
                    <w:szCs w:val="24"/>
                  </w:rPr>
                </w:pPr>
                <w:r>
                  <w:rPr>
                    <w:b/>
                    <w:sz w:val="22"/>
                    <w:szCs w:val="24"/>
                  </w:rPr>
                  <w:t>Šia programa įgyvendinamas savivaldybės strateginis tikslas:</w:t>
                </w:r>
              </w:p>
            </w:tc>
            <w:tc>
              <w:tcPr>
                <w:tcW w:w="4797" w:type="dxa"/>
              </w:tcPr>
              <w:p>
                <w:pPr>
                  <w:keepNext/>
                  <w:ind w:right="-766"/>
                  <w:outlineLvl w:val="2"/>
                  <w:rPr>
                    <w:b/>
                    <w:bCs/>
                    <w:szCs w:val="24"/>
                    <w:lang w:eastAsia="lt-LT"/>
                  </w:rPr>
                </w:pPr>
                <w:r>
                  <w:rPr>
                    <w:b/>
                    <w:bCs/>
                    <w:szCs w:val="24"/>
                    <w:lang w:eastAsia="lt-LT"/>
                  </w:rPr>
                  <w:t xml:space="preserve">DIDINTI VALDYMO KOKYBĘ IR </w:t>
                </w:r>
              </w:p>
              <w:p>
                <w:pPr>
                  <w:keepNext/>
                  <w:ind w:right="-766"/>
                  <w:outlineLvl w:val="2"/>
                  <w:rPr>
                    <w:b/>
                    <w:bCs/>
                    <w:szCs w:val="24"/>
                    <w:lang w:eastAsia="lt-LT"/>
                  </w:rPr>
                </w:pPr>
                <w:r>
                  <w:rPr>
                    <w:b/>
                    <w:bCs/>
                    <w:szCs w:val="24"/>
                    <w:lang w:eastAsia="lt-LT"/>
                  </w:rPr>
                  <w:t xml:space="preserve">UGDYTI DARBUOTOJŲ </w:t>
                </w:r>
              </w:p>
              <w:p>
                <w:pPr>
                  <w:keepNext/>
                  <w:ind w:right="-766"/>
                  <w:outlineLvl w:val="2"/>
                  <w:rPr>
                    <w:b/>
                    <w:bCs/>
                    <w:szCs w:val="24"/>
                    <w:lang w:eastAsia="lt-LT"/>
                  </w:rPr>
                </w:pPr>
                <w:r>
                  <w:rPr>
                    <w:b/>
                    <w:bCs/>
                    <w:szCs w:val="24"/>
                    <w:lang w:eastAsia="lt-LT"/>
                  </w:rPr>
                  <w:t xml:space="preserve">KOMPETENCIJAS, SIEKIANT </w:t>
                </w:r>
              </w:p>
              <w:p>
                <w:pPr>
                  <w:keepNext/>
                  <w:ind w:right="-766"/>
                  <w:outlineLvl w:val="2"/>
                  <w:rPr>
                    <w:b/>
                    <w:bCs/>
                    <w:szCs w:val="24"/>
                    <w:lang w:eastAsia="lt-LT"/>
                  </w:rPr>
                </w:pPr>
                <w:r>
                  <w:rPr>
                    <w:b/>
                    <w:bCs/>
                    <w:szCs w:val="24"/>
                    <w:lang w:eastAsia="lt-LT"/>
                  </w:rPr>
                  <w:t>PATENKINTI VERSLO IR GYVENTOJŲ POREIKIUS</w:t>
                </w:r>
              </w:p>
              <w:p>
                <w:pPr>
                  <w:rPr>
                    <w:b/>
                    <w:szCs w:val="24"/>
                    <w:lang w:eastAsia="lt-LT"/>
                  </w:rPr>
                </w:pPr>
              </w:p>
              <w:p>
                <w:pPr>
                  <w:rPr>
                    <w:b/>
                    <w:szCs w:val="24"/>
                    <w:lang w:eastAsia="lt-LT"/>
                  </w:rPr>
                </w:pPr>
                <w:r>
                  <w:rPr>
                    <w:b/>
                    <w:szCs w:val="24"/>
                    <w:lang w:eastAsia="lt-LT"/>
                  </w:rPr>
                  <w:t>SKATINTI INTEGRUOTĄ SOCIALINĘ, EKONOMINĘ VIETOS PLĖTRĄ IR ĮTRAUKIAS ŠVIETIMO PASLAUGAS</w:t>
                </w:r>
              </w:p>
            </w:tc>
            <w:tc>
              <w:tcPr>
                <w:tcW w:w="0" w:type="auto"/>
              </w:tcPr>
              <w:p>
                <w:pPr>
                  <w:keepNext/>
                  <w:jc w:val="center"/>
                  <w:outlineLvl w:val="3"/>
                  <w:rPr>
                    <w:b/>
                    <w:bCs/>
                    <w:sz w:val="22"/>
                    <w:szCs w:val="22"/>
                  </w:rPr>
                </w:pPr>
                <w:r>
                  <w:rPr>
                    <w:b/>
                    <w:bCs/>
                    <w:sz w:val="22"/>
                    <w:szCs w:val="22"/>
                  </w:rPr>
                  <w:t>Kodas</w:t>
                </w:r>
              </w:p>
            </w:tc>
            <w:tc>
              <w:tcPr>
                <w:tcW w:w="1091" w:type="dxa"/>
              </w:tcPr>
              <w:p>
                <w:pPr>
                  <w:jc w:val="center"/>
                  <w:rPr>
                    <w:b/>
                    <w:sz w:val="22"/>
                    <w:szCs w:val="22"/>
                  </w:rPr>
                </w:pPr>
                <w:r>
                  <w:rPr>
                    <w:b/>
                    <w:sz w:val="22"/>
                    <w:szCs w:val="22"/>
                  </w:rPr>
                  <w:t>02</w:t>
                </w:r>
              </w:p>
              <w:p>
                <w:pPr>
                  <w:jc w:val="center"/>
                  <w:rPr>
                    <w:b/>
                    <w:sz w:val="22"/>
                    <w:szCs w:val="22"/>
                  </w:rPr>
                </w:pPr>
              </w:p>
              <w:p>
                <w:pPr>
                  <w:jc w:val="center"/>
                  <w:rPr>
                    <w:b/>
                    <w:sz w:val="22"/>
                    <w:szCs w:val="22"/>
                  </w:rPr>
                </w:pPr>
              </w:p>
              <w:p>
                <w:pPr>
                  <w:jc w:val="center"/>
                  <w:rPr>
                    <w:b/>
                    <w:sz w:val="22"/>
                    <w:szCs w:val="22"/>
                  </w:rPr>
                </w:pPr>
              </w:p>
              <w:p>
                <w:pPr>
                  <w:jc w:val="center"/>
                  <w:rPr>
                    <w:b/>
                    <w:sz w:val="22"/>
                    <w:szCs w:val="22"/>
                  </w:rPr>
                </w:pPr>
              </w:p>
              <w:p>
                <w:pPr>
                  <w:jc w:val="center"/>
                  <w:rPr>
                    <w:b/>
                    <w:sz w:val="22"/>
                    <w:szCs w:val="22"/>
                  </w:rPr>
                </w:pPr>
              </w:p>
              <w:p>
                <w:pPr>
                  <w:jc w:val="center"/>
                  <w:rPr>
                    <w:b/>
                    <w:sz w:val="22"/>
                    <w:szCs w:val="22"/>
                  </w:rPr>
                </w:pPr>
              </w:p>
              <w:p>
                <w:pPr>
                  <w:jc w:val="center"/>
                  <w:rPr>
                    <w:b/>
                    <w:sz w:val="22"/>
                    <w:szCs w:val="22"/>
                  </w:rPr>
                </w:pPr>
                <w:r>
                  <w:rPr>
                    <w:b/>
                    <w:sz w:val="22"/>
                    <w:szCs w:val="22"/>
                  </w:rPr>
                  <w:t>03</w:t>
                </w:r>
              </w:p>
            </w:tc>
          </w:tr>
          <w:tr>
            <w:tc>
              <w:tcPr>
                <w:tcW w:w="3273" w:type="dxa"/>
                <w:vAlign w:val="center"/>
              </w:tcPr>
              <w:p>
                <w:pPr>
                  <w:rPr>
                    <w:b/>
                    <w:sz w:val="22"/>
                    <w:szCs w:val="24"/>
                  </w:rPr>
                </w:pPr>
                <w:r>
                  <w:rPr>
                    <w:b/>
                    <w:bCs/>
                    <w:sz w:val="22"/>
                    <w:szCs w:val="24"/>
                  </w:rPr>
                  <w:t>Programos tikslas</w:t>
                </w:r>
              </w:p>
            </w:tc>
            <w:tc>
              <w:tcPr>
                <w:tcW w:w="4797" w:type="dxa"/>
                <w:vAlign w:val="center"/>
              </w:tcPr>
              <w:p>
                <w:pPr>
                  <w:tabs>
                    <w:tab w:val="left" w:pos="851"/>
                  </w:tabs>
                  <w:jc w:val="both"/>
                  <w:rPr>
                    <w:b/>
                    <w:szCs w:val="24"/>
                  </w:rPr>
                </w:pPr>
                <w:r>
                  <w:rPr>
                    <w:b/>
                    <w:szCs w:val="24"/>
                  </w:rPr>
                  <w:t xml:space="preserve">Efektyviai organizuoti savivaldybės darbą, tinkamai įgyvendinant jos funkcijas ir skatinant rajono gyventojų bendruomeniškumą </w:t>
                </w:r>
              </w:p>
            </w:tc>
            <w:tc>
              <w:tcPr>
                <w:tcW w:w="0" w:type="auto"/>
                <w:vAlign w:val="center"/>
              </w:tcPr>
              <w:p>
                <w:pPr>
                  <w:keepNext/>
                  <w:jc w:val="center"/>
                  <w:rPr>
                    <w:b/>
                    <w:bCs/>
                    <w:sz w:val="22"/>
                  </w:rPr>
                </w:pPr>
                <w:r>
                  <w:rPr>
                    <w:b/>
                    <w:bCs/>
                    <w:sz w:val="22"/>
                  </w:rPr>
                  <w:t>Kodas</w:t>
                </w:r>
              </w:p>
            </w:tc>
            <w:tc>
              <w:tcPr>
                <w:tcW w:w="1091" w:type="dxa"/>
                <w:vAlign w:val="center"/>
              </w:tcPr>
              <w:p>
                <w:pPr>
                  <w:jc w:val="center"/>
                  <w:rPr>
                    <w:b/>
                    <w:sz w:val="22"/>
                    <w:szCs w:val="22"/>
                  </w:rPr>
                </w:pPr>
                <w:r>
                  <w:rPr>
                    <w:b/>
                    <w:sz w:val="22"/>
                    <w:szCs w:val="22"/>
                  </w:rPr>
                  <w:t>01</w:t>
                </w:r>
              </w:p>
            </w:tc>
          </w:tr>
          <w:tr>
            <w:trPr>
              <w:trHeight w:val="268"/>
            </w:trPr>
            <w:tc>
              <w:tcPr>
                <w:tcW w:w="10031" w:type="dxa"/>
                <w:gridSpan w:val="4"/>
              </w:tcPr>
              <w:p>
                <w:pPr>
                  <w:rPr>
                    <w:sz w:val="10"/>
                    <w:szCs w:val="10"/>
                  </w:rPr>
                </w:pPr>
              </w:p>
              <w:p>
                <w:pPr>
                  <w:jc w:val="both"/>
                  <w:rPr>
                    <w:szCs w:val="24"/>
                  </w:rPr>
                </w:pPr>
                <w:r>
                  <w:rPr>
                    <w:szCs w:val="24"/>
                  </w:rPr>
                  <w:t>Tikslo įgyvendinimo aprašymas: savivaldybė, vadovaudamasi Lietuvos Respublikos vietos savivaldos, Lietuvos Respublikos viešojo administravimo ir kitais įstatymais, teikia administracines ir viešąsias paslaugas, nepaisant lyties, rasės, tautybės, kalbos, kilmės, socialinės padėties, tikėjimo, įsitikinimų ar pažiūrų, amžiaus, lytinės orientacijos, negalios, etninės priklausomybės ir religijos. Savivaldybės teikiamų viešųjų paslaugų spektras yra platus - organizuojamas viešųjų paslaugų teikimas gyventojams švietimo, kultūros, sporto, sveikatos, socialinėje, komunalinio ūkio ir kitose šalies įstatymų bei kitų teisės aktų priskirtose srityse.</w:t>
                </w:r>
              </w:p>
              <w:p>
                <w:pPr>
                  <w:rPr>
                    <w:sz w:val="10"/>
                    <w:szCs w:val="10"/>
                  </w:rPr>
                </w:pPr>
              </w:p>
              <w:p>
                <w:pPr>
                  <w:ind w:firstLine="558"/>
                  <w:jc w:val="both"/>
                  <w:rPr>
                    <w:szCs w:val="24"/>
                  </w:rPr>
                </w:pPr>
                <w:r>
                  <w:rPr>
                    <w:szCs w:val="24"/>
                  </w:rPr>
                  <w:t>Įgyvendinant šį tikslą, registruojami civilinės būklės aktų įrašai ( santuokos, ištuokos, gimimai, mirtys, įvaikinimas, tėvystės pripažinimas, tėvystės nustatymas, tėvystės nuginčijimas, vardo, pavardės pakeitimas). Įtraukiamos į apskaitą bažnytinės ir užsienio valstybėse sudarytos santuokos ir gimimai. Išduodami civilinės būklės aktų įrašus liudijantys išrašai, kopijos, išduodamos pažymos apie šeiminę padėtį, papildomi, pakeičiami, anuliuojami, atkuriami civilinės būklės aktų įrašai.</w:t>
                </w:r>
              </w:p>
              <w:p>
                <w:pPr>
                  <w:rPr>
                    <w:sz w:val="10"/>
                    <w:szCs w:val="10"/>
                  </w:rPr>
                </w:pPr>
              </w:p>
              <w:p>
                <w:pPr>
                  <w:ind w:firstLine="496"/>
                  <w:jc w:val="both"/>
                  <w:rPr>
                    <w:szCs w:val="24"/>
                  </w:rPr>
                </w:pPr>
                <w:r>
                  <w:rPr>
                    <w:szCs w:val="24"/>
                  </w:rPr>
                  <w:t>Užtikrinant Lietuvos Respublikos alkoholio kontrolės ir Lietuvos Respubliko tabako, tabako gaminių ir su jais susijusių gaminių kontrolės įstatymų savivaldybėms nustatytas pareigas ir pasinaudojant joms suteiktomis teisėmis svarbu mažinti bendrąjį alkoholinių gėrimų, tabako, tabako gaminių ir su jais susijusių gaminių vartojimą, jų daromą žalą sveikatai ir šalies ekonomikai, jų prieinamumą, ypač nepilnamečiams asmenims, švelninti sveikatos sutrikimų, susijusių su alkoholinių gėrimų, tabako, tabako gaminių ir su jais susijusių gaminių vartojimu, pasekmes.</w:t>
                </w:r>
              </w:p>
              <w:p>
                <w:pPr>
                  <w:rPr>
                    <w:sz w:val="10"/>
                    <w:szCs w:val="10"/>
                  </w:rPr>
                </w:pPr>
              </w:p>
              <w:p>
                <w:pPr>
                  <w:jc w:val="both"/>
                  <w:rPr>
                    <w:szCs w:val="24"/>
                  </w:rPr>
                </w:pPr>
                <w:r>
                  <w:rPr>
                    <w:szCs w:val="24"/>
                  </w:rPr>
                  <w:t>Įgyvendinti šį tikslą yra vykdomi šie uždaviniai:</w:t>
                </w:r>
              </w:p>
              <w:p>
                <w:pPr>
                  <w:rPr>
                    <w:sz w:val="10"/>
                    <w:szCs w:val="10"/>
                  </w:rPr>
                </w:pPr>
              </w:p>
              <w:p>
                <w:pPr>
                  <w:jc w:val="both"/>
                  <w:rPr>
                    <w:szCs w:val="24"/>
                  </w:rPr>
                </w:pPr>
                <w:r>
                  <w:rPr>
                    <w:szCs w:val="24"/>
                  </w:rPr>
                  <w:t>01 uždavinys. Sudaryti sąlygas savivaldybės funkcijoms įgyvendinti ir valstybines (perduotas savivaldybei) funkcijas vykdyti.</w:t>
                </w:r>
              </w:p>
              <w:p>
                <w:pPr>
                  <w:rPr>
                    <w:sz w:val="10"/>
                    <w:szCs w:val="10"/>
                  </w:rPr>
                </w:pPr>
              </w:p>
              <w:p>
                <w:pPr>
                  <w:ind w:firstLine="372"/>
                  <w:jc w:val="both"/>
                  <w:rPr>
                    <w:szCs w:val="24"/>
                  </w:rPr>
                </w:pPr>
                <w:r>
                  <w:rPr>
                    <w:szCs w:val="24"/>
                  </w:rPr>
                  <w:t>Savivaldybės funkcijos – tai Lietuvos Respublikos vietos savivaldos įstatymo ir kitų įstatymų savivaldybėms priskirto viešojo administravimo ir viešųjų paslaugų teikimo funkcijos. Įgyvendinant šį uždavinį taip pat užtikrinamas alkoholinių gėrimų, tabako gaminių ir su jais susijusių gaminių pasiūlos, paklausos ir žalos mažinimas.</w:t>
                </w:r>
              </w:p>
              <w:p>
                <w:pPr>
                  <w:rPr>
                    <w:sz w:val="10"/>
                    <w:szCs w:val="10"/>
                  </w:rPr>
                </w:pPr>
              </w:p>
              <w:p>
                <w:pPr>
                  <w:ind w:firstLine="372"/>
                  <w:jc w:val="both"/>
                  <w:rPr>
                    <w:szCs w:val="24"/>
                  </w:rPr>
                </w:pPr>
                <w:r>
                  <w:rPr>
                    <w:szCs w:val="24"/>
                  </w:rPr>
                  <w:t>Vykdant uždavinį užtikrinamas valstybinių (perduotų savivaldybei) funkcijų vykdymas. Valstybinės (perduotos funkcijos) – tai valstybės funkcijos, perduotos savivaldybėms, atsižvelgiant į gyventojų interesus. Funkcijos perduodamos įstatymais ir įgyvendinamos vadovaujantis teisės aktais. Dalies funkcijų įgyvendinimas yra numatytas per kitose programose numatytus tikslus, todėl šis uždavinys apima tokias valstybines funkcijas:</w:t>
                </w:r>
              </w:p>
              <w:p>
                <w:pPr>
                  <w:rPr>
                    <w:sz w:val="10"/>
                    <w:szCs w:val="10"/>
                  </w:rPr>
                </w:pPr>
              </w:p>
              <w:p>
                <w:pPr>
                  <w:ind w:firstLine="567"/>
                  <w:jc w:val="both"/>
                  <w:rPr>
                    <w:szCs w:val="24"/>
                  </w:rPr>
                </w:pPr>
                <w:r>
                  <w:rPr>
                    <w:szCs w:val="24"/>
                  </w:rPr>
                  <w:t>Pirmajam uždaviniui įgyvendinti yra numatytos šios priemonės:</w:t>
                </w:r>
              </w:p>
              <w:p>
                <w:pPr>
                  <w:jc w:val="both"/>
                  <w:rPr>
                    <w:szCs w:val="24"/>
                  </w:rPr>
                </w:pPr>
                <w:r>
                  <w:rPr>
                    <w:szCs w:val="24"/>
                  </w:rPr>
                  <w:t>01 priemonė. Savivaldos institucijų veiklos programos įgyvendinimas. Savivaldybės tarybos finansinio, ūkinio bei materialinio aptarnavimo užtikrinimas;</w:t>
                </w:r>
              </w:p>
              <w:p>
                <w:pPr>
                  <w:jc w:val="both"/>
                  <w:rPr>
                    <w:szCs w:val="24"/>
                    <w:lang w:eastAsia="lt-LT"/>
                  </w:rPr>
                </w:pPr>
                <w:r>
                  <w:rPr>
                    <w:szCs w:val="24"/>
                  </w:rPr>
                  <w:t xml:space="preserve">02 priemonė. Savivaldybės administracijos veiklos programos organizavimas. Bendrų ekonominių ir soc. planų ir programų formulavimas, koordinavimas, priežiūra, administravimas ir valdymas. Vadovaujantis Lietuvos Respublikos administracinės naštos mažinimo įstatymu, siekiama sumažinti asmenų laiko sąnaudas ir finansines išlaidas, kurios patiriamos, besikreipiantiems dėl įvairių administracinių paslaugų suteikimo. Siekiama supaprastinti administracines procedūras bei gerinti asmenų aptarnavimo kokybę. </w:t>
                </w:r>
                <w:r>
                  <w:rPr>
                    <w:szCs w:val="24"/>
                    <w:lang w:eastAsia="lt-LT"/>
                  </w:rPr>
                  <w:t xml:space="preserve">To siekiant numatoma: </w:t>
                </w:r>
              </w:p>
              <w:p>
                <w:pPr>
                  <w:rPr>
                    <w:sz w:val="10"/>
                    <w:szCs w:val="10"/>
                  </w:rPr>
                </w:pPr>
              </w:p>
              <w:p>
                <w:pPr>
                  <w:ind w:firstLine="426"/>
                  <w:jc w:val="both"/>
                  <w:rPr>
                    <w:szCs w:val="24"/>
                  </w:rPr>
                </w:pPr>
                <w:r>
                  <w:rPr>
                    <w:rFonts w:ascii="Symbol" w:hAnsi="Symbol"/>
                    <w:color w:val="000000"/>
                    <w:szCs w:val="24"/>
                    <w:lang w:eastAsia="lt-LT"/>
                  </w:rPr>
                  <w:t></w:t>
                  <w:tab/>
                </w:r>
                <w:r>
                  <w:rPr>
                    <w:szCs w:val="24"/>
                  </w:rPr>
                  <w:t xml:space="preserve">nustatyti, kurie ir kiek iš Alytaus rajono savivaldybės tarybos ir Administracijos direktoriaus priimtų teisės aktų, reglamentuojančių administracines paslaugas, yra keistini dėl administracinės naštos mažinimo (procesų supaprastinimo, institucijų, savivaldybės administracijos struktūrinių padalinių keitimosi turima informacija ir duomenimis, atsisakant perteklinių dokumentų pateikimo ir pan.) ir parengti teisės aktų projektus dėl jų pakeitimo,  panaikinimo, pagerinant esamą teisinį reguliavimą dėl administracinės naštos mažinimo (vykdant šią priemonę savivaldybės administracijos padalinių atsakingi asmenys peržiūrės visus  tvarkos aprašus, teisės aktus bei įsakymus, kuriais jie vadovaujasi teikdami administracines paslaugas. Bus analizuojama, kurių teisės aktų kurios nuostatos yra  perteklinės ir svarstoma galimybė jų atsisakyti. </w:t>
                </w:r>
              </w:p>
              <w:p>
                <w:pPr>
                  <w:ind w:firstLine="426"/>
                  <w:jc w:val="both"/>
                  <w:rPr>
                    <w:szCs w:val="24"/>
                    <w:lang w:val="en-US"/>
                  </w:rPr>
                </w:pPr>
                <w:r>
                  <w:rPr>
                    <w:rFonts w:ascii="Symbol" w:hAnsi="Symbol"/>
                    <w:szCs w:val="24"/>
                    <w:lang w:eastAsia="lt-LT"/>
                  </w:rPr>
                  <w:t></w:t>
                </w:r>
                <w:r>
                  <w:rPr>
                    <w:szCs w:val="24"/>
                  </w:rPr>
                  <w:t xml:space="preserve"> </w:t>
                </w:r>
                <w:r>
                  <w:rPr>
                    <w:szCs w:val="24"/>
                    <w:lang w:val="en-US"/>
                  </w:rPr>
                  <w:t>Įrengti savivaldybės administracijoje kompiuterizuotą savitarnos vietą klientams (vykdant šią priemonę bus įrengta kompiuterizuota savitarnos vieta savivaldybės administracijos priimamajame, kad lankytojai nepatirtų laiko sanaudų norėdami atlikti mokėjimus už paslaugas, taip pat turėtų galimybę reikalaujamus pateikti dokumentus išsiųsti elektroninėmis priemonėmis;</w:t>
                </w:r>
              </w:p>
              <w:p>
                <w:pPr>
                  <w:ind w:firstLine="426"/>
                  <w:jc w:val="both"/>
                  <w:rPr>
                    <w:szCs w:val="24"/>
                    <w:lang w:val="en-US"/>
                  </w:rPr>
                </w:pPr>
                <w:r>
                  <w:rPr>
                    <w:rFonts w:ascii="Symbol" w:hAnsi="Symbol"/>
                    <w:szCs w:val="24"/>
                    <w:lang w:eastAsia="lt-LT"/>
                  </w:rPr>
                  <w:t></w:t>
                </w:r>
                <w:r>
                  <w:rPr>
                    <w:szCs w:val="24"/>
                    <w:lang w:val="en-US"/>
                  </w:rPr>
                  <w:t>Skatinti fizinius ir juridinius asmenis naudotis el. paslaugomis (vykdant šią priemonę ne rečiau kaip kas ketvirtį savivaldybės interneto svetainėje, žiniasklaidos priemonėse bus skelbiama informacija skatinanti gyventojus naudotis elektroninėmis paslaugomis);</w:t>
                </w:r>
              </w:p>
              <w:p>
                <w:pPr>
                  <w:ind w:firstLine="426"/>
                  <w:jc w:val="both"/>
                  <w:rPr>
                    <w:szCs w:val="24"/>
                    <w:lang w:val="en-US"/>
                  </w:rPr>
                </w:pPr>
                <w:r>
                  <w:rPr>
                    <w:rFonts w:ascii="Symbol" w:hAnsi="Symbol"/>
                    <w:szCs w:val="24"/>
                    <w:lang w:eastAsia="lt-LT"/>
                  </w:rPr>
                  <w:t></w:t>
                </w:r>
                <w:r>
                  <w:rPr>
                    <w:szCs w:val="24"/>
                    <w:lang w:val="en-US"/>
                  </w:rPr>
                  <w:t xml:space="preserve">savivaldybės internetiniame puslapyje sukurti DUK (Dažniausiai užduodani klausimai) skiltį ir ją plėtoti (vykdant šią priemonę, ne rečiau kaip kas ketvirtį </w:t>
                </w:r>
                <w:r>
                  <w:rPr>
                    <w:szCs w:val="24"/>
                  </w:rPr>
                  <w:t>atlikti analizę, siekiant išsiaiškinti administracinių paslaugų kokybės gerinimo bei administracinės naštos mažinimo galimių įgyvendinimą, tuo pačiu</w:t>
                </w:r>
                <w:r>
                  <w:rPr>
                    <w:szCs w:val="24"/>
                    <w:lang w:val="en-US"/>
                  </w:rPr>
                  <w:t xml:space="preserve"> turi būti atnaujinama skilties „Dažniausiai užduodami klausimai” informacija).</w:t>
                </w:r>
              </w:p>
              <w:p>
                <w:pPr>
                  <w:jc w:val="both"/>
                  <w:rPr>
                    <w:szCs w:val="24"/>
                  </w:rPr>
                </w:pPr>
              </w:p>
              <w:p>
                <w:pPr>
                  <w:ind w:firstLine="620"/>
                  <w:jc w:val="both"/>
                  <w:rPr>
                    <w:szCs w:val="24"/>
                  </w:rPr>
                </w:pPr>
                <w:r>
                  <w:rPr>
                    <w:szCs w:val="24"/>
                  </w:rPr>
                  <w:t>Įgyvendinant šią priemonę taip pat užtikrinamas Lietuvos Respublikos alkoholio kontrolės ir Lietuvos Respubliko tabako, tabako gaminių ir su jais susijusių gaminių kontrolės įstatymų savivaldybėms nustatytos pareigos ir pasinaudojant joms suteiktomis teisėmis svarbu mažinti bendrąjį alkoholinių gėrimų, tabako, tabako gaminių ir su jais susijusių gaminių vartojimą, jų daromą žalą sveikatai ir šalies ekonomikai, jų prieinamumą, ypač nepilnamečiams asmenims, švelninti sveikatos sutrikimų, susijusių su alkoholinių gėrimų, tabako, tabako gaminių ir su jais susijusių gaminių vartojimu, pasekmes.</w:t>
                </w:r>
              </w:p>
              <w:p>
                <w:pPr>
                  <w:jc w:val="both"/>
                  <w:rPr>
                    <w:szCs w:val="24"/>
                  </w:rPr>
                </w:pPr>
                <w:r>
                  <w:rPr>
                    <w:szCs w:val="24"/>
                  </w:rPr>
                  <w:t xml:space="preserve">Įgyvendinant šią priemonę taip pat  numatoma: </w:t>
                </w:r>
              </w:p>
              <w:p>
                <w:pPr>
                  <w:rPr>
                    <w:sz w:val="10"/>
                    <w:szCs w:val="10"/>
                  </w:rPr>
                </w:pPr>
              </w:p>
              <w:p>
                <w:pPr>
                  <w:ind w:left="785" w:hanging="360"/>
                  <w:jc w:val="both"/>
                  <w:rPr>
                    <w:szCs w:val="24"/>
                    <w:lang w:val="en-US"/>
                  </w:rPr>
                </w:pPr>
                <w:r>
                  <w:rPr>
                    <w:rFonts w:ascii="Symbol" w:hAnsi="Symbol"/>
                    <w:szCs w:val="24"/>
                  </w:rPr>
                  <w:t></w:t>
                  <w:tab/>
                </w:r>
                <w:r>
                  <w:rPr>
                    <w:szCs w:val="24"/>
                    <w:lang w:val="en-US"/>
                  </w:rPr>
                  <w:t>alkoholinių gėrimų vartojimo viešuose masiniuose renginiuose ribojimas arba draudimas;</w:t>
                </w:r>
              </w:p>
              <w:p>
                <w:pPr>
                  <w:ind w:left="785" w:hanging="360"/>
                  <w:jc w:val="both"/>
                  <w:rPr>
                    <w:szCs w:val="24"/>
                    <w:lang w:val="en-US"/>
                  </w:rPr>
                </w:pPr>
                <w:r>
                  <w:rPr>
                    <w:rFonts w:ascii="Symbol" w:hAnsi="Symbol"/>
                    <w:szCs w:val="24"/>
                  </w:rPr>
                  <w:t></w:t>
                  <w:tab/>
                </w:r>
                <w:r>
                  <w:rPr>
                    <w:szCs w:val="24"/>
                    <w:lang w:val="en-US"/>
                  </w:rPr>
                  <w:t>licencijų verstis mažmenine prekyba alkoholiniais gėrimais neišdavimas arba panaikinimas, atsižvelgiant į gyventojų, visuomeninių organizacijų ar kitų institucijų nuomonę;</w:t>
                </w:r>
              </w:p>
              <w:p>
                <w:pPr>
                  <w:ind w:left="785" w:hanging="360"/>
                  <w:jc w:val="both"/>
                  <w:rPr>
                    <w:szCs w:val="24"/>
                    <w:lang w:val="en-US"/>
                  </w:rPr>
                </w:pPr>
                <w:r>
                  <w:rPr>
                    <w:rFonts w:ascii="Symbol" w:hAnsi="Symbol"/>
                    <w:szCs w:val="24"/>
                  </w:rPr>
                  <w:t></w:t>
                  <w:tab/>
                </w:r>
                <w:r>
                  <w:rPr>
                    <w:szCs w:val="24"/>
                    <w:lang w:val="en-US"/>
                  </w:rPr>
                  <w:t xml:space="preserve">rūkymo uždraudimas viešose ir kitose savivaldybės kompetencijai priklausančiose vietose; </w:t>
                </w:r>
              </w:p>
              <w:p>
                <w:pPr>
                  <w:ind w:left="785" w:hanging="360"/>
                  <w:jc w:val="both"/>
                  <w:rPr>
                    <w:szCs w:val="24"/>
                    <w:lang w:val="en-US"/>
                  </w:rPr>
                </w:pPr>
                <w:r>
                  <w:rPr>
                    <w:rFonts w:ascii="Symbol" w:hAnsi="Symbol"/>
                    <w:szCs w:val="24"/>
                  </w:rPr>
                  <w:t></w:t>
                  <w:tab/>
                </w:r>
                <w:r>
                  <w:rPr>
                    <w:szCs w:val="24"/>
                    <w:lang w:val="en-US"/>
                  </w:rPr>
                  <w:t xml:space="preserve">užtikrinimas, kad savivaldybės lankytojai ir darbuotojai nebūtų priversti kvėpuoti tabako dūmais  užterštu oru;</w:t>
                </w:r>
              </w:p>
              <w:p>
                <w:pPr>
                  <w:ind w:left="785" w:hanging="360"/>
                  <w:jc w:val="both"/>
                  <w:rPr>
                    <w:szCs w:val="24"/>
                  </w:rPr>
                </w:pPr>
                <w:r>
                  <w:rPr>
                    <w:rFonts w:ascii="Symbol" w:hAnsi="Symbol"/>
                    <w:szCs w:val="24"/>
                  </w:rPr>
                  <w:t></w:t>
                  <w:tab/>
                </w:r>
                <w:r>
                  <w:rPr>
                    <w:szCs w:val="24"/>
                  </w:rPr>
                  <w:t>bendradarbiaujant su kitomis kontroliuojančiomis ir atsakingomis institucijomis, užtikrinti veiklos, susijusios su alkoholiniais gėrimais, tabako gaminiais ir su jais susijusiais gaminiais, priežiūrą.</w:t>
                </w:r>
              </w:p>
              <w:p>
                <w:pPr>
                  <w:rPr>
                    <w:sz w:val="10"/>
                    <w:szCs w:val="10"/>
                  </w:rPr>
                </w:pPr>
              </w:p>
              <w:p>
                <w:pPr>
                  <w:jc w:val="both"/>
                  <w:rPr>
                    <w:szCs w:val="24"/>
                  </w:rPr>
                </w:pPr>
                <w:r>
                  <w:rPr>
                    <w:szCs w:val="24"/>
                  </w:rPr>
                  <w:t>03 priemonė. Įsigytų objektų iš ES lėšų draudimas;</w:t>
                </w:r>
              </w:p>
              <w:p>
                <w:pPr>
                  <w:jc w:val="both"/>
                  <w:rPr>
                    <w:szCs w:val="24"/>
                  </w:rPr>
                </w:pPr>
                <w:r>
                  <w:rPr>
                    <w:szCs w:val="24"/>
                  </w:rPr>
                  <w:t>04 priemonė. Civilinės būklės aktų registravimas. Įgyvendinant šį uždavinį užtikrinama registruojamų civilinės būklės aktų teisėtumas tiek valstybės tiek visuomenės interesais, tiek saugant asmenines bei turtines piliečių teises, organizuojamos civilinės apeigas, susijusias su civilinės būklės aktų registravimu. Įgyvendinant šį tikslą įtraukiami civilinės būklės aktai į gyventojų registro apskaitą. Taip pat glaudžiai bendradarbiaujama su visų savivaldybių Civilinės metrikacijos skyriais. Perduodami archyviniai</w:t>
                </w:r>
              </w:p>
              <w:p>
                <w:pPr>
                  <w:jc w:val="both"/>
                  <w:rPr>
                    <w:szCs w:val="24"/>
                  </w:rPr>
                </w:pPr>
                <w:r>
                  <w:rPr>
                    <w:szCs w:val="24"/>
                  </w:rPr>
                  <w:t>duomenys Gyventojų registrų tarnybai. Tvarkomi gyventojų registrai, teikiami duomenys valstybės registrams, bei kaupiamas ir saugojamas Civilinės metrikacijos archyvas. Taip pat vykdomas gyvenamosios vietos deklaravimo duomenų apskaitos tvarkymas. Registruojamos mirtys, vykdomas gyvenamosios vietos deklaravimas Alytaus rajono seniūnijose. Iš seniūnijų organizuojamas savalaikis ir tikslus ataskaitų pridavimas Civilinės metrikacijos skyriui;</w:t>
                </w:r>
              </w:p>
              <w:p>
                <w:pPr>
                  <w:jc w:val="both"/>
                  <w:rPr>
                    <w:szCs w:val="24"/>
                  </w:rPr>
                </w:pPr>
                <w:r>
                  <w:rPr>
                    <w:szCs w:val="24"/>
                  </w:rPr>
                  <w:t>05 priemonė. Valstybinės kalbos vartojimo ir taisyklingumo kontrolė. Atliekama valstybinės kalbos vartojimo ir taisyklingumo kontrolė. Kontroliuojama, ar savivaldybės skyrių, tarnybų ir seniūnijų tarnautojai ir darbuotojai dokumentus tvarko pagal Lietuvos Respublikos valstybinės kalbos įstatymą, Valstybinės lietuvių kalbos komisijos nutarimus, Dokumentų rengimo taisykles;</w:t>
                </w:r>
              </w:p>
              <w:p>
                <w:pPr>
                  <w:jc w:val="both"/>
                  <w:rPr>
                    <w:szCs w:val="24"/>
                  </w:rPr>
                </w:pPr>
                <w:r>
                  <w:rPr>
                    <w:szCs w:val="24"/>
                  </w:rPr>
                  <w:t>06 priemonė. Negyvenamųjų patalpų nuoma (pajamos už paslaugas). Siekiant efektyviau naudoti ilgalaikį materialųjį turtą, laisvas ir negyvenamąsias patalpas, organizuojant viešuosius konkursus, siekiama išnuomoti;</w:t>
                </w:r>
              </w:p>
              <w:p>
                <w:pPr>
                  <w:jc w:val="both"/>
                  <w:rPr>
                    <w:szCs w:val="24"/>
                  </w:rPr>
                </w:pPr>
                <w:r>
                  <w:rPr>
                    <w:szCs w:val="24"/>
                  </w:rPr>
                  <w:t>07 priemonė. Gyvenamųjų patalpų nuoma (pajamos už paslaugas). Pagerinti socialinio būsto kokybę, suteikiant nuomininkui pagal vietovės sąlygas tinkamai įrengtas ir atitinkančias sanitarinius ir techninius reikalavimus Alytaus rajono savivaldybei (nuomotoja) nuosavybės teise priklausančias gyvenamąsias patalpas už nuomos mokestį;</w:t>
                </w:r>
              </w:p>
              <w:p>
                <w:pPr>
                  <w:jc w:val="both"/>
                  <w:rPr>
                    <w:szCs w:val="24"/>
                  </w:rPr>
                </w:pPr>
                <w:r>
                  <w:rPr>
                    <w:szCs w:val="24"/>
                  </w:rPr>
                  <w:t>08 priemonė. Savivaldybei priskirtų archyvinių dokumentų tvarkymas. Efektyviai ir kokybiškai teikiamos archyvinių dokumentų paslaugos. Alytaus rajono likviduotų kolūkių, įmonių žemės ūkio bendrovių ir kt. įmonių dokumentų priėmimas, tvarkymas, apskaita, saugojimas;</w:t>
                </w:r>
              </w:p>
              <w:p>
                <w:pPr>
                  <w:tabs>
                    <w:tab w:val="left" w:pos="390"/>
                  </w:tabs>
                  <w:jc w:val="both"/>
                  <w:rPr>
                    <w:szCs w:val="24"/>
                  </w:rPr>
                </w:pPr>
                <w:r>
                  <w:rPr>
                    <w:szCs w:val="24"/>
                  </w:rPr>
                  <w:t>09 priemonė. Gyvenamos vietos deklaravimo duomenų ir gyvenamosios vietos neturinčių asmenų apskaitos duomenų tvarkymas. Registruojamos mirtys, vykdoma gyvenamosios vietos deklaravimas Alytaus rajono seniūnijose;</w:t>
                </w:r>
              </w:p>
              <w:p>
                <w:pPr>
                  <w:tabs>
                    <w:tab w:val="left" w:pos="390"/>
                  </w:tabs>
                  <w:jc w:val="both"/>
                  <w:rPr>
                    <w:szCs w:val="24"/>
                  </w:rPr>
                </w:pPr>
                <w:r>
                  <w:rPr>
                    <w:szCs w:val="24"/>
                  </w:rPr>
                  <w:t>10 priemonė. Duomenų Suteiktos valstybės pagalbos registrui teikimas;</w:t>
                </w:r>
              </w:p>
              <w:p>
                <w:pPr>
                  <w:tabs>
                    <w:tab w:val="left" w:pos="390"/>
                  </w:tabs>
                  <w:jc w:val="both"/>
                  <w:rPr>
                    <w:szCs w:val="24"/>
                  </w:rPr>
                </w:pPr>
                <w:r>
                  <w:rPr>
                    <w:szCs w:val="24"/>
                  </w:rPr>
                  <w:t>11 priemonė. Civilinė sauga. Vykdoma ekstremalių situacijų prevencija, dalyvaujama jas valdant, organizuojama ekstremalios situacijos, likvidavimo ir atkūrimo darbai savivaldybės teritorijoje, ruošiama visuomenė praktiniams veiksmams ekstremalių situacijų atvejais, skatinama visuomenės iniciatyva šiose srityse ir stiprinamas pasitikėjimas civilinės saugos ir gelbėjimo sistemos veikla, rengiamas ir tikslinamas ekstremalių situacijų valdymo planas;</w:t>
                </w:r>
              </w:p>
              <w:p>
                <w:pPr>
                  <w:tabs>
                    <w:tab w:val="left" w:pos="390"/>
                  </w:tabs>
                  <w:jc w:val="both"/>
                  <w:rPr>
                    <w:szCs w:val="24"/>
                  </w:rPr>
                </w:pPr>
                <w:r>
                  <w:rPr>
                    <w:szCs w:val="24"/>
                  </w:rPr>
                  <w:t>12 priemonė. Gyventojų registro tvarkymas ir duomenų valstybės registrui teikimas. Įtraukiami civilinės būklės aktai į gyventojų registro apskaitą. Taip pat glaudžiai bendradarbiaujama su visų savivaldybių Civilinės metrikacijos skyriais. Perduodami archyviniai duomenys Gyventojų registrų tarnybai;</w:t>
                </w:r>
              </w:p>
              <w:p>
                <w:pPr>
                  <w:tabs>
                    <w:tab w:val="left" w:pos="390"/>
                  </w:tabs>
                  <w:jc w:val="both"/>
                  <w:rPr>
                    <w:szCs w:val="24"/>
                  </w:rPr>
                </w:pPr>
                <w:r>
                  <w:rPr>
                    <w:szCs w:val="24"/>
                  </w:rPr>
                  <w:t>13 priemonė. Dalyvavimas rengiant ir vykdant mobilizaciją. Koordinuojamas ir kontroliuojamas mobilizacijos rengimas ir vykdymas.</w:t>
                </w:r>
              </w:p>
              <w:p>
                <w:pPr>
                  <w:rPr>
                    <w:sz w:val="10"/>
                    <w:szCs w:val="10"/>
                  </w:rPr>
                </w:pPr>
              </w:p>
              <w:p>
                <w:pPr>
                  <w:rPr>
                    <w:szCs w:val="24"/>
                  </w:rPr>
                </w:pPr>
                <w:r>
                  <w:rPr>
                    <w:szCs w:val="24"/>
                  </w:rPr>
                  <w:t>02 uždavinys. Užtikrinti finansavimą nenumatytoms išlaidoms dengti.</w:t>
                </w:r>
              </w:p>
              <w:p>
                <w:pPr>
                  <w:rPr>
                    <w:sz w:val="10"/>
                    <w:szCs w:val="10"/>
                  </w:rPr>
                </w:pPr>
              </w:p>
              <w:p>
                <w:pPr>
                  <w:jc w:val="both"/>
                  <w:rPr>
                    <w:szCs w:val="24"/>
                  </w:rPr>
                </w:pPr>
                <w:r>
                  <w:rPr>
                    <w:szCs w:val="24"/>
                  </w:rPr>
                  <w:t>01 priemonė. Savivaldybės administracijos direktoriaus rezervo tvarkymo programa. Biudžeto sandaros įstatyme yra numatyta, kad savivaldybės biudžete gali būti sudaromas Administracijos direktoriaus rezervas, kuris turi būti ne didesnis kaip vienas procentas patvirtintų savivaldybės biudžeto asignavimų sumos. Šios lėšos naudojamos tik toms reikmėms, kurios nenumatytos sudarant it tvirtinant savivaldybės biudžetą.</w:t>
                </w:r>
              </w:p>
              <w:p>
                <w:pPr>
                  <w:jc w:val="both"/>
                  <w:rPr>
                    <w:szCs w:val="24"/>
                  </w:rPr>
                </w:pPr>
              </w:p>
              <w:p>
                <w:pPr>
                  <w:jc w:val="both"/>
                  <w:rPr>
                    <w:szCs w:val="24"/>
                  </w:rPr>
                </w:pPr>
                <w:r>
                  <w:rPr>
                    <w:szCs w:val="24"/>
                  </w:rPr>
                  <w:t>02 priemonė. Centralizuotas buhalterinės apskaitos tvarkymas.</w:t>
                </w:r>
              </w:p>
              <w:p>
                <w:pPr>
                  <w:rPr>
                    <w:sz w:val="10"/>
                    <w:szCs w:val="10"/>
                  </w:rPr>
                </w:pPr>
              </w:p>
              <w:p>
                <w:pPr>
                  <w:rPr>
                    <w:szCs w:val="24"/>
                  </w:rPr>
                </w:pPr>
                <w:r>
                  <w:rPr>
                    <w:szCs w:val="24"/>
                  </w:rPr>
                  <w:t xml:space="preserve">03 uždavinys. Narystės mokesčių mokėjimas. </w:t>
                </w:r>
              </w:p>
              <w:p>
                <w:pPr>
                  <w:rPr>
                    <w:sz w:val="10"/>
                    <w:szCs w:val="10"/>
                  </w:rPr>
                </w:pPr>
              </w:p>
              <w:p>
                <w:pPr>
                  <w:jc w:val="both"/>
                  <w:rPr>
                    <w:szCs w:val="24"/>
                  </w:rPr>
                </w:pPr>
                <w:r>
                  <w:rPr>
                    <w:szCs w:val="24"/>
                  </w:rPr>
                  <w:t>01 priemonė. Lietuvos savivaldybių asociacija (LSA) siekia Lietuvos Respublikos Konstitucijoje ir įstatymuose nustatyto savivaldybių savarankiškumo atstovaujant bendruosius Asociacijos narių interesus valstybės valdžios ir valdymo institucijose, bendradarbiaujant su užsienio valstybių savivaldybių ir kitomis tarptautinėmis organizacijomis, įgyvendinant Lietuvoje Europos vietos savivaldos Chartijos nuostatas ir vykdant atskiras Asociacijos programas. Ši organizacija atstovauja bendriems visų Lietuvos savivaldybių interesams ir daro esminę įtaką vietos savivaldos raidai. Šiuo metu asociacijoje yra visos 60 Lietuvos savivaldybių. Kiekvienais metais Alytaus rajono savivaldybė skiria savivaldybės biudžeto išlaidų nario mokesčiui mokėti.</w:t>
                </w:r>
              </w:p>
              <w:p>
                <w:pPr>
                  <w:jc w:val="both"/>
                  <w:rPr>
                    <w:szCs w:val="24"/>
                  </w:rPr>
                </w:pPr>
              </w:p>
              <w:p>
                <w:pPr>
                  <w:rPr>
                    <w:sz w:val="10"/>
                    <w:szCs w:val="10"/>
                  </w:rPr>
                </w:pPr>
              </w:p>
              <w:p>
                <w:pPr>
                  <w:rPr>
                    <w:szCs w:val="24"/>
                  </w:rPr>
                </w:pPr>
                <w:r>
                  <w:rPr>
                    <w:szCs w:val="24"/>
                  </w:rPr>
                  <w:t>Rezultato vertinimo kriterijus:</w:t>
                </w:r>
              </w:p>
              <w:p>
                <w:pPr>
                  <w:rPr>
                    <w:sz w:val="10"/>
                    <w:szCs w:val="10"/>
                  </w:rPr>
                </w:pPr>
              </w:p>
              <w:p>
                <w:pPr>
                  <w:ind w:left="785" w:hanging="360"/>
                  <w:jc w:val="both"/>
                  <w:rPr>
                    <w:szCs w:val="24"/>
                  </w:rPr>
                </w:pPr>
                <w:r>
                  <w:rPr>
                    <w:rFonts w:ascii="Symbol" w:hAnsi="Symbol"/>
                    <w:szCs w:val="24"/>
                  </w:rPr>
                  <w:t></w:t>
                  <w:tab/>
                </w:r>
                <w:r>
                  <w:rPr>
                    <w:szCs w:val="24"/>
                  </w:rPr>
                  <w:t>funkcijoms įgyvendinti ir gyventojų bendruomeniškumui skatinti skiriamų lėšų kitimas, tūkst. Eur – 4003,9 (Finansų ir investicijų skyrus), 49,9 tūkst. Eur (Teisės ir vidaus administravimo skyrius)</w:t>
                </w:r>
              </w:p>
              <w:p>
                <w:pPr>
                  <w:ind w:left="785" w:hanging="360"/>
                  <w:jc w:val="both"/>
                  <w:rPr>
                    <w:szCs w:val="24"/>
                  </w:rPr>
                </w:pPr>
                <w:r>
                  <w:rPr>
                    <w:rFonts w:ascii="Symbol" w:hAnsi="Symbol"/>
                    <w:szCs w:val="24"/>
                  </w:rPr>
                  <w:t></w:t>
                  <w:tab/>
                </w:r>
                <w:r>
                  <w:rPr>
                    <w:szCs w:val="24"/>
                  </w:rPr>
                  <w:t>Administracinės naštos mažinimo priemonių įgyvendinimas, % –95</w:t>
                </w:r>
              </w:p>
              <w:p>
                <w:pPr>
                  <w:ind w:left="785" w:hanging="360"/>
                  <w:jc w:val="both"/>
                  <w:rPr>
                    <w:szCs w:val="24"/>
                  </w:rPr>
                </w:pPr>
                <w:r>
                  <w:rPr>
                    <w:rFonts w:ascii="Symbol" w:hAnsi="Symbol"/>
                    <w:szCs w:val="24"/>
                  </w:rPr>
                  <w:t></w:t>
                  <w:tab/>
                </w:r>
                <w:r>
                  <w:rPr>
                    <w:szCs w:val="24"/>
                  </w:rPr>
                  <w:t>Priimtų savivaldybės tarybos sprendimų, įgyvendinančių alkoholio ir/ar tabako kontrolę skaičius, vnt. – 2</w:t>
                </w:r>
              </w:p>
            </w:tc>
          </w:tr>
          <w:tr>
            <w:trPr>
              <w:trHeight w:val="465"/>
            </w:trPr>
            <w:tc>
              <w:tcPr>
                <w:tcW w:w="3273" w:type="dxa"/>
                <w:vAlign w:val="center"/>
              </w:tcPr>
              <w:p>
                <w:pPr>
                  <w:rPr>
                    <w:b/>
                    <w:sz w:val="22"/>
                    <w:szCs w:val="24"/>
                  </w:rPr>
                </w:pPr>
                <w:r>
                  <w:rPr>
                    <w:b/>
                    <w:sz w:val="22"/>
                    <w:szCs w:val="24"/>
                  </w:rPr>
                  <w:t>Programos tikslas</w:t>
                </w:r>
              </w:p>
            </w:tc>
            <w:tc>
              <w:tcPr>
                <w:tcW w:w="4797" w:type="dxa"/>
                <w:vAlign w:val="center"/>
              </w:tcPr>
              <w:p>
                <w:pPr>
                  <w:jc w:val="both"/>
                  <w:rPr>
                    <w:b/>
                    <w:bCs/>
                    <w:szCs w:val="24"/>
                  </w:rPr>
                </w:pPr>
                <w:r>
                  <w:rPr>
                    <w:b/>
                    <w:szCs w:val="24"/>
                  </w:rPr>
                  <w:t>Prižiūrėti, ar teisėtai, efektyviai, ekonomiškai ir rezultatyviai valdomas ir naudojamas savivaldybės turtas, patikėjimo teise valdomas valstybės turtas, kaip vykdomas savivaldybės biudžetas ir naudojami kiti piniginiai ištekliai</w:t>
                </w:r>
              </w:p>
            </w:tc>
            <w:tc>
              <w:tcPr>
                <w:tcW w:w="0" w:type="auto"/>
                <w:vAlign w:val="center"/>
              </w:tcPr>
              <w:p>
                <w:pPr>
                  <w:jc w:val="center"/>
                  <w:rPr>
                    <w:b/>
                    <w:sz w:val="22"/>
                    <w:szCs w:val="24"/>
                  </w:rPr>
                </w:pPr>
                <w:r>
                  <w:rPr>
                    <w:b/>
                    <w:sz w:val="22"/>
                    <w:szCs w:val="24"/>
                  </w:rPr>
                  <w:t>Kodas</w:t>
                </w:r>
              </w:p>
            </w:tc>
            <w:tc>
              <w:tcPr>
                <w:tcW w:w="1091" w:type="dxa"/>
                <w:vAlign w:val="center"/>
              </w:tcPr>
              <w:p>
                <w:pPr>
                  <w:jc w:val="center"/>
                  <w:rPr>
                    <w:b/>
                    <w:bCs/>
                    <w:sz w:val="22"/>
                    <w:szCs w:val="24"/>
                  </w:rPr>
                </w:pPr>
                <w:r>
                  <w:rPr>
                    <w:b/>
                    <w:bCs/>
                    <w:sz w:val="22"/>
                    <w:szCs w:val="24"/>
                  </w:rPr>
                  <w:t>02</w:t>
                </w:r>
              </w:p>
            </w:tc>
          </w:tr>
          <w:tr>
            <w:trPr>
              <w:trHeight w:val="465"/>
            </w:trPr>
            <w:tc>
              <w:tcPr>
                <w:tcW w:w="10031" w:type="dxa"/>
                <w:gridSpan w:val="4"/>
              </w:tcPr>
              <w:p>
                <w:pPr>
                  <w:rPr>
                    <w:sz w:val="8"/>
                    <w:szCs w:val="8"/>
                  </w:rPr>
                </w:pPr>
              </w:p>
              <w:p>
                <w:pPr>
                  <w:ind w:firstLine="68"/>
                  <w:jc w:val="both"/>
                  <w:rPr>
                    <w:szCs w:val="24"/>
                    <w:lang w:val="en-US"/>
                  </w:rPr>
                </w:pPr>
                <w:r>
                  <w:rPr>
                    <w:b/>
                    <w:bCs/>
                    <w:szCs w:val="24"/>
                  </w:rPr>
                  <w:t xml:space="preserve">Tikslo įgyvendinimo aprašymas: </w:t>
                </w:r>
                <w:r>
                  <w:rPr>
                    <w:szCs w:val="24"/>
                    <w:lang w:val="en-US"/>
                  </w:rPr>
                  <w:t xml:space="preserve">atlikti išorės finansinį ir veiklos auditus Savivaldybės administracijoje, Savivaldybės administravimo subjektuose ir Savivaldybės kontroliuojamose įmonėse;.   kiekvienais metais rengti ir Tarybos veiklos reglamente nustatytais terminais ir tvarka teikti Tarybai išvadą dėl  savivaldybės konsoliduotų ataskaitų rinkinio, savivaldybės biudžeto ir turto naudojimo,  rengti ir Tarybai teikti sprendimams priimti reikalingas išvadas dėl Savivaldybės naudojimosi bankų kreditais, paskolų ėmimo ir teikimo, garantijų suteikimo ir laidavimo kreditoriams už Savivaldybės kontroliuojamų įmonių imamas paskolas;.   rengti ir Tarybai teikti sprendimams priimti reikalingas išvadas, suteikiančias Tarybai pagrindą tvirtinti koncesijos konkurso sąlygas ir pagrindines koncesijos sutarties sąlygas; Tarybai nustačius konkurso etapus iki koncesijos sutarties pasirašymo, rengti išvadas dėl galutinio koncesijos sutarties projekto;   rengti ir Tarybai teikti sprendimams priimti reikalingas išvadas dėl skolininkų ir skolininkų, už kurių įsipareigojimų vykdymą garantuoja valstybė, ūkinės ir finansinės būklės, taip pat dėl valstybės vardu pasiskolintų lėšų, teikiamų paskolų ir valstybės garantijų teikimo, paskolų naudojimo pagal tikslinę paskirtį ir paskolų grąžinimo;   Valstybės kontrolės prašymu teikia Tarnybos atliktų auditų ataskaitas ir darbo dokumentus audito išorinei peržiūrai atlikti;   atlieka įstatymuose ir kituose teisės aktuose priskirtas funkcijas. </w:t>
                </w:r>
              </w:p>
              <w:p>
                <w:pPr>
                  <w:rPr>
                    <w:sz w:val="8"/>
                    <w:szCs w:val="8"/>
                  </w:rPr>
                </w:pPr>
              </w:p>
              <w:p>
                <w:pPr>
                  <w:ind w:firstLine="68"/>
                  <w:jc w:val="both"/>
                  <w:rPr>
                    <w:szCs w:val="24"/>
                  </w:rPr>
                </w:pPr>
                <w:r>
                  <w:rPr>
                    <w:szCs w:val="24"/>
                  </w:rPr>
                  <w:t>Įgyvendinant iškeltą tikslą, bus vykdomas uždavinys:</w:t>
                </w:r>
              </w:p>
              <w:p>
                <w:pPr>
                  <w:rPr>
                    <w:sz w:val="8"/>
                    <w:szCs w:val="8"/>
                  </w:rPr>
                </w:pPr>
              </w:p>
              <w:p>
                <w:pPr>
                  <w:tabs>
                    <w:tab w:val="left" w:pos="567"/>
                  </w:tabs>
                  <w:suppressAutoHyphens/>
                  <w:snapToGrid w:val="0"/>
                  <w:ind w:left="720" w:hanging="360"/>
                  <w:jc w:val="both"/>
                  <w:rPr>
                    <w:b/>
                    <w:szCs w:val="24"/>
                    <w:lang w:eastAsia="ar-SA"/>
                  </w:rPr>
                </w:pPr>
                <w:r>
                  <w:rPr>
                    <w:b/>
                    <w:szCs w:val="24"/>
                    <w:lang w:eastAsia="ar-SA"/>
                  </w:rPr>
                  <w:t>01</w:t>
                  <w:tab/>
                </w:r>
                <w:r>
                  <w:rPr>
                    <w:b/>
                    <w:bCs/>
                    <w:szCs w:val="24"/>
                    <w:lang w:val="en-GB" w:eastAsia="ar-SA"/>
                  </w:rPr>
                  <w:t>uždavinys. Atlikti finansinius ir veiklos auditus, patikrinimus, rengti išvadas.</w:t>
                </w:r>
              </w:p>
              <w:p>
                <w:pPr>
                  <w:suppressAutoHyphens/>
                  <w:snapToGrid w:val="0"/>
                  <w:ind w:firstLine="68"/>
                  <w:jc w:val="both"/>
                  <w:rPr>
                    <w:szCs w:val="24"/>
                    <w:lang w:val="en-GB" w:eastAsia="ar-SA"/>
                  </w:rPr>
                </w:pPr>
                <w:r>
                  <w:rPr>
                    <w:bCs/>
                    <w:szCs w:val="24"/>
                    <w:lang w:val="en-GB" w:eastAsia="ar-SA"/>
                  </w:rPr>
                  <w:t xml:space="preserve">Įgyvendinant uždavinį </w:t>
                </w:r>
                <w:r>
                  <w:rPr>
                    <w:szCs w:val="24"/>
                    <w:lang w:val="en-GB" w:eastAsia="ar-SA"/>
                  </w:rPr>
                  <w:t>siekiama, kad Savivaldybės turtas ir patikėjimo teise valdomas valstybės turtas būtų naudojamas ir valdomas teisėtai, efektyviai, ekonomiškai ir rezultatyviai, prižiūrėti, kaip</w:t>
                </w:r>
                <w:r>
                  <w:rPr>
                    <w:i/>
                    <w:iCs/>
                    <w:szCs w:val="24"/>
                    <w:lang w:val="en-GB" w:eastAsia="ar-SA"/>
                  </w:rPr>
                  <w:t xml:space="preserve"> </w:t>
                </w:r>
                <w:r>
                  <w:rPr>
                    <w:szCs w:val="24"/>
                    <w:lang w:val="en-GB" w:eastAsia="ar-SA"/>
                  </w:rPr>
                  <w:t>vykdomas patvirtintas Savivaldybės biudžetas ir naudojami kiti piniginiai ištekliai.</w:t>
                </w:r>
              </w:p>
              <w:p>
                <w:pPr>
                  <w:suppressAutoHyphens/>
                  <w:snapToGrid w:val="0"/>
                  <w:ind w:firstLine="68"/>
                  <w:jc w:val="both"/>
                  <w:rPr>
                    <w:szCs w:val="24"/>
                    <w:lang w:val="en-GB" w:eastAsia="ar-SA"/>
                  </w:rPr>
                </w:pPr>
              </w:p>
              <w:p>
                <w:pPr>
                  <w:suppressAutoHyphens/>
                  <w:snapToGrid w:val="0"/>
                  <w:ind w:firstLine="68"/>
                  <w:jc w:val="both"/>
                  <w:rPr>
                    <w:i/>
                    <w:szCs w:val="24"/>
                    <w:u w:val="single"/>
                    <w:lang w:val="en-GB" w:eastAsia="ar-SA"/>
                  </w:rPr>
                </w:pPr>
                <w:r>
                  <w:rPr>
                    <w:i/>
                    <w:szCs w:val="24"/>
                    <w:u w:val="single"/>
                    <w:lang w:val="en-GB" w:eastAsia="ar-SA"/>
                  </w:rPr>
                  <w:t>Rezultato vertinimo kriterijus:</w:t>
                </w:r>
              </w:p>
              <w:p>
                <w:pPr>
                  <w:rPr>
                    <w:b/>
                    <w:bCs/>
                    <w:sz w:val="22"/>
                    <w:szCs w:val="24"/>
                  </w:rPr>
                </w:pPr>
                <w:r>
                  <w:rPr>
                    <w:szCs w:val="24"/>
                    <w:lang w:val="en-US"/>
                  </w:rPr>
                  <w:t>Atliktų finansinių ir veiklos auditų, patikrinimų per metus skaičius, vnt. – 1.</w:t>
                </w:r>
              </w:p>
            </w:tc>
          </w:tr>
          <w:tr>
            <w:trPr>
              <w:trHeight w:val="465"/>
            </w:trPr>
            <w:tc>
              <w:tcPr>
                <w:tcW w:w="3273" w:type="dxa"/>
                <w:vAlign w:val="center"/>
              </w:tcPr>
              <w:p>
                <w:pPr>
                  <w:rPr>
                    <w:b/>
                    <w:szCs w:val="24"/>
                  </w:rPr>
                </w:pPr>
                <w:r>
                  <w:rPr>
                    <w:b/>
                    <w:szCs w:val="24"/>
                  </w:rPr>
                  <w:t>Programos tikslas</w:t>
                </w:r>
              </w:p>
            </w:tc>
            <w:tc>
              <w:tcPr>
                <w:tcW w:w="4797" w:type="dxa"/>
                <w:vAlign w:val="center"/>
              </w:tcPr>
              <w:p>
                <w:pPr>
                  <w:rPr>
                    <w:b/>
                    <w:bCs/>
                    <w:szCs w:val="24"/>
                  </w:rPr>
                </w:pPr>
                <w:r>
                  <w:rPr>
                    <w:b/>
                    <w:bCs/>
                    <w:szCs w:val="24"/>
                  </w:rPr>
                  <w:t xml:space="preserve">Prisiimtų finansinių įsipareigojimų valdymas </w:t>
                </w:r>
              </w:p>
            </w:tc>
            <w:tc>
              <w:tcPr>
                <w:tcW w:w="0" w:type="auto"/>
                <w:vAlign w:val="center"/>
              </w:tcPr>
              <w:p>
                <w:pPr>
                  <w:jc w:val="center"/>
                  <w:rPr>
                    <w:b/>
                    <w:szCs w:val="24"/>
                  </w:rPr>
                </w:pPr>
                <w:r>
                  <w:rPr>
                    <w:b/>
                    <w:szCs w:val="24"/>
                  </w:rPr>
                  <w:t>Kodas</w:t>
                </w:r>
              </w:p>
            </w:tc>
            <w:tc>
              <w:tcPr>
                <w:tcW w:w="1091" w:type="dxa"/>
                <w:vAlign w:val="center"/>
              </w:tcPr>
              <w:p>
                <w:pPr>
                  <w:jc w:val="center"/>
                  <w:rPr>
                    <w:b/>
                    <w:bCs/>
                    <w:szCs w:val="24"/>
                  </w:rPr>
                </w:pPr>
                <w:r>
                  <w:rPr>
                    <w:b/>
                    <w:bCs/>
                    <w:szCs w:val="24"/>
                  </w:rPr>
                  <w:t>03</w:t>
                </w:r>
              </w:p>
            </w:tc>
          </w:tr>
          <w:tr>
            <w:trPr>
              <w:trHeight w:val="465"/>
            </w:trPr>
            <w:tc>
              <w:tcPr>
                <w:tcW w:w="10031" w:type="dxa"/>
                <w:gridSpan w:val="4"/>
              </w:tcPr>
              <w:p>
                <w:pPr>
                  <w:rPr>
                    <w:sz w:val="10"/>
                    <w:szCs w:val="10"/>
                  </w:rPr>
                </w:pPr>
              </w:p>
              <w:p>
                <w:pPr>
                  <w:jc w:val="both"/>
                  <w:rPr>
                    <w:b/>
                    <w:bCs/>
                    <w:szCs w:val="24"/>
                  </w:rPr>
                </w:pPr>
                <w:r>
                  <w:rPr>
                    <w:b/>
                    <w:bCs/>
                    <w:szCs w:val="24"/>
                  </w:rPr>
                  <w:t xml:space="preserve">Tikslo įgyvendinimo aprašymas: </w:t>
                </w:r>
                <w:r>
                  <w:rPr>
                    <w:bCs/>
                    <w:szCs w:val="24"/>
                  </w:rPr>
                  <w:t>Savivaldybės rajono plėtra neįmanoma įgyvendinti vien tik savivaldybės lėšomis, todėl viena iš galimybių – paskolos. Įgyvendinant šį tikslą, siekiama savivaldybės skolinimosi poreikį patenkinti laiku, kuo mažesniais kaštais ir priimtina rizika, neviršijant nustatytų skolinimosi limitų, bei užtikrinant savalaikį priimtų įsipareigojimų vykdymą.</w:t>
                </w:r>
                <w:r>
                  <w:rPr>
                    <w:b/>
                    <w:bCs/>
                    <w:szCs w:val="24"/>
                  </w:rPr>
                  <w:t xml:space="preserve"> </w:t>
                </w:r>
                <w:r>
                  <w:rPr>
                    <w:bCs/>
                    <w:szCs w:val="24"/>
                  </w:rPr>
                  <w:t>Įgyvendinant šį tikslą vykdomas vienas uždavinys.</w:t>
                </w:r>
              </w:p>
              <w:p>
                <w:pPr>
                  <w:rPr>
                    <w:sz w:val="10"/>
                    <w:szCs w:val="10"/>
                  </w:rPr>
                </w:pPr>
              </w:p>
              <w:p>
                <w:pPr>
                  <w:rPr>
                    <w:b/>
                    <w:sz w:val="22"/>
                    <w:szCs w:val="24"/>
                  </w:rPr>
                </w:pPr>
                <w:r>
                  <w:rPr>
                    <w:b/>
                    <w:szCs w:val="24"/>
                    <w:lang w:eastAsia="lt-LT"/>
                  </w:rPr>
                  <w:t>01 uždavinys. Paskol</w:t>
                </w:r>
                <w:r>
                  <w:rPr>
                    <w:rFonts w:ascii="TTE2350570t00" w:hAnsi="TTE2350570t00" w:cs="TTE2350570t00"/>
                    <w:b/>
                    <w:szCs w:val="24"/>
                    <w:lang w:eastAsia="lt-LT"/>
                  </w:rPr>
                  <w:t xml:space="preserve">ų </w:t>
                </w:r>
                <w:r>
                  <w:rPr>
                    <w:b/>
                    <w:szCs w:val="24"/>
                    <w:lang w:eastAsia="lt-LT"/>
                  </w:rPr>
                  <w:t>ir pal</w:t>
                </w:r>
                <w:r>
                  <w:rPr>
                    <w:rFonts w:ascii="TTE2350570t00" w:hAnsi="TTE2350570t00" w:cs="TTE2350570t00"/>
                    <w:b/>
                    <w:szCs w:val="24"/>
                    <w:lang w:eastAsia="lt-LT"/>
                  </w:rPr>
                  <w:t>ū</w:t>
                </w:r>
                <w:r>
                  <w:rPr>
                    <w:b/>
                    <w:szCs w:val="24"/>
                    <w:lang w:eastAsia="lt-LT"/>
                  </w:rPr>
                  <w:t>kan</w:t>
                </w:r>
                <w:r>
                  <w:rPr>
                    <w:rFonts w:ascii="TTE2350570t00" w:hAnsi="TTE2350570t00" w:cs="TTE2350570t00"/>
                    <w:b/>
                    <w:szCs w:val="24"/>
                    <w:lang w:eastAsia="lt-LT"/>
                  </w:rPr>
                  <w:t xml:space="preserve">ų </w:t>
                </w:r>
                <w:r>
                  <w:rPr>
                    <w:b/>
                    <w:szCs w:val="24"/>
                    <w:lang w:eastAsia="lt-LT"/>
                  </w:rPr>
                  <w:t>mokėjimas pagal pasirašytas skol</w:t>
                </w:r>
                <w:r>
                  <w:rPr>
                    <w:rFonts w:ascii="TTE2350570t00" w:hAnsi="TTE2350570t00" w:cs="TTE2350570t00"/>
                    <w:b/>
                    <w:szCs w:val="24"/>
                    <w:lang w:eastAsia="lt-LT"/>
                  </w:rPr>
                  <w:t xml:space="preserve">ų </w:t>
                </w:r>
                <w:r>
                  <w:rPr>
                    <w:b/>
                    <w:szCs w:val="24"/>
                    <w:lang w:eastAsia="lt-LT"/>
                  </w:rPr>
                  <w:t>gr</w:t>
                </w:r>
                <w:r>
                  <w:rPr>
                    <w:rFonts w:ascii="TTE2350570t00" w:hAnsi="TTE2350570t00" w:cs="TTE2350570t00"/>
                    <w:b/>
                    <w:szCs w:val="24"/>
                    <w:lang w:eastAsia="lt-LT"/>
                  </w:rPr>
                  <w:t>a</w:t>
                </w:r>
                <w:r>
                  <w:rPr>
                    <w:b/>
                    <w:szCs w:val="24"/>
                    <w:lang w:eastAsia="lt-LT"/>
                  </w:rPr>
                  <w:t>žinimo sutartis.</w:t>
                </w:r>
              </w:p>
              <w:p>
                <w:pPr>
                  <w:rPr>
                    <w:sz w:val="10"/>
                    <w:szCs w:val="10"/>
                  </w:rPr>
                </w:pPr>
              </w:p>
              <w:p>
                <w:pPr>
                  <w:rPr>
                    <w:szCs w:val="24"/>
                    <w:lang w:eastAsia="lt-LT"/>
                  </w:rPr>
                </w:pPr>
                <w:r>
                  <w:rPr>
                    <w:szCs w:val="24"/>
                    <w:lang w:eastAsia="lt-LT"/>
                  </w:rPr>
                  <w:t xml:space="preserve">Užtikrinant finansinių įsipareigojimų vykdymą,  mokamos paskolos ir palūkanos pagal grafiką.</w:t>
                </w:r>
              </w:p>
              <w:p>
                <w:pPr>
                  <w:rPr>
                    <w:bCs/>
                    <w:sz w:val="22"/>
                    <w:szCs w:val="24"/>
                  </w:rPr>
                </w:pPr>
                <w:r>
                  <w:rPr>
                    <w:b/>
                    <w:szCs w:val="24"/>
                    <w:lang w:eastAsia="lt-LT"/>
                  </w:rPr>
                  <w:t>01 priemonė</w:t>
                </w:r>
                <w:r>
                  <w:rPr>
                    <w:bCs/>
                    <w:sz w:val="22"/>
                    <w:szCs w:val="24"/>
                  </w:rPr>
                  <w:t xml:space="preserve">. </w:t>
                </w:r>
                <w:r>
                  <w:rPr>
                    <w:szCs w:val="24"/>
                    <w:lang w:eastAsia="lt-LT"/>
                  </w:rPr>
                  <w:t>Paskolų grąžinimas</w:t>
                </w:r>
              </w:p>
              <w:p>
                <w:pPr>
                  <w:rPr>
                    <w:szCs w:val="24"/>
                    <w:lang w:eastAsia="lt-LT"/>
                  </w:rPr>
                </w:pPr>
                <w:r>
                  <w:rPr>
                    <w:b/>
                    <w:szCs w:val="24"/>
                    <w:lang w:eastAsia="lt-LT"/>
                  </w:rPr>
                  <w:t>02 priemonė</w:t>
                </w:r>
                <w:r>
                  <w:rPr>
                    <w:bCs/>
                    <w:sz w:val="22"/>
                    <w:szCs w:val="24"/>
                  </w:rPr>
                  <w:t xml:space="preserve">. </w:t>
                </w:r>
                <w:r>
                  <w:rPr>
                    <w:szCs w:val="24"/>
                    <w:lang w:eastAsia="lt-LT"/>
                  </w:rPr>
                  <w:t>Palūkanų už paskolas mokėjimas</w:t>
                </w:r>
              </w:p>
              <w:p>
                <w:pPr>
                  <w:rPr>
                    <w:sz w:val="10"/>
                    <w:szCs w:val="10"/>
                  </w:rPr>
                </w:pPr>
              </w:p>
              <w:p>
                <w:pPr>
                  <w:rPr>
                    <w:bCs/>
                    <w:i/>
                    <w:szCs w:val="24"/>
                    <w:u w:val="single"/>
                  </w:rPr>
                </w:pPr>
                <w:r>
                  <w:rPr>
                    <w:bCs/>
                    <w:i/>
                    <w:szCs w:val="24"/>
                    <w:u w:val="single"/>
                  </w:rPr>
                  <w:t>Rezultato vertinimo kriterijus:</w:t>
                </w:r>
              </w:p>
              <w:p>
                <w:pPr>
                  <w:rPr>
                    <w:sz w:val="10"/>
                    <w:szCs w:val="10"/>
                  </w:rPr>
                </w:pPr>
              </w:p>
              <w:p>
                <w:pPr>
                  <w:rPr>
                    <w:bCs/>
                    <w:szCs w:val="24"/>
                  </w:rPr>
                </w:pPr>
                <w:r>
                  <w:rPr>
                    <w:szCs w:val="24"/>
                    <w:lang w:eastAsia="lt-LT"/>
                  </w:rPr>
                  <w:t xml:space="preserve">finansinių įsipareigojimų vykdymas, proc. </w:t>
                </w:r>
                <w:r>
                  <w:rPr>
                    <w:bCs/>
                    <w:szCs w:val="24"/>
                  </w:rPr>
                  <w:t>– 100</w:t>
                </w:r>
              </w:p>
            </w:tc>
          </w:tr>
          <w:tr>
            <w:trPr>
              <w:trHeight w:val="465"/>
            </w:trPr>
            <w:tc>
              <w:tcPr>
                <w:tcW w:w="3273" w:type="dxa"/>
                <w:vAlign w:val="center"/>
              </w:tcPr>
              <w:p>
                <w:pPr>
                  <w:rPr>
                    <w:b/>
                    <w:szCs w:val="24"/>
                  </w:rPr>
                </w:pPr>
                <w:r>
                  <w:rPr>
                    <w:b/>
                    <w:szCs w:val="24"/>
                  </w:rPr>
                  <w:t>Programos tikslas</w:t>
                </w:r>
              </w:p>
            </w:tc>
            <w:tc>
              <w:tcPr>
                <w:tcW w:w="4797" w:type="dxa"/>
                <w:vAlign w:val="center"/>
              </w:tcPr>
              <w:p>
                <w:pPr>
                  <w:jc w:val="both"/>
                  <w:rPr>
                    <w:b/>
                    <w:bCs/>
                    <w:szCs w:val="24"/>
                  </w:rPr>
                </w:pPr>
                <w:r>
                  <w:rPr>
                    <w:b/>
                    <w:szCs w:val="22"/>
                  </w:rPr>
                  <w:t>Užtikrinti gyventojų saugumą gesinant gaisrus ir vykdant gelbėjimo darbus</w:t>
                </w:r>
              </w:p>
            </w:tc>
            <w:tc>
              <w:tcPr>
                <w:tcW w:w="0" w:type="auto"/>
                <w:vAlign w:val="center"/>
              </w:tcPr>
              <w:p>
                <w:pPr>
                  <w:jc w:val="center"/>
                  <w:rPr>
                    <w:b/>
                    <w:szCs w:val="24"/>
                  </w:rPr>
                </w:pPr>
                <w:r>
                  <w:rPr>
                    <w:b/>
                    <w:szCs w:val="24"/>
                  </w:rPr>
                  <w:t>Kodas</w:t>
                </w:r>
              </w:p>
            </w:tc>
            <w:tc>
              <w:tcPr>
                <w:tcW w:w="1091" w:type="dxa"/>
                <w:vAlign w:val="center"/>
              </w:tcPr>
              <w:p>
                <w:pPr>
                  <w:jc w:val="center"/>
                  <w:rPr>
                    <w:b/>
                    <w:bCs/>
                    <w:szCs w:val="24"/>
                  </w:rPr>
                </w:pPr>
                <w:r>
                  <w:rPr>
                    <w:b/>
                    <w:bCs/>
                    <w:szCs w:val="24"/>
                  </w:rPr>
                  <w:t>04</w:t>
                </w:r>
              </w:p>
            </w:tc>
          </w:tr>
          <w:tr>
            <w:trPr>
              <w:trHeight w:val="416"/>
            </w:trPr>
            <w:tc>
              <w:tcPr>
                <w:tcW w:w="10031" w:type="dxa"/>
                <w:gridSpan w:val="4"/>
              </w:tcPr>
              <w:p>
                <w:pPr>
                  <w:rPr>
                    <w:sz w:val="10"/>
                    <w:szCs w:val="10"/>
                  </w:rPr>
                </w:pPr>
              </w:p>
              <w:p>
                <w:pPr>
                  <w:jc w:val="both"/>
                  <w:rPr>
                    <w:b/>
                    <w:bCs/>
                    <w:szCs w:val="24"/>
                  </w:rPr>
                </w:pPr>
                <w:r>
                  <w:rPr>
                    <w:b/>
                    <w:bCs/>
                    <w:szCs w:val="24"/>
                  </w:rPr>
                  <w:t xml:space="preserve">Tikslo įgyvendinimo aprašymas: </w:t>
                </w:r>
                <w:r>
                  <w:rPr>
                    <w:bCs/>
                    <w:szCs w:val="24"/>
                  </w:rPr>
                  <w:t xml:space="preserve">Įgyvendinant programą dalyvauja Priešgaisrinės apsaugos tarnyba ir 8 ugniagesių komandos. Šia programa siekiama užtikrinti visuomenės materialaus turto ir aplinkos apsaugą ekstremalių situacijų atvejais bei organizuoti ekstremalių situacijų prevenciją. Taip pat siekiama, kad rajono gyventojai greitai galėtų išsikviesti pagalbą kilus gaisrui ar įvykus kitai nelaimei, o ugniagesiai gelbėtojai laiku gautų pranešimą apie nelaimę ir  laiku pasiektų nelaimės vietą. Vystyti prevencinę veiklą bei užtikrinti vienodą gelbėjimo operacijų kokybę visoje rajono teritorijoje. Siekiant užtikrinti saugią gyventojų aplinką, numatomi uždaviniai, orientuoti į veiklos tobulinimą, palankios aplinkos darbui kūrimą, personalo ugdymą. Teikia paslaugas (pvz. sporto varžybų ar kitų privačių asmenų organizuojamų renginių metu, vandeniui vežti ar išsiurbti ir pan.), kai yra visiškai užtikrinamas nepertraukiamas įstaigos priešgaisrinės apsaugos ir gelbėjimo darbų vykdymas ir tik tuomet, kai gaisrinis automobilis yra laikinai nenaudojamas įstaigos pagrindinių uždavinių įgyvendinimui. Tikslui pasiekti iškeltas uždavinys:</w:t>
                </w:r>
              </w:p>
              <w:p>
                <w:pPr>
                  <w:rPr>
                    <w:sz w:val="10"/>
                    <w:szCs w:val="10"/>
                  </w:rPr>
                </w:pPr>
              </w:p>
              <w:p>
                <w:pPr>
                  <w:jc w:val="both"/>
                  <w:rPr>
                    <w:b/>
                    <w:bCs/>
                    <w:szCs w:val="24"/>
                  </w:rPr>
                </w:pPr>
                <w:r>
                  <w:rPr>
                    <w:b/>
                    <w:bCs/>
                    <w:szCs w:val="24"/>
                  </w:rPr>
                  <w:t>01 uždavinys. Užtikrinti visuomenės, materialaus turto ir aplinkos apsaugą, operatyviai ir laiku pasiekti nelaimės vietą, modernizuoti priešgaisrinę gelbėjimo sistemą, užtikrinti gaisrų prevenciją ir visuomenės švietimą šioje srityje, teikti paslaugas juridiniams ir fiziniams asmenims.</w:t>
                </w:r>
              </w:p>
              <w:p>
                <w:pPr>
                  <w:rPr>
                    <w:sz w:val="10"/>
                    <w:szCs w:val="10"/>
                  </w:rPr>
                </w:pPr>
              </w:p>
              <w:p>
                <w:pPr>
                  <w:jc w:val="both"/>
                  <w:rPr>
                    <w:b/>
                    <w:bCs/>
                    <w:szCs w:val="24"/>
                  </w:rPr>
                </w:pPr>
                <w:r>
                  <w:rPr>
                    <w:b/>
                    <w:szCs w:val="24"/>
                    <w:lang w:eastAsia="lt-LT"/>
                  </w:rPr>
                  <w:t>01 priemonė</w:t>
                </w:r>
                <w:r>
                  <w:rPr>
                    <w:bCs/>
                    <w:sz w:val="22"/>
                    <w:szCs w:val="24"/>
                  </w:rPr>
                  <w:t xml:space="preserve">. Priešgaisrinė sauga. </w:t>
                </w:r>
                <w:r>
                  <w:rPr>
                    <w:bCs/>
                    <w:szCs w:val="24"/>
                  </w:rPr>
                  <w:t>Numatytam uždaviniui vykdyti veiklos programoje tarnyba numato priemones – atnaujinti eksploatuojamą techniką ir gelbėjimo įrangą, kad ji būtų patikima ir saugi. Vykdyti gaisrų prevenciją ir visuomenės švietimą šioje srityje. Sudaryti sąlygas darbuotojų kvalifikacijai kelti, užtikrinti darbuotojų geras darbo sąlygas. Teikti paslaugas fiziniams ir juridiniams asmenims, tik pilnai užtikrinus nepertraukiamą įstaigos priešgaisrinės apsaugos ir gelbėjimo darbų vykdymą ir tik tuomet, kai gaisrinis automobilis yra laikinai nenaudojamas įstaigos pagrindinių uždavinių įgyvendinimui bei esant neišvengiamai būtinybei paslaugą teikti.</w:t>
                </w:r>
              </w:p>
              <w:p>
                <w:pPr>
                  <w:rPr>
                    <w:sz w:val="10"/>
                    <w:szCs w:val="10"/>
                  </w:rPr>
                </w:pPr>
              </w:p>
              <w:p>
                <w:pPr>
                  <w:jc w:val="both"/>
                  <w:rPr>
                    <w:bCs/>
                    <w:i/>
                    <w:szCs w:val="24"/>
                    <w:u w:val="single"/>
                  </w:rPr>
                </w:pPr>
                <w:r>
                  <w:rPr>
                    <w:bCs/>
                    <w:i/>
                    <w:szCs w:val="24"/>
                    <w:u w:val="single"/>
                  </w:rPr>
                  <w:t>Rezultato vertinimo kriterijus:</w:t>
                </w:r>
              </w:p>
              <w:p>
                <w:pPr>
                  <w:rPr>
                    <w:sz w:val="10"/>
                    <w:szCs w:val="10"/>
                  </w:rPr>
                </w:pPr>
              </w:p>
              <w:p>
                <w:pPr>
                  <w:jc w:val="both"/>
                  <w:rPr>
                    <w:b/>
                    <w:bCs/>
                    <w:szCs w:val="24"/>
                  </w:rPr>
                </w:pPr>
                <w:r>
                  <w:rPr>
                    <w:szCs w:val="22"/>
                  </w:rPr>
                  <w:t>Operatyvių ir sėkmingų iškvietimų skaičius nuo visų iškvietimų skaičiaus, proc.</w:t>
                </w:r>
                <w:r>
                  <w:rPr>
                    <w:bCs/>
                    <w:szCs w:val="24"/>
                  </w:rPr>
                  <w:t xml:space="preserve"> – 80</w:t>
                </w:r>
              </w:p>
            </w:tc>
          </w:tr>
        </w:tbl>
        <w:p>
          <w:pPr>
            <w:rPr>
              <w:szCs w:val="24"/>
            </w:rPr>
          </w:pPr>
        </w:p>
      </w:sdtContent>
    </w:sdt>
    <w:sdt>
      <w:sdtPr>
        <w:alias w:val="lentele"/>
        <w:tag w:val="part_62993ed588a04a428e78fbca9aa11cf9"/>
        <w:lock w:val="sdtLocked"/>
        <w:richText/>
      </w:sdt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31"/>
          </w:tblGrid>
          <w:tr>
            <w:tc>
              <w:tcPr>
                <w:tcW w:w="10031" w:type="dxa"/>
              </w:tcPr>
              <w:p>
                <w:pPr>
                  <w:rPr>
                    <w:b/>
                    <w:szCs w:val="24"/>
                  </w:rPr>
                </w:pPr>
                <w:r>
                  <w:rPr>
                    <w:b/>
                    <w:szCs w:val="24"/>
                  </w:rPr>
                  <w:t>Numatomas programos įgyvendinimo rezultatas:</w:t>
                </w:r>
              </w:p>
              <w:p>
                <w:pPr>
                  <w:jc w:val="both"/>
                  <w:rPr>
                    <w:szCs w:val="24"/>
                  </w:rPr>
                </w:pPr>
                <w:r>
                  <w:rPr>
                    <w:szCs w:val="24"/>
                  </w:rPr>
                  <w:t xml:space="preserve">Įgyvendinus šioje programoje iškeltus tikslus ir užsibrėžtus uždavinius, bus maksimaliai  suderinti bendruomenės interesai ir valstybės politika. Bus sudaromos sąlygos Alytaus rajono savivaldybės padalinių racionaliam, kryptingam ir rezultatyviam darbui.</w:t>
                </w:r>
              </w:p>
              <w:p>
                <w:pPr>
                  <w:jc w:val="both"/>
                  <w:rPr>
                    <w:szCs w:val="24"/>
                  </w:rPr>
                </w:pPr>
                <w:r>
                  <w:rPr>
                    <w:szCs w:val="24"/>
                  </w:rPr>
                  <w:t>Sumažėjęs bendrasis alkoholinių gėrimų, tabako gaminių ir su jais susijusių gaminių vartojimas, jų daroma žala sveikatai ir šalies ekonomikai, jų prieinamumas, ypač nepilnamečiams asmenims, sumažėjusios sveikatos sutrikimų, susijusių su alkoholinių gėrimų, tabako gaminių ir su jais susijusių gaminių vartojimu, pasekmės.</w:t>
                </w:r>
              </w:p>
              <w:p>
                <w:pPr>
                  <w:jc w:val="both"/>
                  <w:rPr>
                    <w:szCs w:val="24"/>
                  </w:rPr>
                </w:pPr>
                <w:r>
                  <w:rPr>
                    <w:szCs w:val="24"/>
                  </w:rPr>
                  <w:t>Užtikrinti viešųjų paslaugų kokybę piliečiams.</w:t>
                </w:r>
              </w:p>
              <w:p>
                <w:pPr>
                  <w:jc w:val="both"/>
                  <w:rPr>
                    <w:szCs w:val="24"/>
                  </w:rPr>
                </w:pPr>
                <w:r>
                  <w:rPr>
                    <w:szCs w:val="24"/>
                  </w:rPr>
                  <w:t>Sumažins žmonių žūtį ir bus išsaugotas jų turtas, laiku gavus pranešimą apie nelaimę, sumažės gaisrų skaičius kaimo vietovėse, bus užtikrinta efektyvi pagalba rajono gyventojams.</w:t>
                </w:r>
              </w:p>
            </w:tc>
          </w:tr>
        </w:tbl>
        <w:p>
          <w:pPr>
            <w:rPr>
              <w:szCs w:val="24"/>
            </w:rPr>
          </w:pPr>
        </w:p>
      </w:sdtContent>
    </w:sdt>
    <w:sdt>
      <w:sdtPr>
        <w:alias w:val="lentele"/>
        <w:tag w:val="part_9d1f37123f5d40a0b1056fdf35879e99"/>
        <w:lock w:val="sdtLocked"/>
        <w:richText/>
      </w:sdt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31"/>
          </w:tblGrid>
          <w:tr>
            <w:tc>
              <w:tcPr>
                <w:tcW w:w="10031" w:type="dxa"/>
              </w:tcPr>
              <w:p>
                <w:pPr>
                  <w:jc w:val="both"/>
                  <w:rPr>
                    <w:bCs/>
                    <w:szCs w:val="24"/>
                  </w:rPr>
                </w:pPr>
                <w:r>
                  <w:rPr>
                    <w:b/>
                    <w:bCs/>
                    <w:sz w:val="22"/>
                    <w:szCs w:val="22"/>
                  </w:rPr>
                  <w:t xml:space="preserve">Galimi programos vykdymo ir finansavimo variantai: </w:t>
                </w:r>
                <w:r>
                  <w:rPr>
                    <w:bCs/>
                    <w:szCs w:val="24"/>
                  </w:rPr>
                  <w:t xml:space="preserve">Alytaus rajono savivaldybės biudžeto lėšos, valstybės biudžeto lėšos, </w:t>
                </w:r>
                <w:r>
                  <w:rPr>
                    <w:szCs w:val="24"/>
                  </w:rPr>
                  <w:t>ES lėšos, įvairių juridinių ir fizinių asmenų tiksline paskirtimi pervestos lėšos, tarptautinių organizacijų ir kitos teisės aktų nustatyta tvarka gautos lėšos, kitų šaltinių lėšos.</w:t>
                </w:r>
              </w:p>
            </w:tc>
          </w:tr>
        </w:tbl>
        <w:p>
          <w:pPr>
            <w:rPr>
              <w:b/>
              <w:strike/>
              <w:szCs w:val="22"/>
            </w:rPr>
          </w:pPr>
        </w:p>
      </w:sdtContent>
    </w:sdt>
    <w:sdt>
      <w:sdtPr>
        <w:alias w:val="lentele"/>
        <w:tag w:val="part_7f4d87eba24a4ea2ba02f32400430291"/>
        <w:lock w:val="sdtLocked"/>
        <w:richText/>
      </w:sdt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31"/>
          </w:tblGrid>
          <w:tr>
            <w:tc>
              <w:tcPr>
                <w:tcW w:w="10031" w:type="dxa"/>
              </w:tcPr>
              <w:p>
                <w:pPr>
                  <w:jc w:val="both"/>
                  <w:rPr>
                    <w:szCs w:val="24"/>
                  </w:rPr>
                </w:pPr>
                <w:r>
                  <w:rPr>
                    <w:b/>
                    <w:sz w:val="22"/>
                    <w:szCs w:val="24"/>
                  </w:rPr>
                  <w:t xml:space="preserve">Veiksmai, numatyti Alytaus rajono savivaldybės strateginiame plėtros plane, kurie susiję su vykdoma programa: </w:t>
                </w:r>
                <w:r>
                  <w:rPr>
                    <w:szCs w:val="24"/>
                  </w:rPr>
                  <w:t xml:space="preserve">2 prioritetas. </w:t>
                </w:r>
                <w:r>
                  <w:rPr>
                    <w:szCs w:val="24"/>
                    <w:lang w:val="en-US"/>
                  </w:rPr>
                  <w:t xml:space="preserve">Sumanios, veiklios, susitelkusios bendruomenės, pažangi, socialiai atsakinga savivalda. 2.2. tikslas. </w:t>
                </w:r>
                <w:r>
                  <w:rPr>
                    <w:szCs w:val="24"/>
                    <w:lang w:val="en-US" w:eastAsia="lt-LT"/>
                  </w:rPr>
                  <w:t>Didinti valdymo kokybę ir ugdyti darbuotojų kompetencijas, siekiant patenkinti verslo ir gyventojų poreikius.</w:t>
                </w:r>
                <w:r>
                  <w:rPr>
                    <w:szCs w:val="24"/>
                  </w:rPr>
                  <w:t xml:space="preserve"> </w:t>
                </w:r>
                <w:r>
                  <w:rPr>
                    <w:bCs/>
                    <w:szCs w:val="24"/>
                  </w:rPr>
                  <w:t xml:space="preserve">2.2.1. uždavinys. </w:t>
                </w:r>
                <w:r>
                  <w:rPr>
                    <w:szCs w:val="24"/>
                  </w:rPr>
                  <w:t xml:space="preserve">Pasinaudoti skaitmeninimo teikiama nauda, skatinti elektroninių viešųjų paslaugų vystymą, pritaikymą vartotojų poreikiams ir naudojimą, įgyvendinti gerojo valdymo principus. 2.2.2. uždavinys. Ugdyti aktualias savivaldybės administracijos ir pavaldžių biudžetinių įstaigų darbuotojų kompetencijas. 3 prioritetas.  Patogus, svetingas, žalias rajonas.</w:t>
                </w:r>
                <w:r>
                  <w:rPr>
                    <w:bCs/>
                    <w:szCs w:val="24"/>
                  </w:rPr>
                  <w:t xml:space="preserve"> 3.1. tikslas. </w:t>
                </w:r>
                <w:r>
                  <w:rPr>
                    <w:szCs w:val="24"/>
                  </w:rPr>
                  <w:t xml:space="preserve"> Plėtoti patogiam gyvenimui ir ūkinei veiklai aktualią tvarią infrastruktūrą. 3.1.3. uždavinys. Skatinti tvarų, atsparų klimato kaitai, pažangų judumą. </w:t>
                </w:r>
              </w:p>
            </w:tc>
          </w:tr>
        </w:tbl>
        <w:p>
          <w:pPr>
            <w:rPr>
              <w:szCs w:val="24"/>
            </w:rPr>
          </w:pPr>
        </w:p>
      </w:sdtContent>
    </w:sdt>
    <w:sdt>
      <w:sdtPr>
        <w:alias w:val="lentele"/>
        <w:tag w:val="part_27fe7f710c434bf997b0aba1673f00c8"/>
        <w:lock w:val="sdtLocked"/>
        <w:richText/>
      </w:sdt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31"/>
          </w:tblGrid>
          <w:tr>
            <w:tc>
              <w:tcPr>
                <w:tcW w:w="10031" w:type="dxa"/>
              </w:tcPr>
              <w:p>
                <w:pPr>
                  <w:jc w:val="both"/>
                  <w:rPr>
                    <w:b/>
                    <w:szCs w:val="24"/>
                  </w:rPr>
                </w:pPr>
                <w:r>
                  <w:rPr>
                    <w:b/>
                    <w:szCs w:val="24"/>
                  </w:rPr>
                  <w:t xml:space="preserve">Susiję įstatymai ir kiti svarbūs teisės aktai: </w:t>
                </w:r>
              </w:p>
              <w:p>
                <w:pPr>
                  <w:ind w:left="340" w:hanging="340"/>
                  <w:jc w:val="both"/>
                  <w:rPr>
                    <w:szCs w:val="24"/>
                  </w:rPr>
                </w:pPr>
                <w:r>
                  <w:rPr>
                    <w:rFonts w:ascii="Courier New" w:hAnsi="Courier New"/>
                    <w:szCs w:val="24"/>
                  </w:rPr>
                  <w:t>o</w:t>
                  <w:tab/>
                </w:r>
                <w:r>
                  <w:rPr>
                    <w:szCs w:val="24"/>
                  </w:rPr>
                  <w:t xml:space="preserve">Lietuvos Respublikos Konstitucija; </w:t>
                </w:r>
              </w:p>
              <w:p>
                <w:pPr>
                  <w:ind w:left="340" w:hanging="340"/>
                  <w:jc w:val="both"/>
                  <w:rPr>
                    <w:szCs w:val="24"/>
                  </w:rPr>
                </w:pPr>
                <w:r>
                  <w:rPr>
                    <w:rFonts w:ascii="Courier New" w:hAnsi="Courier New"/>
                    <w:szCs w:val="24"/>
                  </w:rPr>
                  <w:t>o</w:t>
                  <w:tab/>
                </w:r>
                <w:r>
                  <w:rPr>
                    <w:szCs w:val="24"/>
                  </w:rPr>
                  <w:t xml:space="preserve">Lietuvos Respublikos vietos savivaldos įstatymas; </w:t>
                </w:r>
              </w:p>
              <w:p>
                <w:pPr>
                  <w:ind w:left="340" w:hanging="340"/>
                  <w:jc w:val="both"/>
                  <w:rPr>
                    <w:szCs w:val="24"/>
                  </w:rPr>
                </w:pPr>
                <w:r>
                  <w:rPr>
                    <w:rFonts w:ascii="Courier New" w:hAnsi="Courier New"/>
                    <w:szCs w:val="24"/>
                  </w:rPr>
                  <w:t>o</w:t>
                  <w:tab/>
                </w:r>
                <w:r>
                  <w:rPr>
                    <w:szCs w:val="24"/>
                  </w:rPr>
                  <w:t xml:space="preserve">Lietuvos Respublikos biudžetinių įstaigų įstatymas; </w:t>
                </w:r>
              </w:p>
              <w:p>
                <w:pPr>
                  <w:ind w:left="340" w:hanging="340"/>
                  <w:jc w:val="both"/>
                  <w:rPr>
                    <w:szCs w:val="24"/>
                  </w:rPr>
                </w:pPr>
                <w:r>
                  <w:rPr>
                    <w:rFonts w:ascii="Courier New" w:hAnsi="Courier New"/>
                    <w:szCs w:val="24"/>
                  </w:rPr>
                  <w:t>o</w:t>
                  <w:tab/>
                </w:r>
                <w:r>
                  <w:rPr>
                    <w:szCs w:val="24"/>
                  </w:rPr>
                  <w:t>Lietuvos Respublikos valstybės tarnybos įstatymas;</w:t>
                </w:r>
                <w:r>
                  <w:rPr>
                    <w:b/>
                    <w:bCs/>
                    <w:sz w:val="22"/>
                    <w:szCs w:val="24"/>
                  </w:rPr>
                  <w:t xml:space="preserve"> </w:t>
                </w:r>
              </w:p>
              <w:p>
                <w:pPr>
                  <w:ind w:left="340" w:hanging="340"/>
                  <w:jc w:val="both"/>
                  <w:rPr>
                    <w:szCs w:val="24"/>
                  </w:rPr>
                </w:pPr>
                <w:r>
                  <w:rPr>
                    <w:rFonts w:ascii="Courier New" w:hAnsi="Courier New"/>
                    <w:szCs w:val="24"/>
                  </w:rPr>
                  <w:t>o</w:t>
                  <w:tab/>
                </w:r>
                <w:r>
                  <w:rPr>
                    <w:bCs/>
                    <w:szCs w:val="24"/>
                  </w:rPr>
                  <w:t>Lietuvos Respublikos viešojo administravimo įstatymas;</w:t>
                </w:r>
                <w:r>
                  <w:rPr>
                    <w:szCs w:val="24"/>
                  </w:rPr>
                  <w:t xml:space="preserve"> </w:t>
                </w:r>
              </w:p>
              <w:p>
                <w:pPr>
                  <w:ind w:left="340" w:hanging="340"/>
                  <w:jc w:val="both"/>
                  <w:rPr>
                    <w:szCs w:val="24"/>
                  </w:rPr>
                </w:pPr>
                <w:r>
                  <w:rPr>
                    <w:rFonts w:ascii="Courier New" w:hAnsi="Courier New"/>
                    <w:szCs w:val="24"/>
                  </w:rPr>
                  <w:t>o</w:t>
                  <w:tab/>
                </w:r>
                <w:r>
                  <w:rPr>
                    <w:szCs w:val="24"/>
                  </w:rPr>
                  <w:t xml:space="preserve">Lietuvos Respublikos viešųjų įstaigų įstatymas; </w:t>
                </w:r>
              </w:p>
              <w:p>
                <w:pPr>
                  <w:ind w:left="340" w:hanging="340"/>
                  <w:jc w:val="both"/>
                  <w:rPr>
                    <w:szCs w:val="24"/>
                  </w:rPr>
                </w:pPr>
                <w:r>
                  <w:rPr>
                    <w:rFonts w:ascii="Courier New" w:hAnsi="Courier New"/>
                    <w:szCs w:val="24"/>
                  </w:rPr>
                  <w:t>o</w:t>
                  <w:tab/>
                </w:r>
                <w:r>
                  <w:rPr>
                    <w:szCs w:val="24"/>
                  </w:rPr>
                  <w:t xml:space="preserve">Lietuvos Respublikos civilinis kodeksas; </w:t>
                </w:r>
              </w:p>
              <w:p>
                <w:pPr>
                  <w:ind w:left="340" w:hanging="340"/>
                  <w:jc w:val="both"/>
                  <w:rPr>
                    <w:szCs w:val="24"/>
                  </w:rPr>
                </w:pPr>
                <w:r>
                  <w:rPr>
                    <w:rFonts w:ascii="Courier New" w:hAnsi="Courier New"/>
                    <w:szCs w:val="24"/>
                  </w:rPr>
                  <w:t>o</w:t>
                  <w:tab/>
                </w:r>
                <w:r>
                  <w:rPr>
                    <w:szCs w:val="24"/>
                    <w:lang w:val="en-US"/>
                  </w:rPr>
                  <w:t>Lietuovs Respublikos civilinės būklės aktų registravimo įstatymas;</w:t>
                </w:r>
              </w:p>
              <w:p>
                <w:pPr>
                  <w:ind w:left="340" w:hanging="340"/>
                  <w:jc w:val="both"/>
                  <w:rPr>
                    <w:szCs w:val="24"/>
                  </w:rPr>
                </w:pPr>
                <w:r>
                  <w:rPr>
                    <w:rFonts w:ascii="Courier New" w:hAnsi="Courier New"/>
                    <w:szCs w:val="24"/>
                  </w:rPr>
                  <w:t>o</w:t>
                  <w:tab/>
                </w:r>
                <w:r>
                  <w:rPr>
                    <w:szCs w:val="24"/>
                  </w:rPr>
                  <w:t xml:space="preserve">Lietuvos Respublikos valstybinės kalbos įstatymas; </w:t>
                </w:r>
              </w:p>
              <w:p>
                <w:pPr>
                  <w:ind w:left="340" w:hanging="340"/>
                  <w:jc w:val="both"/>
                  <w:rPr>
                    <w:szCs w:val="24"/>
                  </w:rPr>
                </w:pPr>
                <w:r>
                  <w:rPr>
                    <w:rFonts w:ascii="Courier New" w:hAnsi="Courier New"/>
                    <w:szCs w:val="24"/>
                  </w:rPr>
                  <w:t>o</w:t>
                  <w:tab/>
                </w:r>
                <w:r>
                  <w:rPr>
                    <w:szCs w:val="24"/>
                  </w:rPr>
                  <w:t xml:space="preserve">Lietuvos Respublikos administracinės naštos mažinimo įstatymas; </w:t>
                </w:r>
              </w:p>
              <w:p>
                <w:pPr>
                  <w:ind w:left="340" w:hanging="340"/>
                  <w:jc w:val="both"/>
                  <w:rPr>
                    <w:szCs w:val="24"/>
                  </w:rPr>
                </w:pPr>
                <w:r>
                  <w:rPr>
                    <w:rFonts w:ascii="Courier New" w:hAnsi="Courier New"/>
                    <w:szCs w:val="24"/>
                  </w:rPr>
                  <w:t>o</w:t>
                  <w:tab/>
                </w:r>
                <w:r>
                  <w:rPr>
                    <w:szCs w:val="24"/>
                  </w:rPr>
                  <w:t xml:space="preserve">Lietuvos Respublikos dokumentų ir archyvų įstatymas; </w:t>
                </w:r>
              </w:p>
              <w:p>
                <w:pPr>
                  <w:ind w:left="340" w:hanging="340"/>
                  <w:jc w:val="both"/>
                  <w:rPr>
                    <w:szCs w:val="24"/>
                  </w:rPr>
                </w:pPr>
                <w:r>
                  <w:rPr>
                    <w:rFonts w:ascii="Courier New" w:hAnsi="Courier New"/>
                    <w:szCs w:val="24"/>
                  </w:rPr>
                  <w:t>o</w:t>
                  <w:tab/>
                </w:r>
                <w:r>
                  <w:rPr>
                    <w:szCs w:val="24"/>
                  </w:rPr>
                  <w:t xml:space="preserve">Lietuvos Respublikos pilietybės įstatymas; </w:t>
                </w:r>
              </w:p>
              <w:p>
                <w:pPr>
                  <w:ind w:left="340" w:hanging="340"/>
                  <w:jc w:val="both"/>
                  <w:rPr>
                    <w:szCs w:val="24"/>
                  </w:rPr>
                </w:pPr>
                <w:r>
                  <w:rPr>
                    <w:rFonts w:ascii="Courier New" w:hAnsi="Courier New"/>
                    <w:szCs w:val="24"/>
                  </w:rPr>
                  <w:t>o</w:t>
                  <w:tab/>
                </w:r>
                <w:r>
                  <w:rPr>
                    <w:szCs w:val="24"/>
                  </w:rPr>
                  <w:t xml:space="preserve">Lietuvos Respublikos valstybės ir savivaldybių turto valdymo, naudojimo ir disponavimo juo įstatymas; </w:t>
                </w:r>
              </w:p>
              <w:p>
                <w:pPr>
                  <w:ind w:left="340" w:hanging="340"/>
                  <w:jc w:val="both"/>
                  <w:rPr>
                    <w:szCs w:val="24"/>
                  </w:rPr>
                </w:pPr>
                <w:r>
                  <w:rPr>
                    <w:rFonts w:ascii="Courier New" w:hAnsi="Courier New"/>
                    <w:szCs w:val="24"/>
                  </w:rPr>
                  <w:t>o</w:t>
                  <w:tab/>
                </w:r>
                <w:r>
                  <w:rPr>
                    <w:szCs w:val="24"/>
                  </w:rPr>
                  <w:t xml:space="preserve">Lietuvos Respublikos valstybės ir savivaldybių įmonių įstatymas; </w:t>
                </w:r>
              </w:p>
              <w:p>
                <w:pPr>
                  <w:ind w:left="340" w:hanging="340"/>
                  <w:jc w:val="both"/>
                  <w:rPr>
                    <w:szCs w:val="24"/>
                  </w:rPr>
                </w:pPr>
                <w:r>
                  <w:rPr>
                    <w:rFonts w:ascii="Courier New" w:hAnsi="Courier New"/>
                    <w:szCs w:val="24"/>
                  </w:rPr>
                  <w:t>o</w:t>
                  <w:tab/>
                </w:r>
                <w:r>
                  <w:rPr>
                    <w:szCs w:val="24"/>
                  </w:rPr>
                  <w:t xml:space="preserve">Lietuvos Respublikos valstybei ir savivaldybės priklausančių akcijų įstatymas; </w:t>
                </w:r>
              </w:p>
              <w:p>
                <w:pPr>
                  <w:ind w:left="340" w:hanging="340"/>
                  <w:jc w:val="both"/>
                  <w:rPr>
                    <w:szCs w:val="24"/>
                  </w:rPr>
                </w:pPr>
                <w:r>
                  <w:rPr>
                    <w:rFonts w:ascii="Courier New" w:hAnsi="Courier New"/>
                    <w:szCs w:val="24"/>
                  </w:rPr>
                  <w:t>o</w:t>
                  <w:tab/>
                </w:r>
                <w:r>
                  <w:rPr>
                    <w:szCs w:val="24"/>
                  </w:rPr>
                  <w:t xml:space="preserve">Lietuvos Respublikos biudžeto sandaros įstatymas; </w:t>
                </w:r>
              </w:p>
              <w:p>
                <w:pPr>
                  <w:ind w:left="340" w:hanging="340"/>
                  <w:jc w:val="both"/>
                  <w:rPr>
                    <w:szCs w:val="24"/>
                  </w:rPr>
                </w:pPr>
                <w:r>
                  <w:rPr>
                    <w:rFonts w:ascii="Courier New" w:hAnsi="Courier New"/>
                    <w:szCs w:val="24"/>
                  </w:rPr>
                  <w:t>o</w:t>
                  <w:tab/>
                </w:r>
                <w:r>
                  <w:rPr>
                    <w:szCs w:val="24"/>
                  </w:rPr>
                  <w:t xml:space="preserve">Lietuvos Respublikos alkoholio kontrolės įstatymas; </w:t>
                </w:r>
              </w:p>
              <w:p>
                <w:pPr>
                  <w:ind w:left="340" w:hanging="340"/>
                  <w:jc w:val="both"/>
                  <w:rPr>
                    <w:szCs w:val="24"/>
                  </w:rPr>
                </w:pPr>
                <w:r>
                  <w:rPr>
                    <w:rFonts w:ascii="Courier New" w:hAnsi="Courier New"/>
                    <w:szCs w:val="24"/>
                  </w:rPr>
                  <w:t>o</w:t>
                  <w:tab/>
                </w:r>
                <w:r>
                  <w:rPr>
                    <w:szCs w:val="24"/>
                  </w:rPr>
                  <w:t>Lietuvos Respublikos tabako, tabako gaminių ir su jais susijusių gaminių kontrolės įstatymas;</w:t>
                </w:r>
              </w:p>
              <w:p>
                <w:pPr>
                  <w:ind w:left="340" w:hanging="340"/>
                  <w:jc w:val="both"/>
                  <w:rPr>
                    <w:szCs w:val="24"/>
                  </w:rPr>
                </w:pPr>
                <w:r>
                  <w:rPr>
                    <w:rFonts w:ascii="Courier New" w:hAnsi="Courier New"/>
                    <w:szCs w:val="24"/>
                  </w:rPr>
                  <w:t>o</w:t>
                  <w:tab/>
                </w:r>
                <w:r>
                  <w:rPr>
                    <w:szCs w:val="24"/>
                  </w:rPr>
                  <w:t xml:space="preserve">Lietuvos Respublikos priešgaisrinės saugos įstatymas; </w:t>
                </w:r>
              </w:p>
              <w:p>
                <w:pPr>
                  <w:ind w:left="340" w:hanging="340"/>
                  <w:jc w:val="both"/>
                  <w:rPr>
                    <w:szCs w:val="24"/>
                  </w:rPr>
                </w:pPr>
                <w:r>
                  <w:rPr>
                    <w:rFonts w:ascii="Courier New" w:hAnsi="Courier New"/>
                    <w:szCs w:val="24"/>
                  </w:rPr>
                  <w:t>o</w:t>
                  <w:tab/>
                </w:r>
                <w:r>
                  <w:rPr>
                    <w:szCs w:val="24"/>
                  </w:rPr>
                  <w:t>Lietuvos Respublikos vidaus reikalų ministro 2006 m. birželio 9 d. įsakymas Nr. 1V-218 „Dėl Valstybinėms (valstybės perduotoms savivaldybėms) funkcijoms atlikti lėšų apskaičiavimo metodikos patvirtinimo“;</w:t>
                </w:r>
              </w:p>
              <w:p>
                <w:pPr>
                  <w:ind w:left="340" w:hanging="340"/>
                  <w:jc w:val="both"/>
                  <w:rPr>
                    <w:szCs w:val="24"/>
                  </w:rPr>
                </w:pPr>
                <w:r>
                  <w:rPr>
                    <w:rFonts w:ascii="Courier New" w:hAnsi="Courier New"/>
                    <w:szCs w:val="24"/>
                  </w:rPr>
                  <w:t>o</w:t>
                  <w:tab/>
                </w:r>
                <w:r>
                  <w:rPr>
                    <w:szCs w:val="24"/>
                  </w:rPr>
                  <w:t xml:space="preserve">Laikinasis priešgaisrinių gelbėjimo pajėgų pasirengimo gesinti ir veiksmų gesinant gaisrus tvarkos aprašas, patvirtintas Priešgaisrinės apsaugos ir gelbėjimo departamento prie Lietuvos Respublikos Vidaus reikalų ministerijos direktoriaus 2010 m. kovo 31 d.  įsakymu Nr. 1–101 „Dėl Laikinojo priešgaisrinių gelbėjimo pajėgų pasirengimo gesinti ir veiksmų gesinant gaisrus tvarkos aprašo patvirtinimo“; </w:t>
                </w:r>
              </w:p>
              <w:p>
                <w:pPr>
                  <w:ind w:left="340" w:hanging="340"/>
                  <w:jc w:val="both"/>
                  <w:rPr>
                    <w:szCs w:val="24"/>
                  </w:rPr>
                </w:pPr>
                <w:r>
                  <w:rPr>
                    <w:rFonts w:ascii="Courier New" w:hAnsi="Courier New"/>
                    <w:szCs w:val="24"/>
                  </w:rPr>
                  <w:t>o</w:t>
                  <w:tab/>
                </w:r>
                <w:r>
                  <w:rPr>
                    <w:szCs w:val="24"/>
                  </w:rPr>
                  <w:t>Priešgaisrinės apsaugos ir gelbėjimo departamento prie Vidaus reikalų ministerijos direktoriaus 2015 m. rugpjūčio 11 d. įsakymas Nr. 1-226 „Dėl Tipinės savivaldybių priešgaisrinių tarnybų veiklos atitikimo tvarkos aprašo patvirtinimo“;</w:t>
                </w:r>
              </w:p>
              <w:p>
                <w:pPr>
                  <w:ind w:left="340" w:hanging="340"/>
                  <w:jc w:val="both"/>
                  <w:rPr>
                    <w:szCs w:val="24"/>
                  </w:rPr>
                </w:pPr>
                <w:r>
                  <w:rPr>
                    <w:rFonts w:ascii="Courier New" w:hAnsi="Courier New"/>
                    <w:szCs w:val="24"/>
                  </w:rPr>
                  <w:t>o</w:t>
                  <w:tab/>
                </w:r>
                <w:r>
                  <w:rPr>
                    <w:szCs w:val="24"/>
                  </w:rPr>
                  <w:t xml:space="preserve">Alytaus rajono savivaldybės tarybos veiklos reglamentas, patvirtintas Alytaus rajono savivaldybės tarybos 2007 m. gruodžio 14 d.  sprendimu Nr. K-228 „Dėl Alytaus rajono savivaldybės tarybos veiklos reglamento patvirtinimo“; </w:t>
                </w:r>
              </w:p>
              <w:p>
                <w:pPr>
                  <w:ind w:left="340" w:hanging="340"/>
                  <w:jc w:val="both"/>
                  <w:rPr>
                    <w:szCs w:val="24"/>
                  </w:rPr>
                </w:pPr>
                <w:r>
                  <w:rPr>
                    <w:rFonts w:ascii="Courier New" w:hAnsi="Courier New"/>
                    <w:szCs w:val="24"/>
                  </w:rPr>
                  <w:t>o</w:t>
                  <w:tab/>
                </w:r>
                <w:r>
                  <w:rPr>
                    <w:szCs w:val="24"/>
                  </w:rPr>
                  <w:t xml:space="preserve">Lietuvos Respublikos Vyriausybės 2011 m. vasario 23 d.  nutarimas Nr. 213 „Dėl Administracinės naštos piliečiams ir kitiems asmenims nustatymo ir įvertinimo metodikos patvirtinimo“;</w:t>
                </w:r>
              </w:p>
              <w:p>
                <w:pPr>
                  <w:ind w:left="340" w:hanging="340"/>
                  <w:jc w:val="both"/>
                  <w:rPr>
                    <w:szCs w:val="24"/>
                  </w:rPr>
                </w:pPr>
                <w:r>
                  <w:rPr>
                    <w:rFonts w:ascii="Courier New" w:hAnsi="Courier New"/>
                    <w:szCs w:val="24"/>
                  </w:rPr>
                  <w:t>o</w:t>
                  <w:tab/>
                </w:r>
                <w:r>
                  <w:rPr>
                    <w:szCs w:val="24"/>
                  </w:rPr>
                  <w:t>Alytaus rajono savivaldybės 2021-2028 metų strateginės plėtros planas, patvirtintas Alytaus rajono savivaldybės tarybos 2020 m. gruodžio 28 d. sprendimu K-268 „Dėl Alytaus rajono savivaldybės 2021–2028 metų strateginės plėtros plano patvirtinimo“.</w:t>
                </w:r>
              </w:p>
            </w:tc>
          </w:tr>
          <w:tr>
            <w:tc>
              <w:tcPr>
                <w:tcW w:w="10031" w:type="dxa"/>
              </w:tcPr>
              <w:p>
                <w:pPr>
                  <w:jc w:val="both"/>
                  <w:rPr>
                    <w:b/>
                    <w:szCs w:val="24"/>
                  </w:rPr>
                </w:pPr>
                <w:r>
                  <w:rPr>
                    <w:b/>
                    <w:szCs w:val="24"/>
                  </w:rPr>
                  <w:t>Kita svarbi informacija:</w:t>
                </w:r>
              </w:p>
            </w:tc>
          </w:tr>
        </w:tbl>
        <w:p>
          <w:pPr>
            <w:rPr>
              <w:rFonts w:ascii="TimesLT" w:hAnsi="TimesLT"/>
              <w:sz w:val="18"/>
            </w:rPr>
          </w:pPr>
        </w:p>
        <w:sdt>
          <w:sdtPr>
            <w:alias w:val="signatura"/>
            <w:tag w:val="part_0a2cdf2d315a4dab809d84f1e7f02b6a"/>
            <w:lock w:val="sdtLocked"/>
            <w:richText/>
          </w:sdtPr>
          <w:sdtContent>
            <w:p>
              <w:pPr>
                <w:jc w:val="center"/>
                <w:rPr>
                  <w:szCs w:val="24"/>
                </w:rPr>
              </w:pPr>
              <w:r>
                <w:rPr>
                  <w:szCs w:val="24"/>
                </w:rPr>
                <w:t>_________________________________</w:t>
              </w:r>
            </w:p>
            <w:p>
              <w:pPr>
                <w:tabs>
                  <w:tab w:val="left" w:pos="7588"/>
                </w:tabs>
                <w:ind w:firstLine="720"/>
                <w:jc w:val="both"/>
                <w:rPr>
                  <w:b/>
                  <w:bCs/>
                  <w:szCs w:val="24"/>
                </w:rPr>
              </w:pPr>
            </w:p>
          </w:sdtContent>
        </w:sdt>
      </w:sdtContent>
    </w:sdt>
    <w:sectPr>
      <w:pgSz w:w="12240" w:h="15840"/>
      <w:pgMar w:top="1134" w:right="567" w:bottom="1134" w:left="1701" w:header="709" w:footer="709" w:gutter="0"/>
      <w:cols w:space="708"/>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TTE2350570t00">
    <w:altName w:val="Times New Roman"/>
    <w:panose1 w:val="00000000000000000000"/>
    <w:charset w:val="00"/>
    <w:family w:val="auto"/>
    <w:notTrueType/>
    <w:pitch w:val="default"/>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TimesLT">
    <w:altName w:val="Times New Roman"/>
    <w:panose1 w:val="02020603050405020304"/>
    <w:charset w:val="BA"/>
    <w:family w:val="roman"/>
    <w:pitch w:val="variable"/>
    <w:sig w:usb0="00000287" w:usb1="00000000" w:usb2="00000000" w:usb3="00000000" w:csb0="0000009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0C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6C07AA8B-877A-406E-8B2D-DAC8211DA61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4489464">
      <w:bodyDiv w:val="1"/>
      <w:marLeft w:val="0"/>
      <w:marRight w:val="0"/>
      <w:marTop w:val="0"/>
      <w:marBottom w:val="0"/>
      <w:divBdr>
        <w:top w:val="none" w:sz="0" w:space="0" w:color="auto"/>
        <w:left w:val="none" w:sz="0" w:space="0" w:color="auto"/>
        <w:bottom w:val="none" w:sz="0" w:space="0" w:color="auto"/>
        <w:right w:val="none" w:sz="0" w:space="0" w:color="auto"/>
      </w:divBdr>
    </w:div>
    <w:div w:id="220218364">
      <w:bodyDiv w:val="1"/>
      <w:marLeft w:val="0"/>
      <w:marRight w:val="0"/>
      <w:marTop w:val="0"/>
      <w:marBottom w:val="0"/>
      <w:divBdr>
        <w:top w:val="none" w:sz="0" w:space="0" w:color="auto"/>
        <w:left w:val="none" w:sz="0" w:space="0" w:color="auto"/>
        <w:bottom w:val="none" w:sz="0" w:space="0" w:color="auto"/>
        <w:right w:val="none" w:sz="0" w:space="0" w:color="auto"/>
      </w:divBdr>
    </w:div>
    <w:div w:id="533419201">
      <w:bodyDiv w:val="1"/>
      <w:marLeft w:val="0"/>
      <w:marRight w:val="0"/>
      <w:marTop w:val="0"/>
      <w:marBottom w:val="0"/>
      <w:divBdr>
        <w:top w:val="none" w:sz="0" w:space="0" w:color="auto"/>
        <w:left w:val="none" w:sz="0" w:space="0" w:color="auto"/>
        <w:bottom w:val="none" w:sz="0" w:space="0" w:color="auto"/>
        <w:right w:val="none" w:sz="0" w:space="0" w:color="auto"/>
      </w:divBdr>
    </w:div>
    <w:div w:id="538132583">
      <w:bodyDiv w:val="1"/>
      <w:marLeft w:val="0"/>
      <w:marRight w:val="0"/>
      <w:marTop w:val="0"/>
      <w:marBottom w:val="0"/>
      <w:divBdr>
        <w:top w:val="none" w:sz="0" w:space="0" w:color="auto"/>
        <w:left w:val="none" w:sz="0" w:space="0" w:color="auto"/>
        <w:bottom w:val="none" w:sz="0" w:space="0" w:color="auto"/>
        <w:right w:val="none" w:sz="0" w:space="0" w:color="auto"/>
      </w:divBdr>
    </w:div>
    <w:div w:id="700787330">
      <w:bodyDiv w:val="1"/>
      <w:marLeft w:val="0"/>
      <w:marRight w:val="0"/>
      <w:marTop w:val="0"/>
      <w:marBottom w:val="0"/>
      <w:divBdr>
        <w:top w:val="none" w:sz="0" w:space="0" w:color="auto"/>
        <w:left w:val="none" w:sz="0" w:space="0" w:color="auto"/>
        <w:bottom w:val="none" w:sz="0" w:space="0" w:color="auto"/>
        <w:right w:val="none" w:sz="0" w:space="0" w:color="auto"/>
      </w:divBdr>
      <w:divsChild>
        <w:div w:id="1372609357">
          <w:marLeft w:val="0"/>
          <w:marRight w:val="0"/>
          <w:marTop w:val="0"/>
          <w:marBottom w:val="0"/>
          <w:divBdr>
            <w:top w:val="none" w:sz="0" w:space="0" w:color="auto"/>
            <w:left w:val="none" w:sz="0" w:space="0" w:color="auto"/>
            <w:bottom w:val="none" w:sz="0" w:space="0" w:color="auto"/>
            <w:right w:val="none" w:sz="0" w:space="0" w:color="auto"/>
          </w:divBdr>
          <w:divsChild>
            <w:div w:id="1151827852">
              <w:marLeft w:val="0"/>
              <w:marRight w:val="0"/>
              <w:marTop w:val="0"/>
              <w:marBottom w:val="0"/>
              <w:divBdr>
                <w:top w:val="none" w:sz="0" w:space="0" w:color="auto"/>
                <w:left w:val="none" w:sz="0" w:space="0" w:color="auto"/>
                <w:bottom w:val="none" w:sz="0" w:space="0" w:color="auto"/>
                <w:right w:val="none" w:sz="0" w:space="0" w:color="auto"/>
              </w:divBdr>
              <w:divsChild>
                <w:div w:id="812068068">
                  <w:marLeft w:val="0"/>
                  <w:marRight w:val="0"/>
                  <w:marTop w:val="0"/>
                  <w:marBottom w:val="0"/>
                  <w:divBdr>
                    <w:top w:val="none" w:sz="0" w:space="0" w:color="auto"/>
                    <w:left w:val="none" w:sz="0" w:space="0" w:color="auto"/>
                    <w:bottom w:val="none" w:sz="0" w:space="0" w:color="auto"/>
                    <w:right w:val="none" w:sz="0" w:space="0" w:color="auto"/>
                  </w:divBdr>
                  <w:divsChild>
                    <w:div w:id="737674735">
                      <w:marLeft w:val="0"/>
                      <w:marRight w:val="0"/>
                      <w:marTop w:val="0"/>
                      <w:marBottom w:val="0"/>
                      <w:divBdr>
                        <w:top w:val="none" w:sz="0" w:space="0" w:color="auto"/>
                        <w:left w:val="none" w:sz="0" w:space="0" w:color="auto"/>
                        <w:bottom w:val="none" w:sz="0" w:space="0" w:color="auto"/>
                        <w:right w:val="none" w:sz="0" w:space="0" w:color="auto"/>
                      </w:divBdr>
                      <w:divsChild>
                        <w:div w:id="1103113857">
                          <w:marLeft w:val="0"/>
                          <w:marRight w:val="0"/>
                          <w:marTop w:val="0"/>
                          <w:marBottom w:val="0"/>
                          <w:divBdr>
                            <w:top w:val="none" w:sz="0" w:space="0" w:color="auto"/>
                            <w:left w:val="none" w:sz="0" w:space="0" w:color="auto"/>
                            <w:bottom w:val="none" w:sz="0" w:space="0" w:color="auto"/>
                            <w:right w:val="none" w:sz="0" w:space="0" w:color="auto"/>
                          </w:divBdr>
                          <w:divsChild>
                            <w:div w:id="1674454717">
                              <w:marLeft w:val="0"/>
                              <w:marRight w:val="0"/>
                              <w:marTop w:val="0"/>
                              <w:marBottom w:val="0"/>
                              <w:divBdr>
                                <w:top w:val="none" w:sz="0" w:space="0" w:color="auto"/>
                                <w:left w:val="none" w:sz="0" w:space="0" w:color="auto"/>
                                <w:bottom w:val="none" w:sz="0" w:space="0" w:color="auto"/>
                                <w:right w:val="none" w:sz="0" w:space="0" w:color="auto"/>
                              </w:divBdr>
                              <w:divsChild>
                                <w:div w:id="1563254049">
                                  <w:marLeft w:val="0"/>
                                  <w:marRight w:val="0"/>
                                  <w:marTop w:val="0"/>
                                  <w:marBottom w:val="0"/>
                                  <w:divBdr>
                                    <w:top w:val="none" w:sz="0" w:space="0" w:color="auto"/>
                                    <w:left w:val="none" w:sz="0" w:space="0" w:color="auto"/>
                                    <w:bottom w:val="none" w:sz="0" w:space="0" w:color="auto"/>
                                    <w:right w:val="none" w:sz="0" w:space="0" w:color="auto"/>
                                  </w:divBdr>
                                  <w:divsChild>
                                    <w:div w:id="937759541">
                                      <w:marLeft w:val="0"/>
                                      <w:marRight w:val="0"/>
                                      <w:marTop w:val="0"/>
                                      <w:marBottom w:val="0"/>
                                      <w:divBdr>
                                        <w:top w:val="none" w:sz="0" w:space="0" w:color="auto"/>
                                        <w:left w:val="none" w:sz="0" w:space="0" w:color="auto"/>
                                        <w:bottom w:val="none" w:sz="0" w:space="0" w:color="auto"/>
                                        <w:right w:val="none" w:sz="0" w:space="0" w:color="auto"/>
                                      </w:divBdr>
                                      <w:divsChild>
                                        <w:div w:id="1091777171">
                                          <w:marLeft w:val="0"/>
                                          <w:marRight w:val="0"/>
                                          <w:marTop w:val="0"/>
                                          <w:marBottom w:val="0"/>
                                          <w:divBdr>
                                            <w:top w:val="none" w:sz="0" w:space="0" w:color="auto"/>
                                            <w:left w:val="none" w:sz="0" w:space="0" w:color="auto"/>
                                            <w:bottom w:val="none" w:sz="0" w:space="0" w:color="auto"/>
                                            <w:right w:val="none" w:sz="0" w:space="0" w:color="auto"/>
                                          </w:divBdr>
                                          <w:divsChild>
                                            <w:div w:id="738287381">
                                              <w:marLeft w:val="0"/>
                                              <w:marRight w:val="0"/>
                                              <w:marTop w:val="0"/>
                                              <w:marBottom w:val="0"/>
                                              <w:divBdr>
                                                <w:top w:val="none" w:sz="0" w:space="0" w:color="auto"/>
                                                <w:left w:val="none" w:sz="0" w:space="0" w:color="auto"/>
                                                <w:bottom w:val="none" w:sz="0" w:space="0" w:color="auto"/>
                                                <w:right w:val="none" w:sz="0" w:space="0" w:color="auto"/>
                                              </w:divBdr>
                                              <w:divsChild>
                                                <w:div w:id="1675911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743795853">
      <w:bodyDiv w:val="1"/>
      <w:marLeft w:val="0"/>
      <w:marRight w:val="0"/>
      <w:marTop w:val="0"/>
      <w:marBottom w:val="0"/>
      <w:divBdr>
        <w:top w:val="none" w:sz="0" w:space="0" w:color="auto"/>
        <w:left w:val="none" w:sz="0" w:space="0" w:color="auto"/>
        <w:bottom w:val="none" w:sz="0" w:space="0" w:color="auto"/>
        <w:right w:val="none" w:sz="0" w:space="0" w:color="auto"/>
      </w:divBdr>
    </w:div>
    <w:div w:id="836531247">
      <w:bodyDiv w:val="1"/>
      <w:marLeft w:val="0"/>
      <w:marRight w:val="0"/>
      <w:marTop w:val="0"/>
      <w:marBottom w:val="0"/>
      <w:divBdr>
        <w:top w:val="none" w:sz="0" w:space="0" w:color="auto"/>
        <w:left w:val="none" w:sz="0" w:space="0" w:color="auto"/>
        <w:bottom w:val="none" w:sz="0" w:space="0" w:color="auto"/>
        <w:right w:val="none" w:sz="0" w:space="0" w:color="auto"/>
      </w:divBdr>
      <w:divsChild>
        <w:div w:id="1829636369">
          <w:marLeft w:val="0"/>
          <w:marRight w:val="0"/>
          <w:marTop w:val="0"/>
          <w:marBottom w:val="0"/>
          <w:divBdr>
            <w:top w:val="none" w:sz="0" w:space="0" w:color="auto"/>
            <w:left w:val="none" w:sz="0" w:space="0" w:color="auto"/>
            <w:bottom w:val="none" w:sz="0" w:space="0" w:color="auto"/>
            <w:right w:val="none" w:sz="0" w:space="0" w:color="auto"/>
          </w:divBdr>
          <w:divsChild>
            <w:div w:id="411196575">
              <w:marLeft w:val="0"/>
              <w:marRight w:val="0"/>
              <w:marTop w:val="0"/>
              <w:marBottom w:val="0"/>
              <w:divBdr>
                <w:top w:val="none" w:sz="0" w:space="0" w:color="auto"/>
                <w:left w:val="none" w:sz="0" w:space="0" w:color="auto"/>
                <w:bottom w:val="none" w:sz="0" w:space="0" w:color="auto"/>
                <w:right w:val="none" w:sz="0" w:space="0" w:color="auto"/>
              </w:divBdr>
              <w:divsChild>
                <w:div w:id="1836073882">
                  <w:marLeft w:val="0"/>
                  <w:marRight w:val="0"/>
                  <w:marTop w:val="0"/>
                  <w:marBottom w:val="0"/>
                  <w:divBdr>
                    <w:top w:val="none" w:sz="0" w:space="0" w:color="auto"/>
                    <w:left w:val="none" w:sz="0" w:space="0" w:color="auto"/>
                    <w:bottom w:val="none" w:sz="0" w:space="0" w:color="auto"/>
                    <w:right w:val="none" w:sz="0" w:space="0" w:color="auto"/>
                  </w:divBdr>
                  <w:divsChild>
                    <w:div w:id="1461680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9609641">
      <w:bodyDiv w:val="1"/>
      <w:marLeft w:val="0"/>
      <w:marRight w:val="0"/>
      <w:marTop w:val="0"/>
      <w:marBottom w:val="0"/>
      <w:divBdr>
        <w:top w:val="none" w:sz="0" w:space="0" w:color="auto"/>
        <w:left w:val="none" w:sz="0" w:space="0" w:color="auto"/>
        <w:bottom w:val="none" w:sz="0" w:space="0" w:color="auto"/>
        <w:right w:val="none" w:sz="0" w:space="0" w:color="auto"/>
      </w:divBdr>
    </w:div>
    <w:div w:id="1685204998">
      <w:bodyDiv w:val="1"/>
      <w:marLeft w:val="0"/>
      <w:marRight w:val="0"/>
      <w:marTop w:val="0"/>
      <w:marBottom w:val="0"/>
      <w:divBdr>
        <w:top w:val="none" w:sz="0" w:space="0" w:color="auto"/>
        <w:left w:val="none" w:sz="0" w:space="0" w:color="auto"/>
        <w:bottom w:val="none" w:sz="0" w:space="0" w:color="auto"/>
        <w:right w:val="none" w:sz="0" w:space="0" w:color="auto"/>
      </w:divBdr>
    </w:div>
    <w:div w:id="1736778672">
      <w:bodyDiv w:val="1"/>
      <w:marLeft w:val="0"/>
      <w:marRight w:val="0"/>
      <w:marTop w:val="0"/>
      <w:marBottom w:val="0"/>
      <w:divBdr>
        <w:top w:val="none" w:sz="0" w:space="0" w:color="auto"/>
        <w:left w:val="none" w:sz="0" w:space="0" w:color="auto"/>
        <w:bottom w:val="none" w:sz="0" w:space="0" w:color="auto"/>
        <w:right w:val="none" w:sz="0" w:space="0" w:color="auto"/>
      </w:divBdr>
    </w:div>
    <w:div w:id="1752503126">
      <w:bodyDiv w:val="1"/>
      <w:marLeft w:val="0"/>
      <w:marRight w:val="0"/>
      <w:marTop w:val="0"/>
      <w:marBottom w:val="0"/>
      <w:divBdr>
        <w:top w:val="none" w:sz="0" w:space="0" w:color="auto"/>
        <w:left w:val="none" w:sz="0" w:space="0" w:color="auto"/>
        <w:bottom w:val="none" w:sz="0" w:space="0" w:color="auto"/>
        <w:right w:val="none" w:sz="0" w:space="0" w:color="auto"/>
      </w:divBdr>
      <w:divsChild>
        <w:div w:id="1722972792">
          <w:marLeft w:val="0"/>
          <w:marRight w:val="0"/>
          <w:marTop w:val="0"/>
          <w:marBottom w:val="0"/>
          <w:divBdr>
            <w:top w:val="none" w:sz="0" w:space="0" w:color="auto"/>
            <w:left w:val="none" w:sz="0" w:space="0" w:color="auto"/>
            <w:bottom w:val="none" w:sz="0" w:space="0" w:color="auto"/>
            <w:right w:val="none" w:sz="0" w:space="0" w:color="auto"/>
          </w:divBdr>
          <w:divsChild>
            <w:div w:id="494079670">
              <w:marLeft w:val="0"/>
              <w:marRight w:val="0"/>
              <w:marTop w:val="0"/>
              <w:marBottom w:val="0"/>
              <w:divBdr>
                <w:top w:val="none" w:sz="0" w:space="0" w:color="auto"/>
                <w:left w:val="none" w:sz="0" w:space="0" w:color="auto"/>
                <w:bottom w:val="none" w:sz="0" w:space="0" w:color="auto"/>
                <w:right w:val="none" w:sz="0" w:space="0" w:color="auto"/>
              </w:divBdr>
              <w:divsChild>
                <w:div w:id="1097367155">
                  <w:marLeft w:val="0"/>
                  <w:marRight w:val="0"/>
                  <w:marTop w:val="0"/>
                  <w:marBottom w:val="0"/>
                  <w:divBdr>
                    <w:top w:val="none" w:sz="0" w:space="0" w:color="auto"/>
                    <w:left w:val="none" w:sz="0" w:space="0" w:color="auto"/>
                    <w:bottom w:val="none" w:sz="0" w:space="0" w:color="auto"/>
                    <w:right w:val="none" w:sz="0" w:space="0" w:color="auto"/>
                  </w:divBdr>
                  <w:divsChild>
                    <w:div w:id="803353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5336352">
      <w:bodyDiv w:val="1"/>
      <w:marLeft w:val="0"/>
      <w:marRight w:val="0"/>
      <w:marTop w:val="0"/>
      <w:marBottom w:val="0"/>
      <w:divBdr>
        <w:top w:val="none" w:sz="0" w:space="0" w:color="auto"/>
        <w:left w:val="none" w:sz="0" w:space="0" w:color="auto"/>
        <w:bottom w:val="none" w:sz="0" w:space="0" w:color="auto"/>
        <w:right w:val="none" w:sz="0" w:space="0" w:color="auto"/>
      </w:divBdr>
      <w:divsChild>
        <w:div w:id="128011692">
          <w:marLeft w:val="0"/>
          <w:marRight w:val="0"/>
          <w:marTop w:val="0"/>
          <w:marBottom w:val="0"/>
          <w:divBdr>
            <w:top w:val="none" w:sz="0" w:space="0" w:color="auto"/>
            <w:left w:val="none" w:sz="0" w:space="0" w:color="auto"/>
            <w:bottom w:val="none" w:sz="0" w:space="0" w:color="auto"/>
            <w:right w:val="none" w:sz="0" w:space="0" w:color="auto"/>
          </w:divBdr>
          <w:divsChild>
            <w:div w:id="1040472801">
              <w:marLeft w:val="0"/>
              <w:marRight w:val="0"/>
              <w:marTop w:val="0"/>
              <w:marBottom w:val="0"/>
              <w:divBdr>
                <w:top w:val="none" w:sz="0" w:space="0" w:color="auto"/>
                <w:left w:val="none" w:sz="0" w:space="0" w:color="auto"/>
                <w:bottom w:val="none" w:sz="0" w:space="0" w:color="auto"/>
                <w:right w:val="none" w:sz="0" w:space="0" w:color="auto"/>
              </w:divBdr>
              <w:divsChild>
                <w:div w:id="344524712">
                  <w:marLeft w:val="0"/>
                  <w:marRight w:val="0"/>
                  <w:marTop w:val="0"/>
                  <w:marBottom w:val="0"/>
                  <w:divBdr>
                    <w:top w:val="none" w:sz="0" w:space="0" w:color="auto"/>
                    <w:left w:val="none" w:sz="0" w:space="0" w:color="auto"/>
                    <w:bottom w:val="none" w:sz="0" w:space="0" w:color="auto"/>
                    <w:right w:val="none" w:sz="0" w:space="0" w:color="auto"/>
                  </w:divBdr>
                  <w:divsChild>
                    <w:div w:id="1062362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42042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142768aef70a452e8abab6267fb75fb3" PartId="a25907d821bb48188c9335453e051df7"/>
  <Part Type="lentele" Title="SAVIVALDYBĖS VEIKLOS, PAGRINDINIŲ FUNKCIJŲ VYKDYMO, STRATEGIJOS FORMAVIMO IR JOS ĮGYVENDINIMO PROGRAMOS APRAŠYMAS" DocPartId="85dd1be0da85416882312e3e1b1a57b1" PartId="8466bbf4dd914d36b528c4e243959ff0"/>
  <Part Type="lentele" DocPartId="6fe7107c2d4e4179a0244dd56dcfdba8" PartId="62993ed588a04a428e78fbca9aa11cf9"/>
  <Part Type="lentele" DocPartId="98b1f2c9cda14846aefb83c2edecd781" PartId="9d1f37123f5d40a0b1056fdf35879e99"/>
  <Part Type="lentele" DocPartId="bdd85d9af53d47308b7845bf322b5cc4" PartId="7f4d87eba24a4ea2ba02f32400430291"/>
  <Part Type="lentele" DocPartId="7c1c68e8e6cf4a2885bb28c854d8f3e9" PartId="27fe7f710c434bf997b0aba1673f00c8">
    <Part Type="signatura" DocPartId="3ab647fb6e31452f9efc39cc9dcefb70" PartId="0a2cdf2d315a4dab809d84f1e7f02b6a"/>
  </Part>
</Parts>
</file>

<file path=customXml/itemProps1.xml><?xml version="1.0" encoding="utf-8"?>
<ds:datastoreItem xmlns:ds="http://schemas.openxmlformats.org/officeDocument/2006/customXml" ds:itemID="{1056C173-2B75-4FDE-B1F9-B31CA3C214CA}">
  <ds:schemaRefs>
    <ds:schemaRef ds:uri="http://schemas.openxmlformats.org/officeDocument/2006/bibliography"/>
  </ds:schemaRefs>
</ds:datastoreItem>
</file>

<file path=customXml/itemProps2.xml><?xml version="1.0" encoding="utf-8"?>
<ds:datastoreItem xmlns:ds="http://schemas.openxmlformats.org/officeDocument/2006/customXml" ds:itemID="{F4FFA0E7-BAAF-45C4-9B18-9B18667E737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2894</Words>
  <Characters>22321</Characters>
  <Application>Microsoft Office Word</Application>
  <DocSecurity>4</DocSecurity>
  <Lines>413</Lines>
  <Paragraphs>177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
  <LinksUpToDate>false</LinksUpToDate>
  <CharactersWithSpaces>25038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2022-02-22T11:31:00Z</dcterms:created>
  <dc:creator>r.dirsiene</dc:creator>
  <lastModifiedBy>adlibuser</lastModifiedBy>
  <lastPrinted>2020-02-10T13:37:00Z</lastPrinted>
  <dcterms:modified xsi:type="dcterms:W3CDTF">2022-02-22T11:31:00Z</dcterms:modified>
  <revision>2</revision>
  <dc:title/>
</coreProperties>
</file>