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1dae86e6a6344dd6a799b27ee7e4b223"/>
        <w:lock w:val="sdtLocked"/>
        <w:richText/>
      </w:sdtPr>
      <w:sdtContent>
        <w:tbl>
          <w:tblPr>
            <w:tblW w:w="0" w:type="auto"/>
            <w:tblLook w:val="04A0" w:firstRow="1" w:lastRow="0" w:firstColumn="1" w:lastColumn="0" w:noHBand="0" w:noVBand="1"/>
          </w:tblPr>
          <w:tblGrid>
            <w:gridCol w:w="4536"/>
          </w:tblGrid>
          <w:tr>
            <w:trPr>
              <w:trHeight w:val="851"/>
            </w:trPr>
            <w:tc>
              <w:tcPr>
                <w:tcW w:w="4536" w:type="dxa"/>
                <w:shd w:val="clear" w:color="auto" w:fill="auto"/>
              </w:tcPr>
              <w:p>
                <w:pPr>
                  <w:tabs>
                    <w:tab w:val="center" w:pos="4320"/>
                    <w:tab w:val="right" w:pos="8640"/>
                  </w:tabs>
                  <w:rPr>
                    <w:rFonts w:ascii="TimesLT" w:hAnsi="TimesLT"/>
                    <w:lang w:val="en-GB"/>
                  </w:rPr>
                </w:pPr>
              </w:p>
              <w:p>
                <w:pPr>
                  <w:ind w:right="141"/>
                  <w:rPr>
                    <w:rFonts w:ascii="TimesLT" w:hAnsi="TimesLT"/>
                    <w:bCs/>
                  </w:rPr>
                </w:pPr>
                <w:r>
                  <w:rPr>
                    <w:rFonts w:ascii="TimesLT" w:hAnsi="TimesLT"/>
                    <w:bCs/>
                  </w:rPr>
                  <w:t xml:space="preserve">PATVIRTINTA                                                    Alytaus rajono savivaldybės tarybos                                                                           2022 m. vasario 17 d. sprendimu Nr. K</w:t>
                </w:r>
                <w:r>
                  <w:rPr>
                    <w:bCs/>
                  </w:rPr>
                  <w:t>-1</w:t>
                </w:r>
                <w:r>
                  <w:rPr>
                    <w:rFonts w:ascii="TimesLT" w:hAnsi="TimesLT"/>
                    <w:bCs/>
                  </w:rPr>
                  <w:t xml:space="preserve">                                                                           </w:t>
                </w:r>
              </w:p>
            </w:tc>
          </w:tr>
        </w:tbl>
        <w:p>
          <w:pPr>
            <w:ind w:right="141" w:firstLine="720"/>
            <w:jc w:val="right"/>
            <w:rPr>
              <w:b/>
              <w:bCs/>
              <w:szCs w:val="24"/>
            </w:rPr>
          </w:pPr>
        </w:p>
        <w:p>
          <w:pPr>
            <w:ind w:right="141" w:firstLine="720"/>
            <w:jc w:val="right"/>
            <w:rPr>
              <w:b/>
              <w:bCs/>
              <w:szCs w:val="24"/>
            </w:rPr>
          </w:pPr>
        </w:p>
        <w:p>
          <w:pPr>
            <w:ind w:right="141" w:firstLine="782"/>
            <w:jc w:val="right"/>
            <w:rPr>
              <w:b/>
              <w:bCs/>
              <w:szCs w:val="24"/>
            </w:rPr>
          </w:pPr>
        </w:p>
        <w:p>
          <w:pPr>
            <w:ind w:right="141"/>
            <w:rPr>
              <w:b/>
              <w:bCs/>
              <w:szCs w:val="24"/>
            </w:rPr>
          </w:pPr>
        </w:p>
        <w:sdt>
          <w:sdtPr>
            <w:alias w:val="1 frm."/>
            <w:tag w:val="part_da4f41e91e154d2fbfa008428ccd865a"/>
            <w:lock w:val="sdtLocked"/>
            <w:richText/>
          </w:sdtPr>
          <w:sdtContent>
            <w:p>
              <w:pPr>
                <w:ind w:right="141" w:firstLine="844"/>
                <w:jc w:val="right"/>
                <w:rPr>
                  <w:bCs/>
                  <w:szCs w:val="24"/>
                </w:rPr>
              </w:pPr>
              <w:r>
                <w:rPr>
                  <w:bCs/>
                  <w:szCs w:val="24"/>
                </w:rPr>
                <w:t>1 priedas</w:t>
              </w:r>
            </w:p>
            <w:p>
              <w:pPr>
                <w:ind w:right="141" w:firstLine="8804"/>
                <w:jc w:val="right"/>
                <w:rPr>
                  <w:bCs/>
                  <w:szCs w:val="24"/>
                </w:rPr>
              </w:pPr>
              <w:r>
                <w:rPr>
                  <w:bCs/>
                  <w:szCs w:val="24"/>
                </w:rPr>
                <w:t>1 b forma</w:t>
              </w:r>
            </w:p>
            <w:p>
              <w:pPr>
                <w:tabs>
                  <w:tab w:val="center" w:pos="4320"/>
                  <w:tab w:val="right" w:pos="8640"/>
                </w:tabs>
                <w:jc w:val="center"/>
                <w:rPr>
                  <w:b/>
                  <w:iCs/>
                  <w:szCs w:val="24"/>
                </w:rPr>
              </w:pPr>
              <w:sdt>
                <w:sdtPr>
                  <w:alias w:val="Pavadinimas"/>
                  <w:tag w:val="title_da4f41e91e154d2fbfa008428ccd865a"/>
                  <w:lock w:val="sdtLocked"/>
                  <w:richText/>
                </w:sdtPr>
                <w:sdtContent>
                  <w:r>
                    <w:rPr>
                      <w:b/>
                      <w:iCs/>
                      <w:szCs w:val="24"/>
                    </w:rPr>
                    <w:t>JAUNIMO POLITIKOS ĮGYVENDINIMO</w:t>
                  </w:r>
                </w:sdtContent>
              </w:sdt>
            </w:p>
            <w:p>
              <w:pPr>
                <w:rPr>
                  <w:sz w:val="10"/>
                  <w:szCs w:val="10"/>
                </w:rPr>
              </w:pPr>
            </w:p>
          </w:sdtContent>
        </w:sdt>
      </w:sdtContent>
    </w:sdt>
    <w:sdt>
      <w:sdtPr>
        <w:alias w:val="lentele"/>
        <w:tag w:val="part_df0bbb6f6cb44f9b9706702b713d697e"/>
        <w:lock w:val="sdtLocked"/>
        <w:richText/>
      </w:sdtPr>
      <w:sdtContent>
        <w:p>
          <w:pPr>
            <w:jc w:val="center"/>
            <w:rPr>
              <w:b/>
              <w:bCs/>
              <w:szCs w:val="24"/>
            </w:rPr>
          </w:pPr>
          <w:sdt>
            <w:sdtPr>
              <w:alias w:val="Pavadinimas"/>
              <w:tag w:val="title_df0bbb6f6cb44f9b9706702b713d697e"/>
              <w:lock w:val="sdtLocked"/>
              <w:richText/>
            </w:sdtPr>
            <w:sdtContent>
              <w:r>
                <w:rPr>
                  <w:b/>
                  <w:bCs/>
                  <w:szCs w:val="24"/>
                </w:rPr>
                <w:t>PROGRAMOS APRAŠYMAS</w:t>
              </w:r>
            </w:sdtContent>
          </w:sdt>
        </w:p>
        <w:p>
          <w:pPr>
            <w:rPr>
              <w:sz w:val="10"/>
              <w:szCs w:val="10"/>
            </w:rPr>
          </w:pPr>
        </w:p>
        <w:p>
          <w:pPr>
            <w:tabs>
              <w:tab w:val="left" w:pos="1247"/>
            </w:tabs>
            <w:ind w:firstLine="720"/>
            <w:jc w:val="both"/>
            <w:rPr>
              <w:bCs/>
              <w:szCs w:val="24"/>
            </w:rPr>
          </w:pPr>
        </w:p>
        <w:p>
          <w:pPr>
            <w:rPr>
              <w:sz w:val="10"/>
              <w:szCs w:val="10"/>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085"/>
            <w:gridCol w:w="6662"/>
          </w:tblGrid>
          <w:tr>
            <w:tc>
              <w:tcPr>
                <w:tcW w:w="3085" w:type="dxa"/>
              </w:tcPr>
              <w:p>
                <w:pPr>
                  <w:keepNext/>
                  <w:spacing w:line="360" w:lineRule="auto"/>
                  <w:jc w:val="both"/>
                  <w:rPr>
                    <w:b/>
                    <w:bCs/>
                    <w:szCs w:val="24"/>
                  </w:rPr>
                </w:pPr>
                <w:r>
                  <w:rPr>
                    <w:b/>
                    <w:bCs/>
                    <w:szCs w:val="24"/>
                  </w:rPr>
                  <w:t>Biudžetiniai metai</w:t>
                </w:r>
              </w:p>
            </w:tc>
            <w:tc>
              <w:tcPr>
                <w:tcW w:w="6662" w:type="dxa"/>
              </w:tcPr>
              <w:p>
                <w:pPr>
                  <w:jc w:val="both"/>
                  <w:rPr>
                    <w:b/>
                    <w:szCs w:val="24"/>
                  </w:rPr>
                </w:pPr>
                <w:r>
                  <w:rPr>
                    <w:b/>
                    <w:szCs w:val="24"/>
                  </w:rPr>
                  <w:t>2022-ieji metai</w:t>
                </w:r>
              </w:p>
            </w:tc>
          </w:tr>
          <w:tr>
            <w:tc>
              <w:tcPr>
                <w:tcW w:w="3085" w:type="dxa"/>
              </w:tcPr>
              <w:p>
                <w:pPr>
                  <w:keepNext/>
                  <w:spacing w:line="360" w:lineRule="auto"/>
                  <w:jc w:val="both"/>
                  <w:rPr>
                    <w:b/>
                    <w:bCs/>
                    <w:szCs w:val="24"/>
                  </w:rPr>
                </w:pPr>
                <w:r>
                  <w:rPr>
                    <w:b/>
                    <w:bCs/>
                    <w:szCs w:val="24"/>
                  </w:rPr>
                  <w:t xml:space="preserve">Asignavimų valdytojas </w:t>
                </w:r>
              </w:p>
              <w:p>
                <w:pPr>
                  <w:keepNext/>
                  <w:spacing w:line="360" w:lineRule="auto"/>
                  <w:jc w:val="both"/>
                  <w:rPr>
                    <w:b/>
                    <w:bCs/>
                    <w:szCs w:val="24"/>
                  </w:rPr>
                </w:pPr>
                <w:r>
                  <w:rPr>
                    <w:b/>
                    <w:bCs/>
                    <w:szCs w:val="24"/>
                  </w:rPr>
                  <w:t>(-ai), kodas (-ai)</w:t>
                </w:r>
              </w:p>
            </w:tc>
            <w:tc>
              <w:tcPr>
                <w:tcW w:w="6662" w:type="dxa"/>
              </w:tcPr>
              <w:p>
                <w:pPr>
                  <w:spacing w:line="360" w:lineRule="auto"/>
                  <w:jc w:val="both"/>
                  <w:rPr>
                    <w:szCs w:val="24"/>
                  </w:rPr>
                </w:pPr>
                <w:r>
                  <w:rPr>
                    <w:szCs w:val="24"/>
                  </w:rPr>
                  <w:t>Alytaus rajono savivaldybės administracijos direktorius, 188718528</w:t>
                </w:r>
              </w:p>
            </w:tc>
          </w:tr>
          <w:tr>
            <w:tc>
              <w:tcPr>
                <w:tcW w:w="3085" w:type="dxa"/>
              </w:tcPr>
              <w:p>
                <w:pPr>
                  <w:keepNext/>
                  <w:spacing w:line="360" w:lineRule="auto"/>
                  <w:jc w:val="both"/>
                  <w:rPr>
                    <w:b/>
                    <w:bCs/>
                    <w:szCs w:val="24"/>
                  </w:rPr>
                </w:pPr>
                <w:r>
                  <w:rPr>
                    <w:b/>
                    <w:bCs/>
                    <w:szCs w:val="24"/>
                  </w:rPr>
                  <w:t>Vykdytojas (-ai), kodas (-ai)</w:t>
                </w:r>
              </w:p>
            </w:tc>
            <w:tc>
              <w:tcPr>
                <w:tcW w:w="6662" w:type="dxa"/>
              </w:tcPr>
              <w:p>
                <w:pPr>
                  <w:rPr>
                    <w:bCs/>
                    <w:szCs w:val="24"/>
                  </w:rPr>
                </w:pPr>
                <w:r>
                  <w:rPr>
                    <w:bCs/>
                    <w:szCs w:val="24"/>
                  </w:rPr>
                  <w:t>Vyriausiasis specialistas (jaunimo reikalų koordinatorius), A7</w:t>
                </w:r>
              </w:p>
            </w:tc>
          </w:tr>
        </w:tbl>
        <w:p>
          <w:pPr>
            <w:jc w:val="center"/>
            <w:rPr>
              <w:b/>
              <w:strike/>
              <w:szCs w:val="24"/>
            </w:rPr>
          </w:pPr>
        </w:p>
      </w:sdtContent>
    </w:sdt>
    <w:sdt>
      <w:sdtPr>
        <w:alias w:val="lentele"/>
        <w:tag w:val="part_76c8bbc4d3a44e21acf3f63a4c1f80ec"/>
        <w:lock w:val="sdtLocked"/>
        <w:richText/>
      </w:sdtPr>
      <w:sdtContent>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085"/>
            <w:gridCol w:w="4940"/>
            <w:gridCol w:w="900"/>
            <w:gridCol w:w="822"/>
          </w:tblGrid>
          <w:tr>
            <w:trPr>
              <w:trHeight w:val="403"/>
            </w:trPr>
            <w:tc>
              <w:tcPr>
                <w:tcW w:w="3085" w:type="dxa"/>
                <w:vAlign w:val="center"/>
              </w:tcPr>
              <w:p>
                <w:pPr>
                  <w:keepNext/>
                  <w:tabs>
                    <w:tab w:val="left" w:pos="0"/>
                    <w:tab w:val="left" w:pos="180"/>
                  </w:tabs>
                  <w:outlineLvl w:val="2"/>
                  <w:rPr>
                    <w:b/>
                    <w:bCs/>
                    <w:szCs w:val="24"/>
                  </w:rPr>
                </w:pPr>
                <w:r>
                  <w:rPr>
                    <w:b/>
                    <w:bCs/>
                    <w:szCs w:val="24"/>
                  </w:rPr>
                  <w:t>Programos pavadinimas</w:t>
                </w:r>
              </w:p>
            </w:tc>
            <w:tc>
              <w:tcPr>
                <w:tcW w:w="4940" w:type="dxa"/>
                <w:vAlign w:val="center"/>
              </w:tcPr>
              <w:p>
                <w:pPr>
                  <w:rPr>
                    <w:b/>
                    <w:bCs/>
                    <w:szCs w:val="24"/>
                  </w:rPr>
                </w:pPr>
                <w:r>
                  <w:rPr>
                    <w:b/>
                    <w:bCs/>
                    <w:szCs w:val="24"/>
                  </w:rPr>
                  <w:t>Jaunimo politikos įgyvendinimas</w:t>
                </w:r>
              </w:p>
            </w:tc>
            <w:tc>
              <w:tcPr>
                <w:tcW w:w="900" w:type="dxa"/>
                <w:vAlign w:val="center"/>
              </w:tcPr>
              <w:p>
                <w:pPr>
                  <w:keepNext/>
                  <w:jc w:val="center"/>
                  <w:outlineLvl w:val="3"/>
                  <w:rPr>
                    <w:b/>
                    <w:bCs/>
                    <w:szCs w:val="24"/>
                  </w:rPr>
                </w:pPr>
                <w:r>
                  <w:rPr>
                    <w:b/>
                    <w:bCs/>
                    <w:szCs w:val="24"/>
                    <w:lang w:eastAsia="lt-LT"/>
                  </w:rPr>
                  <w:t>Kodas</w:t>
                </w:r>
              </w:p>
            </w:tc>
            <w:tc>
              <w:tcPr>
                <w:tcW w:w="822" w:type="dxa"/>
                <w:vAlign w:val="center"/>
              </w:tcPr>
              <w:p>
                <w:pPr>
                  <w:jc w:val="center"/>
                  <w:rPr>
                    <w:b/>
                    <w:szCs w:val="24"/>
                  </w:rPr>
                </w:pPr>
                <w:r>
                  <w:rPr>
                    <w:b/>
                    <w:szCs w:val="24"/>
                  </w:rPr>
                  <w:t>01</w:t>
                </w:r>
              </w:p>
            </w:tc>
          </w:tr>
        </w:tbl>
        <w:p>
          <w:pPr>
            <w:jc w:val="center"/>
            <w:rPr>
              <w:b/>
              <w:strike/>
              <w:szCs w:val="24"/>
            </w:rPr>
          </w:pPr>
        </w:p>
      </w:sdtContent>
    </w:sdt>
    <w:sdt>
      <w:sdtPr>
        <w:alias w:val="lentele"/>
        <w:tag w:val="part_5906a8b6d16b446bb991edef3072cf28"/>
        <w:lock w:val="sdtLocked"/>
        <w:richText/>
      </w:sdtPr>
      <w:sdtContent>
        <w:tbl>
          <w:tblPr>
            <w:tblW w:w="9771" w:type="dxa"/>
            <w:tblInd w:w="-18" w:type="dxa"/>
            <w:tblBorders>
              <w:top w:val="single" w:sz="4" w:space="0" w:color="auto"/>
              <w:left w:val="single" w:sz="4" w:space="0" w:color="auto"/>
              <w:bottom w:val="single" w:sz="4" w:space="0" w:color="B4C6E7"/>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
            <w:gridCol w:w="3085"/>
            <w:gridCol w:w="4940"/>
            <w:gridCol w:w="900"/>
            <w:gridCol w:w="822"/>
            <w:gridCol w:w="6"/>
          </w:tblGrid>
          <w:tr>
            <w:trPr>
              <w:gridBefore w:val="1"/>
              <w:gridAfter w:val="1"/>
              <w:wBefore w:w="18" w:type="dxa"/>
              <w:wAfter w:w="6" w:type="dxa"/>
            </w:trPr>
            <w:tc>
              <w:tcPr>
                <w:tcW w:w="3085" w:type="dxa"/>
                <w:shd w:val="clear" w:color="auto" w:fill="auto"/>
              </w:tcPr>
              <w:p>
                <w:pPr>
                  <w:jc w:val="both"/>
                  <w:rPr>
                    <w:b/>
                    <w:bCs/>
                    <w:szCs w:val="24"/>
                  </w:rPr>
                </w:pPr>
                <w:r>
                  <w:rPr>
                    <w:b/>
                    <w:bCs/>
                    <w:szCs w:val="24"/>
                  </w:rPr>
                  <w:t>Programos parengimo argumentai</w:t>
                </w:r>
              </w:p>
            </w:tc>
            <w:tc>
              <w:tcPr>
                <w:tcW w:w="6662" w:type="dxa"/>
                <w:gridSpan w:val="3"/>
                <w:shd w:val="clear" w:color="auto" w:fill="auto"/>
              </w:tcPr>
              <w:p>
                <w:pPr>
                  <w:jc w:val="both"/>
                  <w:rPr>
                    <w:bCs/>
                    <w:szCs w:val="24"/>
                  </w:rPr>
                </w:pPr>
                <w:r>
                  <w:rPr>
                    <w:bCs/>
                    <w:szCs w:val="24"/>
                  </w:rPr>
                  <w:t xml:space="preserve">Tai valstybinė (perduota savivaldybėms) funkcija, skirta jaunimo politikos formavimui savivaldybėje. Įgyvendinat jaunimo politiką sudaromos sąlygos formuotis intelektualiai, kūrybiškai ir pilietiškai asmenybei, padedama jaunimui integruotis į politinį, ekonominį ir kultūrinį gyvenimą, rūpinamasi jaunimo problemų sprendimu. </w:t>
                </w:r>
              </w:p>
            </w:tc>
          </w:tr>
          <w:tr>
            <w:trPr>
              <w:gridBefore w:val="1"/>
              <w:gridAfter w:val="1"/>
              <w:wBefore w:w="18" w:type="dxa"/>
              <w:wAfter w:w="6" w:type="dxa"/>
            </w:trPr>
            <w:tc>
              <w:tcPr>
                <w:tcW w:w="3085" w:type="dxa"/>
                <w:shd w:val="clear" w:color="auto" w:fill="auto"/>
              </w:tcPr>
              <w:p>
                <w:pPr>
                  <w:jc w:val="both"/>
                  <w:rPr>
                    <w:b/>
                    <w:bCs/>
                    <w:szCs w:val="24"/>
                  </w:rPr>
                </w:pPr>
                <w:r>
                  <w:rPr>
                    <w:b/>
                    <w:bCs/>
                    <w:szCs w:val="24"/>
                  </w:rPr>
                  <w:t>Ilgalaikis prioritetas</w:t>
                </w:r>
              </w:p>
              <w:p>
                <w:pPr>
                  <w:jc w:val="both"/>
                  <w:rPr>
                    <w:b/>
                    <w:bCs/>
                    <w:szCs w:val="24"/>
                    <w:highlight w:val="yellow"/>
                  </w:rPr>
                </w:pPr>
                <w:r>
                  <w:rPr>
                    <w:b/>
                    <w:bCs/>
                    <w:szCs w:val="24"/>
                  </w:rPr>
                  <w:t>(pagal Alytaus rajono savivaldybės strateginį plėtros planą)</w:t>
                </w:r>
              </w:p>
            </w:tc>
            <w:tc>
              <w:tcPr>
                <w:tcW w:w="4940" w:type="dxa"/>
                <w:shd w:val="clear" w:color="auto" w:fill="auto"/>
              </w:tcPr>
              <w:p>
                <w:pPr>
                  <w:jc w:val="both"/>
                  <w:rPr>
                    <w:b/>
                    <w:bCs/>
                    <w:szCs w:val="24"/>
                    <w:lang w:val="en-GB"/>
                  </w:rPr>
                </w:pPr>
                <w:r>
                  <w:rPr>
                    <w:b/>
                    <w:bCs/>
                    <w:szCs w:val="24"/>
                    <w:lang w:val="en-GB"/>
                  </w:rPr>
                  <w:t xml:space="preserve">TVARI, DARNI, INOVATYVI EKONOMIKOS PLĖTRA IR IŠVYSTYTA INFRASTRUKTŪRA </w:t>
                </w:r>
              </w:p>
              <w:p>
                <w:pPr>
                  <w:jc w:val="both"/>
                  <w:rPr>
                    <w:b/>
                    <w:bCs/>
                    <w:szCs w:val="24"/>
                    <w:lang w:val="en-GB"/>
                  </w:rPr>
                </w:pPr>
              </w:p>
              <w:p>
                <w:pPr>
                  <w:jc w:val="both"/>
                  <w:outlineLvl w:val="4"/>
                  <w:rPr>
                    <w:b/>
                    <w:bCs/>
                    <w:iCs/>
                    <w:szCs w:val="24"/>
                    <w:highlight w:val="yellow"/>
                  </w:rPr>
                </w:pPr>
                <w:r>
                  <w:rPr>
                    <w:b/>
                    <w:bCs/>
                    <w:szCs w:val="24"/>
                    <w:lang w:val="en-GB"/>
                  </w:rPr>
                  <w:t>SUMANIOS, VEIKLIOS, SUSITELKUSIOS BENDRUOMENĖS, PAŽANGI, SOCIALIAI ATSAKINGA SAVIVALDA</w:t>
                </w:r>
              </w:p>
            </w:tc>
            <w:tc>
              <w:tcPr>
                <w:tcW w:w="900" w:type="dxa"/>
                <w:shd w:val="clear" w:color="auto" w:fill="auto"/>
              </w:tcPr>
              <w:p>
                <w:pPr>
                  <w:jc w:val="both"/>
                  <w:outlineLvl w:val="4"/>
                  <w:rPr>
                    <w:b/>
                    <w:bCs/>
                    <w:iCs/>
                    <w:szCs w:val="24"/>
                  </w:rPr>
                </w:pPr>
                <w:r>
                  <w:rPr>
                    <w:b/>
                    <w:iCs/>
                    <w:szCs w:val="24"/>
                    <w:lang w:eastAsia="lt-LT"/>
                  </w:rPr>
                  <w:t>Kodas</w:t>
                </w:r>
              </w:p>
            </w:tc>
            <w:tc>
              <w:tcPr>
                <w:tcW w:w="822" w:type="dxa"/>
                <w:shd w:val="clear" w:color="auto" w:fill="auto"/>
              </w:tcPr>
              <w:p>
                <w:pPr>
                  <w:jc w:val="center"/>
                  <w:outlineLvl w:val="4"/>
                  <w:rPr>
                    <w:b/>
                    <w:bCs/>
                    <w:iCs/>
                    <w:szCs w:val="24"/>
                  </w:rPr>
                </w:pPr>
                <w:r>
                  <w:rPr>
                    <w:b/>
                    <w:bCs/>
                    <w:iCs/>
                    <w:szCs w:val="24"/>
                  </w:rPr>
                  <w:t>01</w:t>
                </w:r>
              </w:p>
              <w:p>
                <w:pPr>
                  <w:jc w:val="center"/>
                  <w:rPr>
                    <w:szCs w:val="24"/>
                  </w:rPr>
                </w:pPr>
              </w:p>
              <w:p>
                <w:pPr>
                  <w:jc w:val="center"/>
                  <w:rPr>
                    <w:b/>
                    <w:szCs w:val="24"/>
                  </w:rPr>
                </w:pPr>
              </w:p>
              <w:p>
                <w:pPr>
                  <w:jc w:val="center"/>
                  <w:rPr>
                    <w:b/>
                    <w:szCs w:val="24"/>
                  </w:rPr>
                </w:pPr>
              </w:p>
              <w:p>
                <w:pPr>
                  <w:jc w:val="center"/>
                  <w:rPr>
                    <w:b/>
                    <w:szCs w:val="24"/>
                  </w:rPr>
                </w:pPr>
                <w:r>
                  <w:rPr>
                    <w:b/>
                    <w:szCs w:val="24"/>
                  </w:rPr>
                  <w:t>02</w:t>
                </w:r>
              </w:p>
              <w:p>
                <w:pPr>
                  <w:rPr>
                    <w:szCs w:val="24"/>
                  </w:rPr>
                </w:pPr>
              </w:p>
            </w:tc>
          </w:tr>
          <w:tr>
            <w:trPr>
              <w:gridBefore w:val="1"/>
              <w:gridAfter w:val="1"/>
              <w:wBefore w:w="18" w:type="dxa"/>
              <w:wAfter w:w="6" w:type="dxa"/>
            </w:trPr>
            <w:tc>
              <w:tcPr>
                <w:tcW w:w="3085" w:type="dxa"/>
                <w:shd w:val="clear" w:color="auto" w:fill="auto"/>
              </w:tcPr>
              <w:p>
                <w:pPr>
                  <w:rPr>
                    <w:b/>
                    <w:bCs/>
                    <w:szCs w:val="24"/>
                  </w:rPr>
                </w:pPr>
                <w:r>
                  <w:rPr>
                    <w:b/>
                    <w:bCs/>
                    <w:szCs w:val="24"/>
                  </w:rPr>
                  <w:t>Šia programa įgyvendinamas savivaldybės strateginis tikslas:</w:t>
                </w:r>
              </w:p>
            </w:tc>
            <w:tc>
              <w:tcPr>
                <w:tcW w:w="4940" w:type="dxa"/>
                <w:shd w:val="clear" w:color="auto" w:fill="auto"/>
              </w:tcPr>
              <w:p>
                <w:pPr>
                  <w:jc w:val="both"/>
                  <w:rPr>
                    <w:b/>
                    <w:strike/>
                    <w:szCs w:val="24"/>
                  </w:rPr>
                </w:pPr>
                <w:r>
                  <w:rPr>
                    <w:b/>
                    <w:bCs/>
                    <w:lang w:eastAsia="lt-LT"/>
                  </w:rPr>
                  <w:t>ĮGALINTI BENDRUOMENES, SKATINTI GYVENTOJŲ AKTYVUMĄ, PUOSELĖTI KULTŪROS PAVELDĄ IR GERĄSIAS KRAŠTO TRADICIJAS</w:t>
                </w:r>
              </w:p>
            </w:tc>
            <w:tc>
              <w:tcPr>
                <w:tcW w:w="900" w:type="dxa"/>
                <w:shd w:val="clear" w:color="auto" w:fill="auto"/>
                <w:vAlign w:val="center"/>
              </w:tcPr>
              <w:p>
                <w:pPr>
                  <w:keepNext/>
                  <w:jc w:val="center"/>
                  <w:outlineLvl w:val="3"/>
                  <w:rPr>
                    <w:b/>
                    <w:bCs/>
                    <w:szCs w:val="24"/>
                  </w:rPr>
                </w:pPr>
                <w:r>
                  <w:rPr>
                    <w:b/>
                    <w:bCs/>
                    <w:szCs w:val="24"/>
                    <w:lang w:eastAsia="lt-LT"/>
                  </w:rPr>
                  <w:t>Kodas</w:t>
                </w:r>
              </w:p>
            </w:tc>
            <w:tc>
              <w:tcPr>
                <w:tcW w:w="822" w:type="dxa"/>
                <w:shd w:val="clear" w:color="auto" w:fill="auto"/>
                <w:vAlign w:val="center"/>
              </w:tcPr>
              <w:p>
                <w:pPr>
                  <w:jc w:val="center"/>
                  <w:rPr>
                    <w:b/>
                    <w:szCs w:val="24"/>
                  </w:rPr>
                </w:pPr>
                <w:r>
                  <w:rPr>
                    <w:b/>
                    <w:szCs w:val="24"/>
                  </w:rPr>
                  <w:t>01</w:t>
                </w:r>
              </w:p>
            </w:tc>
          </w:tr>
          <w:tr>
            <w:trPr>
              <w:gridBefore w:val="1"/>
              <w:gridAfter w:val="1"/>
              <w:wBefore w:w="18" w:type="dxa"/>
              <w:wAfter w:w="6" w:type="dxa"/>
            </w:trPr>
            <w:tc>
              <w:tcPr>
                <w:tcW w:w="3085" w:type="dxa"/>
                <w:tcBorders>
                  <w:bottom w:val="single" w:sz="4" w:space="0" w:color="000000"/>
                </w:tcBorders>
                <w:shd w:val="clear" w:color="auto" w:fill="auto"/>
              </w:tcPr>
              <w:p>
                <w:pPr>
                  <w:keepNext/>
                  <w:spacing w:line="360" w:lineRule="auto"/>
                  <w:jc w:val="both"/>
                  <w:rPr>
                    <w:b/>
                    <w:szCs w:val="24"/>
                  </w:rPr>
                </w:pPr>
                <w:r>
                  <w:rPr>
                    <w:b/>
                    <w:szCs w:val="24"/>
                  </w:rPr>
                  <w:t>Programos tikslas</w:t>
                </w:r>
              </w:p>
            </w:tc>
            <w:tc>
              <w:tcPr>
                <w:tcW w:w="4940" w:type="dxa"/>
                <w:tcBorders>
                  <w:bottom w:val="single" w:sz="4" w:space="0" w:color="000000"/>
                </w:tcBorders>
                <w:shd w:val="clear" w:color="auto" w:fill="auto"/>
              </w:tcPr>
              <w:p>
                <w:pPr>
                  <w:jc w:val="both"/>
                  <w:rPr>
                    <w:b/>
                    <w:szCs w:val="24"/>
                  </w:rPr>
                </w:pPr>
                <w:r>
                  <w:rPr>
                    <w:b/>
                    <w:szCs w:val="24"/>
                  </w:rPr>
                  <w:t>Kurti palankią aplinką (sąlygas) jauno žmogaus vertingam gyvenimui ir saviraiškai Alytaus rajone</w:t>
                </w:r>
              </w:p>
            </w:tc>
            <w:tc>
              <w:tcPr>
                <w:tcW w:w="900" w:type="dxa"/>
                <w:tcBorders>
                  <w:bottom w:val="single" w:sz="4" w:space="0" w:color="000000"/>
                </w:tcBorders>
                <w:shd w:val="clear" w:color="auto" w:fill="auto"/>
                <w:vAlign w:val="center"/>
              </w:tcPr>
              <w:p>
                <w:pPr>
                  <w:keepNext/>
                  <w:spacing w:line="360" w:lineRule="auto"/>
                  <w:jc w:val="center"/>
                  <w:rPr>
                    <w:b/>
                    <w:bCs/>
                    <w:szCs w:val="24"/>
                  </w:rPr>
                </w:pPr>
                <w:r>
                  <w:rPr>
                    <w:b/>
                    <w:bCs/>
                    <w:szCs w:val="24"/>
                  </w:rPr>
                  <w:t>Kodas</w:t>
                </w:r>
              </w:p>
            </w:tc>
            <w:tc>
              <w:tcPr>
                <w:tcW w:w="822" w:type="dxa"/>
                <w:tcBorders>
                  <w:bottom w:val="single" w:sz="4" w:space="0" w:color="000000"/>
                </w:tcBorders>
                <w:shd w:val="clear" w:color="auto" w:fill="auto"/>
                <w:vAlign w:val="center"/>
              </w:tcPr>
              <w:p>
                <w:pPr>
                  <w:jc w:val="center"/>
                  <w:rPr>
                    <w:b/>
                    <w:szCs w:val="24"/>
                  </w:rPr>
                </w:pPr>
                <w:r>
                  <w:rPr>
                    <w:b/>
                    <w:szCs w:val="24"/>
                  </w:rPr>
                  <w:t>01</w:t>
                </w:r>
              </w:p>
            </w:tc>
          </w:tr>
          <w:tr>
            <w:trPr>
              <w:gridBefore w:val="1"/>
              <w:gridAfter w:val="1"/>
              <w:wBefore w:w="18" w:type="dxa"/>
              <w:wAfter w:w="6" w:type="dxa"/>
              <w:trHeight w:val="274"/>
            </w:trPr>
            <w:tc>
              <w:tcPr>
                <w:tcW w:w="9747" w:type="dxa"/>
                <w:gridSpan w:val="4"/>
                <w:tcBorders>
                  <w:bottom w:val="single" w:sz="4" w:space="0" w:color="auto"/>
                </w:tcBorders>
                <w:shd w:val="clear" w:color="auto" w:fill="auto"/>
              </w:tcPr>
              <w:p>
                <w:pPr>
                  <w:jc w:val="both"/>
                  <w:rPr>
                    <w:szCs w:val="24"/>
                    <w:lang w:val="en-US"/>
                  </w:rPr>
                </w:pPr>
                <w:r>
                  <w:rPr>
                    <w:b/>
                    <w:bCs/>
                    <w:szCs w:val="24"/>
                    <w:lang w:val="en-US"/>
                  </w:rPr>
                  <w:t xml:space="preserve">Tikslo įgyvendinimo aprašymas: </w:t>
                </w:r>
                <w:r>
                  <w:rPr>
                    <w:szCs w:val="24"/>
                    <w:lang w:val="en-US"/>
                  </w:rPr>
                  <w:t xml:space="preserve">Savivaldybėje formuojama ir įgyvendinama jaunimo politika. Tai yra kryptinga veikla, kuria sprendžiamos jaunimo problemos ir siekiama sudaryti palankias sąlygas formuotis jauno žmogaus asmenybei bei jo integravimuisi į visuomenės gyvenimą, taip pat veikla, kuria siekiama visuomenės ir atskirų jos grupių supratimo ir tolerancijos jauniems žmonėms. Efektyviai šias f-jas vykdyti reikia kvalifikuoto personalo, gerų darbo sąlygų sudarymo, suplanuoto išteklių paskirstymo, sistemingos veiklos, darbo planavimo. Programa siekiama plėtoti jaunimo socializacijos, kūrybinės saviraiškos bei pilietines iniciatyvas, skatinti jaunimo įsitraukimą į visuomeninę veiklą, įgalinti rajono jaunimą atstovauti savivaldybės jaunų žmonių interesus, stiprinti jaunimo NVO potencialą, gerinti jų veiklos kokybę.  </w:t>
                </w:r>
              </w:p>
              <w:p>
                <w:pPr>
                  <w:jc w:val="both"/>
                  <w:rPr>
                    <w:szCs w:val="24"/>
                    <w:lang w:val="en-GB"/>
                  </w:rPr>
                </w:pPr>
                <w:r>
                  <w:rPr>
                    <w:szCs w:val="24"/>
                    <w:lang w:val="en-US"/>
                  </w:rPr>
                  <w:t>Įgyvendinant</w:t>
                </w:r>
                <w:r>
                  <w:rPr>
                    <w:b/>
                    <w:szCs w:val="24"/>
                    <w:lang w:val="en-US"/>
                  </w:rPr>
                  <w:t xml:space="preserve"> </w:t>
                </w:r>
                <w:r>
                  <w:rPr>
                    <w:szCs w:val="24"/>
                    <w:lang w:val="en-US"/>
                  </w:rPr>
                  <w:t>šį tikslą vykdomas uždavinys:</w:t>
                </w:r>
              </w:p>
              <w:p>
                <w:pPr>
                  <w:jc w:val="both"/>
                  <w:rPr>
                    <w:b/>
                    <w:bCs/>
                    <w:szCs w:val="24"/>
                    <w:lang w:val="en-GB"/>
                  </w:rPr>
                </w:pPr>
                <w:r>
                  <w:rPr>
                    <w:b/>
                    <w:bCs/>
                    <w:szCs w:val="24"/>
                  </w:rPr>
                  <w:t xml:space="preserve">01 uždavinys. </w:t>
                </w:r>
                <w:r>
                  <w:rPr>
                    <w:b/>
                    <w:bCs/>
                    <w:szCs w:val="24"/>
                    <w:lang w:val="en-GB"/>
                  </w:rPr>
                  <w:t xml:space="preserve">Didinti laisvalaikio užimtumo ir neformaliojo ugdymo paslaugų prieinamumą jaunimui. </w:t>
                </w:r>
              </w:p>
              <w:p>
                <w:pPr>
                  <w:jc w:val="both"/>
                  <w:rPr>
                    <w:b/>
                    <w:szCs w:val="24"/>
                    <w:lang w:val="en-GB"/>
                  </w:rPr>
                </w:pPr>
                <w:r>
                  <w:rPr>
                    <w:szCs w:val="24"/>
                    <w:lang w:val="en-GB"/>
                  </w:rPr>
                  <w:t xml:space="preserve">Šiam uždaviniui  įgyvendinti  bus taikomos šios priemonės:</w:t>
                </w:r>
                <w:r>
                  <w:rPr>
                    <w:b/>
                    <w:szCs w:val="24"/>
                    <w:lang w:val="en-GB"/>
                  </w:rPr>
                  <w:t xml:space="preserve"> </w:t>
                </w:r>
              </w:p>
              <w:p>
                <w:pPr>
                  <w:jc w:val="both"/>
                  <w:rPr>
                    <w:rFonts w:eastAsia="SimSun"/>
                    <w:szCs w:val="24"/>
                  </w:rPr>
                </w:pPr>
                <w:r>
                  <w:rPr>
                    <w:i/>
                    <w:szCs w:val="24"/>
                  </w:rPr>
                  <w:t xml:space="preserve">Sudaryti sąlygas jaunimui įsitvirtinti ir ekonomiškai stabiliai gyventi rajono savivaldybėje </w:t>
                </w:r>
                <w:r>
                  <w:rPr>
                    <w:szCs w:val="24"/>
                  </w:rPr>
                  <w:t>pagerinant jaunimo įsidarbinimą, skatinant profesinio ir aukštojo mokslo įstaigų, privataus verslo bei savivaldybės bendradarbiavimą, sprendžiant socialinę atskirtį patiriančių, nekvalifikuotų, išsilavinimo, specialybės, profesijos neturinčių, probleminių jaunų žmonių motyvacijos dirbti problemas, plėtojant</w:t>
                </w:r>
                <w:r>
                  <w:rPr>
                    <w:rFonts w:eastAsia="SimSun"/>
                    <w:szCs w:val="24"/>
                  </w:rPr>
                  <w:t xml:space="preserve"> jaunimo verslumo skatinimo priemones bei sudarant palankias sąlygas jaunimo verslo pradžiai.</w:t>
                </w:r>
              </w:p>
              <w:p>
                <w:pPr>
                  <w:tabs>
                    <w:tab w:val="num" w:pos="0"/>
                  </w:tabs>
                  <w:jc w:val="both"/>
                  <w:rPr>
                    <w:rFonts w:eastAsia="SimSun"/>
                    <w:szCs w:val="24"/>
                  </w:rPr>
                </w:pPr>
                <w:r>
                  <w:rPr>
                    <w:i/>
                    <w:szCs w:val="24"/>
                  </w:rPr>
                  <w:t>Didinti jaunimo kūrybiškumą, aktyvų pilietiškumą bei sveikos gyvensenos ir savanoriškos veiklos galimybes savivaldybėje, ypač kaimo vietovėse</w:t>
                </w:r>
                <w:r>
                  <w:rPr>
                    <w:szCs w:val="24"/>
                  </w:rPr>
                  <w:t>, skatinant</w:t>
                </w:r>
                <w:r>
                  <w:rPr>
                    <w:rFonts w:eastAsia="SimSun"/>
                    <w:szCs w:val="24"/>
                  </w:rPr>
                  <w:t xml:space="preserve"> jaunimo, ypač kaimo vietovėse, aktyvumą, iniciatyvas, dalyvavimą visuomeninėje ir savanoriškoje veikloje, sveiką gyvenseną, įtraukiant jaunimą į rajono kultūrinio gyvenimo planavimą, įgyvendinimą, sudarant sąlygas jaunimo saviraiškai bei kūrybai.</w:t>
                </w:r>
              </w:p>
              <w:p>
                <w:pPr>
                  <w:jc w:val="both"/>
                </w:pPr>
                <w:r>
                  <w:rPr>
                    <w:rFonts w:eastAsia="SimSun"/>
                    <w:i/>
                  </w:rPr>
                  <w:t>U</w:t>
                </w:r>
                <w:r>
                  <w:rPr>
                    <w:i/>
                  </w:rPr>
                  <w:t xml:space="preserve">žtikrinti kokybišką jaunimo politikos plėtrą, </w:t>
                </w:r>
                <w:r>
                  <w:t xml:space="preserve">skatinant </w:t>
                </w:r>
                <w:r>
                  <w:rPr>
                    <w:rFonts w:eastAsia="SimSun"/>
                  </w:rPr>
                  <w:t>jaunimo dalyvavimą sprendžiant jam aktualius klausimus, stiprinant savivaldybės jaunimo politiką įgyvendinančių struktūrų veiklos kokybę, tobulinant jaunimo informacijos sklaidos ir konsultavimo būdus, vykdant</w:t>
                </w:r>
                <w:r>
                  <w:t xml:space="preserve"> aktualių jaunimui programų ir priemonių stebėseną savivaldybėje.</w:t>
                </w:r>
              </w:p>
              <w:p>
                <w:pPr>
                  <w:jc w:val="both"/>
                  <w:rPr>
                    <w:szCs w:val="24"/>
                  </w:rPr>
                </w:pPr>
                <w:r>
                  <w:rPr>
                    <w:szCs w:val="24"/>
                  </w:rPr>
                  <w:t>Įgyvendinant šias priemones, skatinamas jaunimo aktyvumas ir pilietinis ugdymasis bei neformalių jaunimo grupių kūrimasis, stiprinamos ir remiamos jaunimo, su jaunimu dirbančios jaunimo nevyriausybinės organizacijos, teikiant joms institucinį bei projektinį finansavimą, informacines-metodines paslaugas. Jaunimo ir su jaunimo dirbančioms organizacijoms bei neformalioms jaunimo interesų grupėms bus teikiamos informacinės-metodinės paslaugos įgyvendinant projektus, bus stiprinamas Alytaus rajono organizacijų žmogiškasis potencialas ir kuriama tinkama organizacijoms infrastruktūra.</w:t>
                </w:r>
              </w:p>
              <w:p>
                <w:pPr>
                  <w:jc w:val="both"/>
                  <w:rPr>
                    <w:b/>
                    <w:szCs w:val="24"/>
                  </w:rPr>
                </w:pPr>
                <w:r>
                  <w:rPr>
                    <w:rFonts w:ascii="TimesLT" w:hAnsi="TimesLT"/>
                    <w:bCs/>
                    <w:i/>
                    <w:u w:val="single"/>
                    <w:lang w:val="en-GB"/>
                  </w:rPr>
                  <w:t>Rezultato vertinimo kriterijus:</w:t>
                </w:r>
                <w:r>
                  <w:rPr>
                    <w:rFonts w:ascii="TimesLT" w:hAnsi="TimesLT"/>
                    <w:bCs/>
                    <w:i/>
                    <w:lang w:val="en-GB"/>
                  </w:rPr>
                  <w:t xml:space="preserve">  </w:t>
                </w:r>
                <w:r>
                  <w:rPr>
                    <w:rFonts w:ascii="TimesLT" w:hAnsi="TimesLT"/>
                    <w:bCs/>
                    <w:lang w:val="en-GB"/>
                  </w:rPr>
                  <w:t xml:space="preserve">atvirų jaunimo erdvių kūrimas, vnt. – 1, </w:t>
                </w:r>
                <w:r>
                  <w:rPr>
                    <w:rFonts w:ascii="TimesLT" w:hAnsi="TimesLT"/>
                    <w:lang w:val="en-GB"/>
                  </w:rPr>
                  <w:t xml:space="preserve">jaunimo iniciatyvą ir laisvalaikio užimtumą plėtojančių renginių skaičius, siekiant, kad renginiuose dalyvautų ne mažiau, kaip 40 proc. vienos lyties asmenų, vnt. – 11.  </w:t>
                </w:r>
                <w:r>
                  <w:rPr>
                    <w:rFonts w:ascii="TimesLT" w:hAnsi="TimesLT"/>
                  </w:rPr>
                  <w:t xml:space="preserve"> </w:t>
                </w:r>
              </w:p>
            </w:tc>
          </w:tr>
          <w:tr>
            <w:trPr>
              <w:gridBefore w:val="1"/>
              <w:gridAfter w:val="1"/>
              <w:wBefore w:w="18" w:type="dxa"/>
              <w:wAfter w:w="6" w:type="dxa"/>
            </w:trPr>
            <w:tc>
              <w:tcPr>
                <w:tcW w:w="3085" w:type="dxa"/>
                <w:tcBorders>
                  <w:bottom w:val="single" w:sz="4" w:space="0" w:color="000000"/>
                </w:tcBorders>
                <w:shd w:val="clear" w:color="auto" w:fill="auto"/>
              </w:tcPr>
              <w:p>
                <w:pPr>
                  <w:keepNext/>
                  <w:spacing w:line="360" w:lineRule="auto"/>
                  <w:jc w:val="both"/>
                  <w:rPr>
                    <w:b/>
                    <w:szCs w:val="24"/>
                  </w:rPr>
                </w:pPr>
                <w:r>
                  <w:rPr>
                    <w:b/>
                    <w:szCs w:val="24"/>
                  </w:rPr>
                  <w:t>Programos tikslas</w:t>
                </w:r>
              </w:p>
            </w:tc>
            <w:tc>
              <w:tcPr>
                <w:tcW w:w="4940" w:type="dxa"/>
                <w:tcBorders>
                  <w:bottom w:val="single" w:sz="4" w:space="0" w:color="000000"/>
                </w:tcBorders>
                <w:shd w:val="clear" w:color="auto" w:fill="auto"/>
              </w:tcPr>
              <w:p>
                <w:pPr>
                  <w:jc w:val="both"/>
                  <w:rPr>
                    <w:b/>
                    <w:szCs w:val="24"/>
                  </w:rPr>
                </w:pPr>
                <w:r>
                  <w:rPr>
                    <w:b/>
                    <w:szCs w:val="24"/>
                  </w:rPr>
                  <w:t>Vietos jaunimo organizacijų bendradarbiavimas, jaunimo iniciatyvų skatinimas</w:t>
                </w:r>
              </w:p>
            </w:tc>
            <w:tc>
              <w:tcPr>
                <w:tcW w:w="900" w:type="dxa"/>
                <w:tcBorders>
                  <w:bottom w:val="single" w:sz="4" w:space="0" w:color="000000"/>
                </w:tcBorders>
                <w:shd w:val="clear" w:color="auto" w:fill="auto"/>
                <w:vAlign w:val="center"/>
              </w:tcPr>
              <w:p>
                <w:pPr>
                  <w:keepNext/>
                  <w:spacing w:line="360" w:lineRule="auto"/>
                  <w:jc w:val="center"/>
                  <w:rPr>
                    <w:b/>
                    <w:bCs/>
                    <w:szCs w:val="24"/>
                  </w:rPr>
                </w:pPr>
                <w:r>
                  <w:rPr>
                    <w:b/>
                    <w:bCs/>
                    <w:szCs w:val="24"/>
                  </w:rPr>
                  <w:t>Kodas</w:t>
                </w:r>
              </w:p>
            </w:tc>
            <w:tc>
              <w:tcPr>
                <w:tcW w:w="822" w:type="dxa"/>
                <w:tcBorders>
                  <w:bottom w:val="single" w:sz="4" w:space="0" w:color="000000"/>
                </w:tcBorders>
                <w:shd w:val="clear" w:color="auto" w:fill="auto"/>
                <w:vAlign w:val="center"/>
              </w:tcPr>
              <w:p>
                <w:pPr>
                  <w:jc w:val="center"/>
                  <w:rPr>
                    <w:b/>
                    <w:szCs w:val="24"/>
                  </w:rPr>
                </w:pPr>
                <w:r>
                  <w:rPr>
                    <w:b/>
                    <w:szCs w:val="24"/>
                  </w:rPr>
                  <w:t>02</w:t>
                </w:r>
              </w:p>
            </w:tc>
          </w:tr>
          <w:tr>
            <w:tblPrEx>
              <w:tblBorders>
                <w:bottom w:val="single" w:sz="4" w:space="0" w:color="auto"/>
              </w:tblBorders>
            </w:tblPrEx>
            <w:trPr>
              <w:cantSplit/>
              <w:trHeight w:val="471"/>
            </w:trPr>
            <w:tc>
              <w:tcPr>
                <w:tcW w:w="9771" w:type="dxa"/>
                <w:gridSpan w:val="6"/>
              </w:tcPr>
              <w:p>
                <w:pPr>
                  <w:jc w:val="both"/>
                  <w:rPr>
                    <w:szCs w:val="24"/>
                  </w:rPr>
                </w:pPr>
                <w:r>
                  <w:rPr>
                    <w:b/>
                    <w:sz w:val="22"/>
                    <w:szCs w:val="24"/>
                    <w:lang w:val="en-US"/>
                  </w:rPr>
                  <w:t xml:space="preserve">Tikslo įgyvendinimo aprašymas: </w:t>
                </w:r>
                <w:r>
                  <w:rPr>
                    <w:szCs w:val="24"/>
                    <w:lang w:val="en-US"/>
                  </w:rPr>
                  <w:t xml:space="preserve">sudaromos sąlygos formuotis </w:t>
                </w:r>
                <w:r>
                  <w:rPr>
                    <w:lang w:val="en-GB"/>
                  </w:rPr>
                  <w:t>jauno žmogaus asmenybei</w:t>
                </w:r>
                <w:r>
                  <w:rPr>
                    <w:szCs w:val="24"/>
                    <w:lang w:val="en-US"/>
                  </w:rPr>
                  <w:t xml:space="preserve">, </w:t>
                </w:r>
                <w:r>
                  <w:rPr>
                    <w:lang w:val="en-GB"/>
                  </w:rPr>
                  <w:t>jo sėkmingam integravimuisi į visuomenės gyvenimą ir šiuolaikinę socialinę ekonominę aplinką. Vienas iš programos tikslų – sudaryti sąlygas jauniems žmonėms dalyvauti savanoriškoje veikloje ir įgyti asmeninių, socialinių, profesinių kompetencijų ir darbo patirties, taip padedant jiems pasirinkti profesiją, reintegruotis į formaliojo švietimo sistemą ir (arba) pasirengti įsilieti į darbo rinką.</w:t>
                </w:r>
              </w:p>
              <w:p>
                <w:pPr>
                  <w:jc w:val="both"/>
                  <w:rPr>
                    <w:szCs w:val="24"/>
                  </w:rPr>
                </w:pPr>
                <w:r>
                  <w:rPr>
                    <w:szCs w:val="24"/>
                  </w:rPr>
                  <w:t>Tikslui įgyvendinti vykdomas uždavinys:</w:t>
                </w:r>
              </w:p>
              <w:p>
                <w:pPr>
                  <w:jc w:val="both"/>
                  <w:rPr>
                    <w:b/>
                    <w:szCs w:val="24"/>
                  </w:rPr>
                </w:pPr>
                <w:r>
                  <w:rPr>
                    <w:b/>
                    <w:szCs w:val="24"/>
                  </w:rPr>
                  <w:t>01 uždavinys.</w:t>
                </w:r>
                <w:r>
                  <w:rPr>
                    <w:szCs w:val="24"/>
                  </w:rPr>
                  <w:t xml:space="preserve"> </w:t>
                </w:r>
                <w:r>
                  <w:rPr>
                    <w:b/>
                    <w:szCs w:val="24"/>
                  </w:rPr>
                  <w:t>Skatinti jaunimo dalyvavimą vietinės bendruomenės gyvenime ir gerinti vietinio jaunimo veiklos kokybę.</w:t>
                </w:r>
              </w:p>
              <w:p>
                <w:pPr>
                  <w:jc w:val="both"/>
                  <w:rPr>
                    <w:lang w:val="en-GB"/>
                  </w:rPr>
                </w:pPr>
                <w:r>
                  <w:rPr>
                    <w:i/>
                  </w:rPr>
                  <w:t>Jaunimo projektų finansavimas.</w:t>
                </w:r>
                <w:r>
                  <w:t xml:space="preserve"> Siekiant įgyvendinti šį uždavinį skelbiami projektų atrankos konkursai</w:t>
                </w:r>
                <w:r>
                  <w:rPr>
                    <w:szCs w:val="24"/>
                  </w:rPr>
                  <w:t xml:space="preserve"> skatinantys jaunų žmonių aktyvų dalyvavimą vietinės bendruomenės gyvenime, remiant iniciatyvas, gerinančias jaunimo veiklos kokybę ir padedančias jaunimui integruotis į politinį, ekonominį ir kultūrinį gyvenimą, stiprinantys jaunimo ir su jaunimu dirbančias organizacijas, sprendžiant jaunimo problemas.</w:t>
                </w:r>
                <w:r>
                  <w:t xml:space="preserve"> </w:t>
                </w:r>
                <w:r>
                  <w:rPr>
                    <w:szCs w:val="24"/>
                  </w:rPr>
                  <w:t>Remiami projektai, kuriuos įgyvendinant yra ruošiami jaunimo lyderiai, numatant jiems galimybes praktinių gebėjimų taikymui bei skatinantys keitimąsi gerąja jaunimo veiklos patirtimi, skatinantys vienoje teritorijoje veikiančių jaunimo organizacijų, jaunimo iniciatyvų veiklos koordinavimą, jaunimo organizacijų steigimąsi, informacinę sklaidą ir bendradarbiavimą su kitomis institucijomis.</w:t>
                </w:r>
                <w:r>
                  <w:t xml:space="preserve"> </w:t>
                </w:r>
                <w:r>
                  <w:rPr>
                    <w:lang w:val="en-GB"/>
                  </w:rPr>
                  <w:t>Per projektus jaunimo organizacijų veikloje dalyvaujantys jaunuoliai gali realizuoti savo gebėjimus ir idėjas. Bus finansuojami konkurso būdu atrinkti jaunimo projektai, kurie atitiks paraiškų pateikimo atitikties ir turinio reikalavimus.</w:t>
                </w:r>
              </w:p>
              <w:p>
                <w:pPr>
                  <w:jc w:val="both"/>
                  <w:rPr>
                    <w:lang w:val="en-GB"/>
                  </w:rPr>
                </w:pPr>
                <w:r>
                  <w:rPr>
                    <w:i/>
                    <w:lang w:val="en-GB"/>
                  </w:rPr>
                  <w:t xml:space="preserve">Jaunimo savanoriškos veiklos įgyvendinimas. </w:t>
                </w:r>
                <w:r>
                  <w:rPr>
                    <w:lang w:val="en-GB"/>
                  </w:rPr>
                  <w:t>Jaunimo savanoriška veikla padeda jauniems žmonėms įgyti asmeninių, socialinių, profesinių kompetencijų, patirties, pasirinkti profesiją ir taip lengviau pasirengti įsilieti į darbo rinką. Jaunų žmonių įtraukimas į savanorišką veiklą sudaro sąlygas ne tik skatinti jų pilietiškumą bei didinti visuomeninį aktyvumą, bet ir įgyti darbinių įgūdžių.</w:t>
                </w:r>
              </w:p>
              <w:p>
                <w:pPr>
                  <w:jc w:val="both"/>
                  <w:rPr>
                    <w:szCs w:val="24"/>
                    <w:lang w:val="en-US"/>
                  </w:rPr>
                </w:pPr>
                <w:r>
                  <w:rPr>
                    <w:i/>
                    <w:szCs w:val="24"/>
                    <w:lang w:val="en-GB"/>
                  </w:rPr>
                  <w:t>U</w:t>
                </w:r>
                <w:r>
                  <w:rPr>
                    <w:rFonts w:eastAsia="SimSun"/>
                    <w:i/>
                    <w:szCs w:val="24"/>
                    <w:lang w:val="en-GB"/>
                  </w:rPr>
                  <w:t xml:space="preserve">žtikrinti formalaus ir neformalaus ugdymo įstaigų paslaugų kokybę, prieinamumą,  paslaugų įvairovę</w:t>
                </w:r>
                <w:r>
                  <w:rPr>
                    <w:rFonts w:eastAsia="SimSun"/>
                    <w:szCs w:val="24"/>
                    <w:lang w:val="en-GB"/>
                  </w:rPr>
                  <w:t>, pritaikant rajono infrastruktūrą jaunimo, jaunų šeimų poreikiams, didinant švietimo, kultūros, socialinių ir kitų įstaigų galimybes teikti kokybiškas, jaunimo poreikius atitinkančias, paslaugas, remiant</w:t>
                </w:r>
                <w:r>
                  <w:rPr>
                    <w:szCs w:val="24"/>
                    <w:lang w:val="en-GB"/>
                  </w:rPr>
                  <w:t xml:space="preserve"> jaunimo ir su jaunimu dirbančias NVO, skatinant vietos bendruomenių ir savivaldybės bendradarbiavimą kuriant jaunimo užimtumo formas, plėtojant darbą su socialiai atskirtu, pažeidžiamu, problemas patiriančiu jaunimu.</w:t>
                </w:r>
                <w:r>
                  <w:rPr>
                    <w:szCs w:val="24"/>
                    <w:lang w:val="en-US"/>
                  </w:rPr>
                  <w:t xml:space="preserve"> </w:t>
                </w:r>
              </w:p>
              <w:p>
                <w:pPr>
                  <w:widowControl w:val="0"/>
                  <w:suppressAutoHyphens/>
                  <w:snapToGrid w:val="0"/>
                  <w:jc w:val="both"/>
                  <w:rPr>
                    <w:rFonts w:eastAsia="Lucida Sans Unicode"/>
                    <w:iCs/>
                    <w:szCs w:val="24"/>
                    <w:lang w:val="en-GB"/>
                  </w:rPr>
                </w:pPr>
                <w:r>
                  <w:rPr>
                    <w:rFonts w:eastAsia="Lucida Sans Unicode"/>
                    <w:iCs/>
                    <w:szCs w:val="24"/>
                  </w:rPr>
                  <w:t>Remiami jaunimo projektai</w:t>
                </w:r>
                <w:r>
                  <w:rPr>
                    <w:rFonts w:eastAsia="Lucida Sans Unicode"/>
                    <w:iCs/>
                    <w:szCs w:val="24"/>
                    <w:lang w:val="en-GB"/>
                  </w:rPr>
                  <w:t>.</w:t>
                </w:r>
              </w:p>
              <w:p>
                <w:pPr>
                  <w:widowControl w:val="0"/>
                  <w:suppressAutoHyphens/>
                  <w:snapToGrid w:val="0"/>
                  <w:jc w:val="both"/>
                  <w:rPr>
                    <w:rFonts w:eastAsia="Lucida Sans Unicode"/>
                    <w:szCs w:val="24"/>
                  </w:rPr>
                </w:pPr>
                <w:r>
                  <w:rPr>
                    <w:rFonts w:eastAsia="Lucida Sans Unicode"/>
                    <w:i/>
                    <w:iCs/>
                    <w:szCs w:val="24"/>
                    <w:u w:val="single"/>
                  </w:rPr>
                  <w:t>Rezultato vertinimo kriterijai</w:t>
                </w:r>
                <w:r>
                  <w:rPr>
                    <w:rFonts w:eastAsia="Lucida Sans Unicode"/>
                    <w:szCs w:val="24"/>
                  </w:rPr>
                  <w:t>:</w:t>
                </w:r>
              </w:p>
              <w:p>
                <w:pPr>
                  <w:jc w:val="both"/>
                  <w:rPr>
                    <w:b/>
                    <w:strike/>
                    <w:szCs w:val="24"/>
                  </w:rPr>
                </w:pPr>
                <w:r>
                  <w:t xml:space="preserve">Finansuotų jaunimo veiklos skatinimo projektų skaičius, vnt. – 10,  jaunų žmonių, atlikusių savanorišką veiklą, skaičius vnt. – 2.</w:t>
                </w:r>
              </w:p>
            </w:tc>
          </w:tr>
        </w:tbl>
        <w:p>
          <w:pPr>
            <w:ind w:firstLine="720"/>
            <w:jc w:val="both"/>
            <w:rPr>
              <w:szCs w:val="24"/>
            </w:rPr>
          </w:pPr>
        </w:p>
      </w:sdtContent>
    </w:sdt>
    <w:sdt>
      <w:sdtPr>
        <w:alias w:val="lentele"/>
        <w:tag w:val="part_c9da470a652147278f5c2c30e3836396"/>
        <w:lock w:val="sdtLocked"/>
        <w:richText/>
      </w:sdtPr>
      <w:sdtContent>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81"/>
          </w:tblGrid>
          <w:tr>
            <w:tc>
              <w:tcPr>
                <w:tcW w:w="9781" w:type="dxa"/>
              </w:tcPr>
              <w:p>
                <w:pPr>
                  <w:jc w:val="both"/>
                  <w:rPr>
                    <w:b/>
                    <w:szCs w:val="24"/>
                    <w:lang w:val="en-GB"/>
                  </w:rPr>
                </w:pPr>
                <w:r>
                  <w:rPr>
                    <w:b/>
                    <w:szCs w:val="24"/>
                    <w:lang w:val="en-GB"/>
                  </w:rPr>
                  <w:t>Numatomas programos įgyvendinimo rezultatas:</w:t>
                </w:r>
              </w:p>
              <w:p>
                <w:pPr>
                  <w:jc w:val="both"/>
                  <w:rPr>
                    <w:szCs w:val="24"/>
                    <w:lang w:val="en-GB"/>
                  </w:rPr>
                </w:pPr>
                <w:r>
                  <w:rPr>
                    <w:szCs w:val="24"/>
                    <w:lang w:val="en-GB"/>
                  </w:rPr>
                  <w:t xml:space="preserve">Vykdant šią programą atstovaujami jaunuolio interesai.  Užtikrinus sąlygas jaunimo saviraiškai ir kūrybiškumui, padidės jaunimo, dalyvaujančio jaunimo ir su jaunimo dirbančių organizacijų veikloje, skaičius, pagerės veikla ir dalyvavimas Alytaus rajono visuomenės gyvenime. D</w:t>
                </w:r>
                <w:r>
                  <w:rPr>
                    <w:bCs/>
                    <w:szCs w:val="24"/>
                    <w:lang w:val="en-GB"/>
                  </w:rPr>
                  <w:t xml:space="preserve">alyvaujama informaciniuose seminaruose ir darbo grupėse, kuriuose diskutuojami ir svarstomi jaunimo politikos klausimai, analizuojama jaunimo politikos situacija vietos lygmeniu, numatomas veiklos planas. </w:t>
                </w:r>
                <w:r>
                  <w:rPr>
                    <w:szCs w:val="24"/>
                    <w:lang w:val="en-GB"/>
                  </w:rPr>
                  <w:t>Jaunimo renginiai yra skirti skatinti jaunuolių įtrauktį dalyvauti pilietiškumą, bendruomeniškumą ugdančiose veiklose, dalytis sėkmės pavyzdžiais.</w:t>
                </w:r>
              </w:p>
              <w:p>
                <w:pPr>
                  <w:jc w:val="both"/>
                  <w:rPr>
                    <w:szCs w:val="24"/>
                    <w:lang w:val="en-GB"/>
                  </w:rPr>
                </w:pPr>
                <w:r>
                  <w:rPr>
                    <w:lang w:val="en-GB" w:eastAsia="lt-LT"/>
                  </w:rPr>
                  <w:t>išaugs rajono jaunimo galimybės naudotis šalies ir užsienio informacijos bei kultūriniais ištekliais, jaunimas įgis ir tobulins gebėjimus jais naudotis, o tai sudarys palankias sąlygas žinių ir kultūrinės visuomenės formavimui ir plėtrai, žmogiškųjų išteklių raidai.</w:t>
                </w:r>
                <w:r>
                  <w:rPr>
                    <w:bCs/>
                    <w:lang w:val="en-GB"/>
                  </w:rPr>
                  <w:t xml:space="preserve"> </w:t>
                </w:r>
                <w:r>
                  <w:rPr>
                    <w:lang w:val="en-GB"/>
                  </w:rPr>
                  <w:t>Vyksta turiningas viešasis, kultūrinis gyvenimas, teikiamos kokybiškos kultūrinės paslaugos, kuriomis naudojasi ne tik rajono bendruomenių nariai, bet ir svečiai. Rajone sudaromos sąlygos veikliai visuomenei kurti, gyventi, turiningai praleisti laisvalaikį.</w:t>
                </w:r>
              </w:p>
            </w:tc>
          </w:tr>
          <w:tr>
            <w:tblPrEx>
              <w:tblLook w:val="00A0" w:firstRow="1" w:lastRow="0" w:firstColumn="1" w:lastColumn="0" w:noHBand="0" w:noVBand="0"/>
            </w:tblPrEx>
            <w:tc>
              <w:tcPr>
                <w:tcW w:w="9781" w:type="dxa"/>
              </w:tcPr>
              <w:p>
                <w:pPr>
                  <w:jc w:val="both"/>
                  <w:rPr>
                    <w:b/>
                    <w:bCs/>
                    <w:szCs w:val="24"/>
                    <w:lang w:val="en-US"/>
                  </w:rPr>
                </w:pPr>
                <w:r>
                  <w:rPr>
                    <w:b/>
                    <w:bCs/>
                    <w:szCs w:val="24"/>
                    <w:lang w:val="en-US"/>
                  </w:rPr>
                  <w:t xml:space="preserve">Galimi programos vykdymo ir finansavimo variantai: </w:t>
                </w:r>
                <w:r>
                  <w:rPr>
                    <w:szCs w:val="24"/>
                    <w:lang w:val="en-US"/>
                  </w:rPr>
                  <w:t>Savivaldybės biudžeto lėšos, dotacijų iš valstybės ir kitų valstybės valdymo lygių lėšos, kitų šaltinių lėšos, Europos Sąjungos ir kitų užsienio fondų paramos lėšos.</w:t>
                </w:r>
              </w:p>
            </w:tc>
          </w:tr>
          <w:tr>
            <w:tblPrEx>
              <w:tblLook w:val="00A0" w:firstRow="1" w:lastRow="0" w:firstColumn="1" w:lastColumn="0" w:noHBand="0" w:noVBand="0"/>
            </w:tblPrEx>
            <w:tc>
              <w:tcPr>
                <w:tcW w:w="9781" w:type="dxa"/>
              </w:tcPr>
              <w:p>
                <w:pPr>
                  <w:jc w:val="both"/>
                  <w:rPr>
                    <w:i/>
                    <w:szCs w:val="24"/>
                    <w:lang w:val="en-GB"/>
                  </w:rPr>
                </w:pPr>
                <w:r>
                  <w:rPr>
                    <w:b/>
                    <w:szCs w:val="24"/>
                    <w:lang w:val="en-GB"/>
                  </w:rPr>
                  <w:t>Veiksmai, numatyti Alytaus rajono savivaldybės strateginiame plėtros plane, kurie susiję su vykdoma programa:</w:t>
                </w:r>
                <w:r>
                  <w:rPr>
                    <w:i/>
                    <w:szCs w:val="24"/>
                    <w:lang w:val="en-GB"/>
                  </w:rPr>
                  <w:t xml:space="preserve"> </w:t>
                </w:r>
              </w:p>
              <w:p>
                <w:pPr>
                  <w:jc w:val="both"/>
                  <w:rPr>
                    <w:szCs w:val="24"/>
                    <w:lang w:val="en-GB"/>
                  </w:rPr>
                </w:pPr>
                <w:r>
                  <w:rPr>
                    <w:szCs w:val="24"/>
                    <w:lang w:val="en-GB"/>
                  </w:rPr>
                  <w:t xml:space="preserve">I prioriteto „Tvari, darni, inovatyvi ekonomikos plėtra ir išvystyta infrastruktūra“ 1.1. tikslo „Plėtoti tvarų žemės ir miškų ūkį, vystyti konkurencingą tvarų verslą“ uždavinys 1.1.4. uždavinio „Skatinti gyventojų ir bendruomenių verslumą, kaimo vietovių gyvybingumą“ 1.1.4.3. priemonė „Skatinti jaunimo verslumą, jaunųjų ūkininkų kūrimąsi ir investicijas“; </w:t>
                </w:r>
              </w:p>
              <w:p>
                <w:pPr>
                  <w:jc w:val="both"/>
                  <w:rPr>
                    <w:b/>
                    <w:szCs w:val="24"/>
                    <w:lang w:val="en-GB"/>
                  </w:rPr>
                </w:pPr>
                <w:r>
                  <w:rPr>
                    <w:szCs w:val="24"/>
                    <w:lang w:val="en-GB"/>
                  </w:rPr>
                  <w:t>II prioriteto „Sumanios, veiklios, susitelkusios bendruomenės, pažangi, socialiai atsakinga savivalda“ 2.1 tikslo „Įgalinti bendruomenes, skatinti gyventojų aktyvumą, puoselėti kultūros paveldą ir gerąsias krašto tradicijas“2.1.2 uždavinio „Skatinti gyventojų bendruomeniškumą ir aktyvumą, mažinti skaitmeninę atskirtį“ 2.1.2.3. priemonė „Ugdyti vaikų ir jaunimo kūrybiškumą, verslumą, finansinį ir skaitmeninį raštingumą, skatinti bendruomenines ir pilietines vertybes“, 2.1.2.4. priemonė „Skatinti savanorystę, jaunimo laisvalaikio užimtumą ir iniciatyvas, tobulinti ir plėtoti jaunimui skirtas paslaugas“ 2.1.2.9. priemonė „Koordinuoti ir įgalinti bendruomenines organizacijas, NVO ir jaunimo NVO, skatinti neformalių jaunimo grupių, su jaunimu dirbančių organizacijų bendradarbiavimą, veiklos projektus, iniciatyvas ir inovacijas“.</w:t>
                </w:r>
              </w:p>
            </w:tc>
          </w:tr>
          <w:tr>
            <w:tblPrEx>
              <w:tblLook w:val="00A0" w:firstRow="1" w:lastRow="0" w:firstColumn="1" w:lastColumn="0" w:noHBand="0" w:noVBand="0"/>
            </w:tblPrEx>
            <w:tc>
              <w:tcPr>
                <w:tcW w:w="9781" w:type="dxa"/>
              </w:tcPr>
              <w:p>
                <w:pPr>
                  <w:jc w:val="both"/>
                  <w:rPr>
                    <w:b/>
                    <w:szCs w:val="24"/>
                    <w:lang w:val="en-GB"/>
                  </w:rPr>
                </w:pPr>
                <w:r>
                  <w:rPr>
                    <w:b/>
                    <w:szCs w:val="24"/>
                    <w:lang w:val="en-GB"/>
                  </w:rPr>
                  <w:t xml:space="preserve">Susiję įstatymai ir kiti svarbūs teisės aktai: </w:t>
                </w:r>
              </w:p>
              <w:p>
                <w:pPr>
                  <w:jc w:val="both"/>
                  <w:rPr>
                    <w:szCs w:val="24"/>
                    <w:lang w:val="en-GB"/>
                  </w:rPr>
                </w:pPr>
                <w:r>
                  <w:rPr>
                    <w:rFonts w:eastAsia="Calibri"/>
                    <w:szCs w:val="24"/>
                    <w:lang w:val="en-GB"/>
                  </w:rPr>
                  <w:t>Lietuvos Respublikos Konstitucija</w:t>
                </w:r>
                <w:r>
                  <w:rPr>
                    <w:szCs w:val="24"/>
                    <w:lang w:val="en-GB"/>
                  </w:rPr>
                  <w:t>;</w:t>
                </w:r>
              </w:p>
              <w:p>
                <w:pPr>
                  <w:jc w:val="both"/>
                  <w:rPr>
                    <w:szCs w:val="24"/>
                    <w:lang w:val="en-GB"/>
                  </w:rPr>
                </w:pPr>
                <w:r>
                  <w:rPr>
                    <w:szCs w:val="24"/>
                    <w:lang w:val="en-GB"/>
                  </w:rPr>
                  <w:t>Lietuvos Respublikos civilinis kodeksas;</w:t>
                </w:r>
              </w:p>
              <w:p>
                <w:pPr>
                  <w:jc w:val="both"/>
                  <w:rPr>
                    <w:szCs w:val="24"/>
                    <w:lang w:val="en-GB"/>
                  </w:rPr>
                </w:pPr>
                <w:r>
                  <w:rPr>
                    <w:szCs w:val="24"/>
                    <w:lang w:val="en-GB"/>
                  </w:rPr>
                  <w:t>Lietuvos Respublikos vietos savivaldos įstatymas;</w:t>
                </w:r>
              </w:p>
              <w:p>
                <w:pPr>
                  <w:jc w:val="both"/>
                  <w:rPr>
                    <w:szCs w:val="24"/>
                    <w:lang w:val="en-GB"/>
                  </w:rPr>
                </w:pPr>
                <w:r>
                  <w:rPr>
                    <w:szCs w:val="24"/>
                    <w:lang w:val="en-GB"/>
                  </w:rPr>
                  <w:t>Lietuvos Respublikos visuomenės informavimo įstatymas;</w:t>
                </w:r>
              </w:p>
              <w:p>
                <w:pPr>
                  <w:jc w:val="both"/>
                  <w:rPr>
                    <w:szCs w:val="24"/>
                    <w:lang w:val="en-GB"/>
                  </w:rPr>
                </w:pPr>
                <w:r>
                  <w:rPr>
                    <w:szCs w:val="24"/>
                    <w:lang w:val="en-GB"/>
                  </w:rPr>
                  <w:t>Lietuvos Respublikos viešųjų įstaigų įstatymas;</w:t>
                </w:r>
              </w:p>
              <w:p>
                <w:pPr>
                  <w:jc w:val="both"/>
                  <w:rPr>
                    <w:szCs w:val="24"/>
                    <w:lang w:val="en-GB"/>
                  </w:rPr>
                </w:pPr>
                <w:r>
                  <w:rPr>
                    <w:szCs w:val="24"/>
                    <w:lang w:val="en-GB"/>
                  </w:rPr>
                  <w:t>Lietuvos Respublikos biudžetinių įstaigų įstatymas;</w:t>
                </w:r>
              </w:p>
              <w:p>
                <w:pPr>
                  <w:jc w:val="both"/>
                  <w:rPr>
                    <w:szCs w:val="24"/>
                    <w:lang w:val="en-GB"/>
                  </w:rPr>
                </w:pPr>
                <w:r>
                  <w:rPr>
                    <w:szCs w:val="24"/>
                    <w:lang w:val="en-GB"/>
                  </w:rPr>
                  <w:t>Lietuvos Respublikos jaunimo politikos pagrindų įstatymas;</w:t>
                </w:r>
              </w:p>
              <w:p>
                <w:pPr>
                  <w:jc w:val="both"/>
                  <w:rPr>
                    <w:szCs w:val="24"/>
                    <w:lang w:val="en-GB"/>
                  </w:rPr>
                </w:pPr>
                <w:r>
                  <w:rPr>
                    <w:szCs w:val="24"/>
                    <w:lang w:val="en-GB"/>
                  </w:rPr>
                  <w:t>Lietuvos Respublikos moterų ir vyrų lygių galimybių įstatymas;</w:t>
                </w:r>
              </w:p>
              <w:p>
                <w:pPr>
                  <w:jc w:val="both"/>
                  <w:rPr>
                    <w:szCs w:val="24"/>
                    <w:lang w:val="en-GB"/>
                  </w:rPr>
                </w:pPr>
                <w:r>
                  <w:rPr>
                    <w:szCs w:val="24"/>
                    <w:lang w:val="en-GB"/>
                  </w:rPr>
                  <w:t>Lietuvos Respublikos lygių galimybių įstatymas,</w:t>
                </w:r>
              </w:p>
              <w:p>
                <w:pPr>
                  <w:jc w:val="both"/>
                  <w:rPr>
                    <w:szCs w:val="24"/>
                    <w:lang w:val="en-GB"/>
                  </w:rPr>
                </w:pPr>
                <w:r>
                  <w:rPr>
                    <w:szCs w:val="24"/>
                    <w:lang w:val="en-GB"/>
                  </w:rPr>
                  <w:t xml:space="preserve">Lietuvos Respublikos Seimo 2012 m. gegužės 15 d. nutarimas Nr. XI-2015 „Dėl Valstybės pažangos strategijos „Lietuvos pažangos strategija  „Lietuva 2030“ patvirtinimo.</w:t>
                </w:r>
              </w:p>
            </w:tc>
          </w:tr>
          <w:tr>
            <w:tblPrEx>
              <w:tblLook w:val="00A0" w:firstRow="1" w:lastRow="0" w:firstColumn="1" w:lastColumn="0" w:noHBand="0" w:noVBand="0"/>
            </w:tblPrEx>
            <w:tc>
              <w:tcPr>
                <w:tcW w:w="9781" w:type="dxa"/>
              </w:tcPr>
              <w:p>
                <w:pPr>
                  <w:rPr>
                    <w:b/>
                    <w:szCs w:val="24"/>
                    <w:lang w:val="en-GB"/>
                  </w:rPr>
                </w:pPr>
                <w:r>
                  <w:rPr>
                    <w:b/>
                    <w:szCs w:val="24"/>
                    <w:lang w:val="en-GB"/>
                  </w:rPr>
                  <w:t>Kita svarbi informacija:</w:t>
                </w:r>
              </w:p>
            </w:tc>
          </w:tr>
        </w:tbl>
        <w:p>
          <w:pPr>
            <w:jc w:val="center"/>
            <w:rPr>
              <w:szCs w:val="24"/>
            </w:rPr>
          </w:pPr>
        </w:p>
      </w:sdtContent>
    </w:sdt>
    <w:sectPr>
      <w:headerReference w:type="even" r:id="rId7"/>
      <w:headerReference w:type="default" r:id="rId8"/>
      <w:footerReference w:type="even" r:id="rId9"/>
      <w:footerReference w:type="default" r:id="rId10"/>
      <w:headerReference w:type="first" r:id="rId11"/>
      <w:footerReference w:type="first" r:id="rId12"/>
      <w:pgSz w:w="11907" w:h="16839" w:code="9"/>
      <w:pgMar w:top="1134" w:right="567" w:bottom="1134" w:left="1701" w:header="0" w:footer="403" w:gutter="0"/>
      <w:cols w:space="708"/>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GB"/>
        </w:rPr>
      </w:pPr>
      <w:r>
        <w:rPr>
          <w:rFonts w:ascii="TimesLT" w:hAnsi="TimesLT"/>
          <w:lang w:val="en-GB"/>
        </w:rPr>
        <w:separator/>
      </w:r>
    </w:p>
  </w:endnote>
  <w:endnote w:type="continuationSeparator" w:id="0">
    <w:p>
      <w:pPr>
        <w:rPr>
          <w:rFonts w:ascii="TimesLT" w:hAnsi="TimesLT"/>
          <w:lang w:val="en-GB"/>
        </w:rPr>
      </w:pPr>
      <w:r>
        <w:rPr>
          <w:rFonts w:ascii="TimesLT" w:hAnsi="TimesLT"/>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00"/>
    <w:family w:val="auto"/>
    <w:pitch w:val="variable"/>
    <w:sig w:usb0="00000007" w:usb1="00000000" w:usb2="00000000" w:usb3="00000000" w:csb0="00000081" w:csb1="00000000"/>
  </w:font>
  <w:font w:name="SimSun">
    <w:altName w:val="宋体"/>
    <w:panose1 w:val="02010600030101010101"/>
    <w:charset w:val="86"/>
    <w:family w:val="auto"/>
    <w:pitch w:val="variable"/>
    <w:sig w:usb0="00000003" w:usb1="288F0000" w:usb2="00000016" w:usb3="00000000" w:csb0="00040001"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rFonts w:ascii="TimesLT" w:hAnsi="TimesLT"/>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rFonts w:ascii="TimesLT" w:hAnsi="TimesLT"/>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jc w:val="right"/>
      <w:rPr>
        <w:rFonts w:ascii="TimesLT" w:hAnsi="TimesLT"/>
        <w:sz w:val="20"/>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GB"/>
        </w:rPr>
      </w:pPr>
      <w:r>
        <w:rPr>
          <w:rFonts w:ascii="TimesLT" w:hAnsi="TimesLT"/>
          <w:lang w:val="en-GB"/>
        </w:rPr>
        <w:separator/>
      </w:r>
    </w:p>
  </w:footnote>
  <w:footnote w:type="continuationSeparator" w:id="0">
    <w:p>
      <w:pPr>
        <w:rPr>
          <w:rFonts w:ascii="TimesLT" w:hAnsi="TimesLT"/>
          <w:lang w:val="en-GB"/>
        </w:rPr>
      </w:pPr>
      <w:r>
        <w:rPr>
          <w:rFonts w:ascii="TimesLT" w:hAnsi="TimesLT"/>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pacing w:before="120" w:after="120"/>
      <w:rPr>
        <w:rFonts w:ascii="TimesLT" w:hAnsi="TimesLT"/>
        <w:b/>
        <w:lang w:val="en-GB"/>
      </w:rPr>
    </w:pPr>
    <w:r>
      <w:rPr>
        <w:rFonts w:ascii="TimesLT" w:hAnsi="TimesLT"/>
        <w:b/>
        <w:lang w:val="en-GB"/>
      </w:rPr>
      <w:fldChar w:fldCharType="begin"/>
    </w:r>
    <w:r>
      <w:rPr>
        <w:rFonts w:ascii="TimesLT" w:hAnsi="TimesLT"/>
        <w:b/>
        <w:lang w:val="en-GB"/>
      </w:rPr>
      <w:instrText xml:space="preserve">PAGE  </w:instrText>
    </w:r>
    <w:r>
      <w:rPr>
        <w:rFonts w:ascii="TimesLT" w:hAnsi="TimesLT"/>
        <w:b/>
        <w:lang w:val="en-GB"/>
      </w:rPr>
      <w:fldChar w:fldCharType="separate"/>
    </w:r>
    <w:r>
      <w:rPr>
        <w:rFonts w:ascii="TimesLT" w:hAnsi="TimesLT"/>
        <w:b/>
        <w:lang w:val="en-GB"/>
      </w:rPr>
      <w:t>1</w:t>
    </w:r>
    <w:r>
      <w:rPr>
        <w:rFonts w:ascii="TimesLT" w:hAnsi="TimesLT"/>
        <w:b/>
        <w:lang w:val="en-GB"/>
      </w:rPr>
      <w:fldChar w:fldCharType="end"/>
    </w:r>
  </w:p>
  <w:p>
    <w:pPr>
      <w:spacing w:before="120" w:after="120"/>
      <w:ind w:right="360"/>
      <w:rPr>
        <w:rFonts w:ascii="TimesLT" w:hAnsi="TimesLT"/>
        <w:b/>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rFonts w:ascii="TimesLT" w:hAnsi="TimesLT"/>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rFonts w:ascii="TimesLT" w:hAnsi="TimesLT"/>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intFractionalCharacterWidth/>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rawingGridHorizontalSpacing w:val="120"/>
  <w:displayHorizontalDrawingGridEvery w:val="0"/>
  <w:displayVerticalDrawingGridEvery w:val="0"/>
  <w:doNotShadeFormData/>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69A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chartTrackingRefBased/>
  <w15:docId w15:val="{DD661975-4FBC-4E28-8396-4585FADCE02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4363722">
      <w:bodyDiv w:val="1"/>
      <w:marLeft w:val="0"/>
      <w:marRight w:val="0"/>
      <w:marTop w:val="0"/>
      <w:marBottom w:val="0"/>
      <w:divBdr>
        <w:top w:val="none" w:sz="0" w:space="0" w:color="auto"/>
        <w:left w:val="none" w:sz="0" w:space="0" w:color="auto"/>
        <w:bottom w:val="none" w:sz="0" w:space="0" w:color="auto"/>
        <w:right w:val="none" w:sz="0" w:space="0" w:color="auto"/>
      </w:divBdr>
    </w:div>
    <w:div w:id="1204715476">
      <w:bodyDiv w:val="1"/>
      <w:marLeft w:val="0"/>
      <w:marRight w:val="0"/>
      <w:marTop w:val="0"/>
      <w:marBottom w:val="0"/>
      <w:divBdr>
        <w:top w:val="none" w:sz="0" w:space="0" w:color="auto"/>
        <w:left w:val="none" w:sz="0" w:space="0" w:color="auto"/>
        <w:bottom w:val="none" w:sz="0" w:space="0" w:color="auto"/>
        <w:right w:val="none" w:sz="0" w:space="0" w:color="auto"/>
      </w:divBdr>
      <w:divsChild>
        <w:div w:id="628630416">
          <w:marLeft w:val="0"/>
          <w:marRight w:val="0"/>
          <w:marTop w:val="0"/>
          <w:marBottom w:val="0"/>
          <w:divBdr>
            <w:top w:val="none" w:sz="0" w:space="0" w:color="auto"/>
            <w:left w:val="none" w:sz="0" w:space="0" w:color="auto"/>
            <w:bottom w:val="none" w:sz="0" w:space="0" w:color="auto"/>
            <w:right w:val="none" w:sz="0" w:space="0" w:color="auto"/>
          </w:divBdr>
        </w:div>
      </w:divsChild>
    </w:div>
    <w:div w:id="1255286030">
      <w:marLeft w:val="0"/>
      <w:marRight w:val="0"/>
      <w:marTop w:val="0"/>
      <w:marBottom w:val="0"/>
      <w:divBdr>
        <w:top w:val="none" w:sz="0" w:space="0" w:color="auto"/>
        <w:left w:val="none" w:sz="0" w:space="0" w:color="auto"/>
        <w:bottom w:val="none" w:sz="0" w:space="0" w:color="auto"/>
        <w:right w:val="none" w:sz="0" w:space="0" w:color="auto"/>
      </w:divBdr>
    </w:div>
    <w:div w:id="1255286031">
      <w:marLeft w:val="0"/>
      <w:marRight w:val="0"/>
      <w:marTop w:val="0"/>
      <w:marBottom w:val="0"/>
      <w:divBdr>
        <w:top w:val="none" w:sz="0" w:space="0" w:color="auto"/>
        <w:left w:val="none" w:sz="0" w:space="0" w:color="auto"/>
        <w:bottom w:val="none" w:sz="0" w:space="0" w:color="auto"/>
        <w:right w:val="none" w:sz="0" w:space="0" w:color="auto"/>
      </w:divBdr>
    </w:div>
    <w:div w:id="1255286032">
      <w:marLeft w:val="0"/>
      <w:marRight w:val="0"/>
      <w:marTop w:val="0"/>
      <w:marBottom w:val="0"/>
      <w:divBdr>
        <w:top w:val="none" w:sz="0" w:space="0" w:color="auto"/>
        <w:left w:val="none" w:sz="0" w:space="0" w:color="auto"/>
        <w:bottom w:val="none" w:sz="0" w:space="0" w:color="auto"/>
        <w:right w:val="none" w:sz="0" w:space="0" w:color="auto"/>
      </w:divBdr>
    </w:div>
    <w:div w:id="1255286033">
      <w:marLeft w:val="0"/>
      <w:marRight w:val="0"/>
      <w:marTop w:val="0"/>
      <w:marBottom w:val="0"/>
      <w:divBdr>
        <w:top w:val="none" w:sz="0" w:space="0" w:color="auto"/>
        <w:left w:val="none" w:sz="0" w:space="0" w:color="auto"/>
        <w:bottom w:val="none" w:sz="0" w:space="0" w:color="auto"/>
        <w:right w:val="none" w:sz="0" w:space="0" w:color="auto"/>
      </w:divBdr>
    </w:div>
    <w:div w:id="1255286034">
      <w:marLeft w:val="0"/>
      <w:marRight w:val="0"/>
      <w:marTop w:val="0"/>
      <w:marBottom w:val="0"/>
      <w:divBdr>
        <w:top w:val="none" w:sz="0" w:space="0" w:color="auto"/>
        <w:left w:val="none" w:sz="0" w:space="0" w:color="auto"/>
        <w:bottom w:val="none" w:sz="0" w:space="0" w:color="auto"/>
        <w:right w:val="none" w:sz="0" w:space="0" w:color="auto"/>
      </w:divBdr>
    </w:div>
    <w:div w:id="1255286035">
      <w:marLeft w:val="0"/>
      <w:marRight w:val="0"/>
      <w:marTop w:val="0"/>
      <w:marBottom w:val="0"/>
      <w:divBdr>
        <w:top w:val="none" w:sz="0" w:space="0" w:color="auto"/>
        <w:left w:val="none" w:sz="0" w:space="0" w:color="auto"/>
        <w:bottom w:val="none" w:sz="0" w:space="0" w:color="auto"/>
        <w:right w:val="none" w:sz="0" w:space="0" w:color="auto"/>
      </w:divBdr>
    </w:div>
    <w:div w:id="1255286036">
      <w:marLeft w:val="0"/>
      <w:marRight w:val="0"/>
      <w:marTop w:val="0"/>
      <w:marBottom w:val="0"/>
      <w:divBdr>
        <w:top w:val="none" w:sz="0" w:space="0" w:color="auto"/>
        <w:left w:val="none" w:sz="0" w:space="0" w:color="auto"/>
        <w:bottom w:val="none" w:sz="0" w:space="0" w:color="auto"/>
        <w:right w:val="none" w:sz="0" w:space="0" w:color="auto"/>
      </w:divBdr>
    </w:div>
    <w:div w:id="1255286037">
      <w:marLeft w:val="0"/>
      <w:marRight w:val="0"/>
      <w:marTop w:val="0"/>
      <w:marBottom w:val="0"/>
      <w:divBdr>
        <w:top w:val="none" w:sz="0" w:space="0" w:color="auto"/>
        <w:left w:val="none" w:sz="0" w:space="0" w:color="auto"/>
        <w:bottom w:val="none" w:sz="0" w:space="0" w:color="auto"/>
        <w:right w:val="none" w:sz="0" w:space="0" w:color="auto"/>
      </w:divBdr>
    </w:div>
    <w:div w:id="1255286038">
      <w:marLeft w:val="0"/>
      <w:marRight w:val="0"/>
      <w:marTop w:val="0"/>
      <w:marBottom w:val="0"/>
      <w:divBdr>
        <w:top w:val="none" w:sz="0" w:space="0" w:color="auto"/>
        <w:left w:val="none" w:sz="0" w:space="0" w:color="auto"/>
        <w:bottom w:val="none" w:sz="0" w:space="0" w:color="auto"/>
        <w:right w:val="none" w:sz="0" w:space="0" w:color="auto"/>
      </w:divBdr>
    </w:div>
    <w:div w:id="1255286039">
      <w:marLeft w:val="0"/>
      <w:marRight w:val="0"/>
      <w:marTop w:val="0"/>
      <w:marBottom w:val="0"/>
      <w:divBdr>
        <w:top w:val="none" w:sz="0" w:space="0" w:color="auto"/>
        <w:left w:val="none" w:sz="0" w:space="0" w:color="auto"/>
        <w:bottom w:val="none" w:sz="0" w:space="0" w:color="auto"/>
        <w:right w:val="none" w:sz="0" w:space="0" w:color="auto"/>
      </w:divBdr>
    </w:div>
    <w:div w:id="1255286040">
      <w:marLeft w:val="0"/>
      <w:marRight w:val="0"/>
      <w:marTop w:val="0"/>
      <w:marBottom w:val="0"/>
      <w:divBdr>
        <w:top w:val="none" w:sz="0" w:space="0" w:color="auto"/>
        <w:left w:val="none" w:sz="0" w:space="0" w:color="auto"/>
        <w:bottom w:val="none" w:sz="0" w:space="0" w:color="auto"/>
        <w:right w:val="none" w:sz="0" w:space="0" w:color="auto"/>
      </w:divBdr>
    </w:div>
    <w:div w:id="1409159147">
      <w:bodyDiv w:val="1"/>
      <w:marLeft w:val="0"/>
      <w:marRight w:val="0"/>
      <w:marTop w:val="0"/>
      <w:marBottom w:val="0"/>
      <w:divBdr>
        <w:top w:val="none" w:sz="0" w:space="0" w:color="auto"/>
        <w:left w:val="none" w:sz="0" w:space="0" w:color="auto"/>
        <w:bottom w:val="none" w:sz="0" w:space="0" w:color="auto"/>
        <w:right w:val="none" w:sz="0" w:space="0" w:color="auto"/>
      </w:divBdr>
    </w:div>
    <w:div w:id="1416053743">
      <w:bodyDiv w:val="1"/>
      <w:marLeft w:val="225"/>
      <w:marRight w:val="225"/>
      <w:marTop w:val="0"/>
      <w:marBottom w:val="0"/>
      <w:divBdr>
        <w:top w:val="none" w:sz="0" w:space="0" w:color="auto"/>
        <w:left w:val="none" w:sz="0" w:space="0" w:color="auto"/>
        <w:bottom w:val="none" w:sz="0" w:space="0" w:color="auto"/>
        <w:right w:val="none" w:sz="0" w:space="0" w:color="auto"/>
      </w:divBdr>
      <w:divsChild>
        <w:div w:id="712115513">
          <w:marLeft w:val="0"/>
          <w:marRight w:val="0"/>
          <w:marTop w:val="0"/>
          <w:marBottom w:val="0"/>
          <w:divBdr>
            <w:top w:val="none" w:sz="0" w:space="0" w:color="auto"/>
            <w:left w:val="none" w:sz="0" w:space="0" w:color="auto"/>
            <w:bottom w:val="none" w:sz="0" w:space="0" w:color="auto"/>
            <w:right w:val="none" w:sz="0" w:space="0" w:color="auto"/>
          </w:divBdr>
        </w:div>
      </w:divsChild>
    </w:div>
    <w:div w:id="2026855814">
      <w:bodyDiv w:val="1"/>
      <w:marLeft w:val="0"/>
      <w:marRight w:val="0"/>
      <w:marTop w:val="0"/>
      <w:marBottom w:val="0"/>
      <w:divBdr>
        <w:top w:val="none" w:sz="0" w:space="0" w:color="auto"/>
        <w:left w:val="none" w:sz="0" w:space="0" w:color="auto"/>
        <w:bottom w:val="none" w:sz="0" w:space="0" w:color="auto"/>
        <w:right w:val="none" w:sz="0" w:space="0" w:color="auto"/>
      </w:divBdr>
    </w:div>
    <w:div w:id="2107731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lentele" DocPartId="1f3baf86620d494ea93b02779120b7d8" PartId="1dae86e6a6344dd6a799b27ee7e4b223">
    <Part Type="forma" Nr="1" Abbr="1 frm." Title="JAUNIMO POLITIKOS ĮGYVENDINIMO" DocPartId="c5a891c0f7134ac69c7f130308d6dd8f" PartId="da4f41e91e154d2fbfa008428ccd865a"/>
  </Part>
  <Part Type="lentele" Title="PROGRAMOS APRAŠYMAS" DocPartId="105e5c55421d48d6a202b6cc13f6dc28" PartId="df0bbb6f6cb44f9b9706702b713d697e"/>
  <Part Type="lentele" DocPartId="f82b1e3a8ca94a5c975534de859e83b6" PartId="76c8bbc4d3a44e21acf3f63a4c1f80ec"/>
  <Part Type="lentele" DocPartId="23ab1ba29acb4662b56d38f860706dad" PartId="5906a8b6d16b446bb991edef3072cf28"/>
  <Part Type="lentele" DocPartId="c0401105f901478285ea5302e2165c54" PartId="c9da470a652147278f5c2c30e3836396"/>
</Parts>
</file>

<file path=customXml/itemProps1.xml><?xml version="1.0" encoding="utf-8"?>
<ds:datastoreItem xmlns:ds="http://schemas.openxmlformats.org/officeDocument/2006/customXml" ds:itemID="{3FA3D758-370E-4F35-9FA8-10E1244C6F47}">
  <ds:schemaRefs>
    <ds:schemaRef ds:uri="http://schemas.openxmlformats.org/officeDocument/2006/bibliography"/>
  </ds:schemaRefs>
</ds:datastoreItem>
</file>

<file path=customXml/itemProps2.xml><?xml version="1.0" encoding="utf-8"?>
<ds:datastoreItem xmlns:ds="http://schemas.openxmlformats.org/officeDocument/2006/customXml" ds:itemID="{841EE76F-F50E-434C-9F8A-76AE2B88519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1242</Words>
  <Characters>9744</Characters>
  <Application>Microsoft Office Word</Application>
  <DocSecurity>4</DocSecurity>
  <Lines>194</Lines>
  <Paragraphs>85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Savivaldybe</Company>
  <LinksUpToDate>false</LinksUpToDate>
  <CharactersWithSpaces>10901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2022-02-22T11:31:00Z</dcterms:created>
  <dc:creator>Robertas Zubrus</dc:creator>
  <lastModifiedBy>adlibuser</lastModifiedBy>
  <lastPrinted>2022-02-18T06:42:00Z</lastPrinted>
  <dcterms:modified xsi:type="dcterms:W3CDTF">2022-02-22T11:31:00Z</dcterms:modified>
  <revision>2</revision>
  <dc:title/>
</coreProperties>
</file>