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dff558de5a34cf686a1cb6c32236afd"/>
        <w:lock w:val="sdtLocked"/>
        <w:richText/>
      </w:sdtPr>
      <w:sdtContent>
        <w:tbl>
          <w:tblPr>
            <w:tblW w:w="0" w:type="auto"/>
            <w:tblLook w:val="04A0" w:firstRow="1" w:lastRow="0" w:firstColumn="1" w:lastColumn="0" w:noHBand="0" w:noVBand="1"/>
          </w:tblPr>
          <w:tblGrid>
            <w:gridCol w:w="4536"/>
          </w:tblGrid>
          <w:tr>
            <w:trPr>
              <w:trHeight w:val="851"/>
            </w:trPr>
            <w:tc>
              <w:tcPr>
                <w:tcW w:w="4536" w:type="dxa"/>
                <w:shd w:val="clear" w:color="auto" w:fill="auto"/>
              </w:tcPr>
              <w:p>
                <w:pPr>
                  <w:ind w:right="141"/>
                  <w:rPr>
                    <w:bCs/>
                    <w:szCs w:val="24"/>
                  </w:rPr>
                </w:pPr>
                <w:r>
                  <w:rPr>
                    <w:bCs/>
                    <w:szCs w:val="24"/>
                  </w:rPr>
                  <w:t xml:space="preserve">PATVIRTINTA                                                    Alytaus rajono savivaldybės tarybos                                                                           2022 m. vasario 17 d. sprendimu Nr. K-1                                                                         </w:t>
                </w:r>
              </w:p>
            </w:tc>
          </w:tr>
        </w:tbl>
        <w:p>
          <w:pPr>
            <w:tabs>
              <w:tab w:val="left" w:pos="8080"/>
              <w:tab w:val="left" w:pos="8222"/>
            </w:tabs>
            <w:ind w:right="141"/>
            <w:jc w:val="right"/>
            <w:rPr>
              <w:szCs w:val="24"/>
            </w:rPr>
          </w:pPr>
        </w:p>
        <w:p>
          <w:pPr>
            <w:tabs>
              <w:tab w:val="left" w:pos="8080"/>
              <w:tab w:val="left" w:pos="8222"/>
            </w:tabs>
            <w:ind w:right="141"/>
            <w:jc w:val="right"/>
            <w:rPr>
              <w:szCs w:val="24"/>
            </w:rPr>
          </w:pPr>
        </w:p>
        <w:p>
          <w:pPr>
            <w:tabs>
              <w:tab w:val="left" w:pos="8080"/>
              <w:tab w:val="left" w:pos="8222"/>
            </w:tabs>
            <w:ind w:right="141"/>
            <w:rPr>
              <w:szCs w:val="24"/>
            </w:rPr>
          </w:pPr>
        </w:p>
        <w:sdt>
          <w:sdtPr>
            <w:alias w:val="1 frm."/>
            <w:tag w:val="part_1baab96af3164db3be3de2f0c355a726"/>
            <w:lock w:val="sdtLocked"/>
            <w:richText/>
          </w:sdtPr>
          <w:sdtContent>
            <w:p>
              <w:pPr>
                <w:tabs>
                  <w:tab w:val="left" w:pos="8080"/>
                  <w:tab w:val="left" w:pos="8222"/>
                </w:tabs>
                <w:ind w:right="141" w:firstLine="1178"/>
                <w:jc w:val="right"/>
                <w:rPr>
                  <w:szCs w:val="24"/>
                </w:rPr>
              </w:pPr>
              <w:r>
                <w:rPr>
                  <w:szCs w:val="24"/>
                </w:rPr>
                <w:t>1 priedas</w:t>
              </w:r>
            </w:p>
            <w:p>
              <w:pPr>
                <w:ind w:right="141" w:firstLine="124"/>
                <w:jc w:val="right"/>
                <w:rPr>
                  <w:bCs/>
                  <w:szCs w:val="24"/>
                </w:rPr>
              </w:pPr>
              <w:r>
                <w:rPr>
                  <w:bCs/>
                  <w:szCs w:val="24"/>
                </w:rPr>
                <w:t>1 b forma</w:t>
              </w:r>
            </w:p>
            <w:p>
              <w:pPr>
                <w:ind w:firstLine="6542"/>
                <w:rPr>
                  <w:szCs w:val="24"/>
                </w:rPr>
              </w:pPr>
            </w:p>
            <w:p>
              <w:pPr>
                <w:jc w:val="center"/>
                <w:rPr>
                  <w:b/>
                  <w:iCs/>
                  <w:szCs w:val="24"/>
                </w:rPr>
              </w:pPr>
              <w:sdt>
                <w:sdtPr>
                  <w:alias w:val="Pavadinimas"/>
                  <w:tag w:val="title_1baab96af3164db3be3de2f0c355a726"/>
                  <w:lock w:val="sdtLocked"/>
                  <w:richText/>
                </w:sdtPr>
                <w:sdtContent>
                  <w:r>
                    <w:rPr>
                      <w:b/>
                      <w:iCs/>
                      <w:szCs w:val="24"/>
                    </w:rPr>
                    <w:t>ŠVIETIMO, SPORTO PASLAUGŲ TIEKIMO IR PLĖTROS SAVIVALDYBĖS TERITORIJOJE</w:t>
                  </w:r>
                </w:sdtContent>
              </w:sdt>
            </w:p>
            <w:p>
              <w:pPr>
                <w:jc w:val="center"/>
                <w:rPr>
                  <w:b/>
                  <w:bCs/>
                  <w:szCs w:val="22"/>
                </w:rPr>
              </w:pPr>
            </w:p>
          </w:sdtContent>
        </w:sdt>
      </w:sdtContent>
    </w:sdt>
    <w:sdt>
      <w:sdtPr>
        <w:alias w:val="lentele"/>
        <w:tag w:val="part_3b1881ee5b6542ce9a5778f35131ae25"/>
        <w:lock w:val="sdtLocked"/>
        <w:richText/>
      </w:sdtPr>
      <w:sdtContent>
        <w:p>
          <w:pPr>
            <w:jc w:val="center"/>
            <w:rPr>
              <w:b/>
              <w:bCs/>
              <w:szCs w:val="22"/>
            </w:rPr>
          </w:pPr>
          <w:sdt>
            <w:sdtPr>
              <w:alias w:val="Pavadinimas"/>
              <w:tag w:val="title_3b1881ee5b6542ce9a5778f35131ae25"/>
              <w:lock w:val="sdtLocked"/>
              <w:richText/>
            </w:sdtPr>
            <w:sdtContent>
              <w:r>
                <w:rPr>
                  <w:b/>
                  <w:bCs/>
                  <w:szCs w:val="22"/>
                </w:rPr>
                <w:t>PROGRAMOS APRAŠYMAS</w:t>
              </w:r>
            </w:sdtContent>
          </w:sdt>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2"/>
            <w:gridCol w:w="4961"/>
            <w:gridCol w:w="992"/>
            <w:gridCol w:w="1276"/>
          </w:tblGrid>
          <w:tr>
            <w:tc>
              <w:tcPr>
                <w:tcW w:w="2802" w:type="dxa"/>
                <w:vAlign w:val="center"/>
              </w:tcPr>
              <w:p>
                <w:pPr>
                  <w:keepNext/>
                  <w:rPr>
                    <w:b/>
                    <w:bCs/>
                    <w:sz w:val="22"/>
                  </w:rPr>
                </w:pPr>
                <w:r>
                  <w:rPr>
                    <w:b/>
                    <w:bCs/>
                    <w:sz w:val="22"/>
                  </w:rPr>
                  <w:t>Biudžetiniai metai</w:t>
                </w:r>
              </w:p>
            </w:tc>
            <w:tc>
              <w:tcPr>
                <w:tcW w:w="7229" w:type="dxa"/>
                <w:gridSpan w:val="3"/>
                <w:shd w:val="clear" w:color="auto" w:fill="auto"/>
                <w:vAlign w:val="center"/>
              </w:tcPr>
              <w:p>
                <w:pPr>
                  <w:rPr>
                    <w:b/>
                    <w:sz w:val="22"/>
                    <w:szCs w:val="24"/>
                  </w:rPr>
                </w:pPr>
                <w:r>
                  <w:rPr>
                    <w:b/>
                    <w:sz w:val="22"/>
                    <w:szCs w:val="24"/>
                  </w:rPr>
                  <w:t>2022 metai</w:t>
                </w:r>
              </w:p>
            </w:tc>
          </w:tr>
          <w:tr>
            <w:tc>
              <w:tcPr>
                <w:tcW w:w="2802" w:type="dxa"/>
                <w:tcBorders>
                  <w:bottom w:val="single" w:sz="4" w:space="0" w:color="auto"/>
                </w:tcBorders>
                <w:vAlign w:val="center"/>
              </w:tcPr>
              <w:p>
                <w:pPr>
                  <w:keepNext/>
                  <w:rPr>
                    <w:b/>
                    <w:bCs/>
                    <w:sz w:val="22"/>
                  </w:rPr>
                </w:pPr>
                <w:r>
                  <w:rPr>
                    <w:b/>
                    <w:bCs/>
                    <w:sz w:val="22"/>
                  </w:rPr>
                  <w:t>Asignavimų valdytojas</w:t>
                </w:r>
              </w:p>
              <w:p>
                <w:pPr>
                  <w:keepNext/>
                  <w:rPr>
                    <w:b/>
                    <w:bCs/>
                    <w:sz w:val="22"/>
                  </w:rPr>
                </w:pPr>
                <w:r>
                  <w:rPr>
                    <w:b/>
                    <w:bCs/>
                    <w:sz w:val="22"/>
                  </w:rPr>
                  <w:t>(-ai), kodas (-ai)</w:t>
                </w:r>
              </w:p>
            </w:tc>
            <w:tc>
              <w:tcPr>
                <w:tcW w:w="7229" w:type="dxa"/>
                <w:gridSpan w:val="3"/>
                <w:tcBorders>
                  <w:bottom w:val="single" w:sz="4" w:space="0" w:color="auto"/>
                </w:tcBorders>
                <w:shd w:val="clear" w:color="auto" w:fill="auto"/>
                <w:vAlign w:val="center"/>
              </w:tcPr>
              <w:p>
                <w:pPr>
                  <w:rPr>
                    <w:szCs w:val="24"/>
                  </w:rPr>
                </w:pPr>
                <w:r>
                  <w:rPr>
                    <w:szCs w:val="24"/>
                  </w:rPr>
                  <w:t>Alytaus rajono savivaldybės administracijos direktorius, 188718528</w:t>
                </w:r>
              </w:p>
              <w:p>
                <w:pPr>
                  <w:rPr>
                    <w:szCs w:val="24"/>
                  </w:rPr>
                </w:pPr>
                <w:r>
                  <w:rPr>
                    <w:szCs w:val="24"/>
                  </w:rPr>
                  <w:t>Alytaus r. Butrimonių gimnazijos direktorius, 190244763</w:t>
                </w:r>
              </w:p>
              <w:p>
                <w:pPr>
                  <w:rPr>
                    <w:szCs w:val="24"/>
                  </w:rPr>
                </w:pPr>
                <w:r>
                  <w:rPr>
                    <w:szCs w:val="24"/>
                  </w:rPr>
                  <w:t>Alytaus rajono Daugų Vlado Mirono gimnazijos direktorius, 190244044</w:t>
                </w:r>
              </w:p>
              <w:p>
                <w:pPr>
                  <w:rPr>
                    <w:szCs w:val="24"/>
                  </w:rPr>
                </w:pPr>
                <w:r>
                  <w:rPr>
                    <w:szCs w:val="24"/>
                  </w:rPr>
                  <w:t>Alytaus r. Simno gimnazijos direktorius, 290244230</w:t>
                </w:r>
              </w:p>
              <w:p>
                <w:pPr>
                  <w:rPr>
                    <w:bCs/>
                    <w:szCs w:val="24"/>
                  </w:rPr>
                </w:pPr>
                <w:r>
                  <w:rPr>
                    <w:szCs w:val="24"/>
                  </w:rPr>
                  <w:t xml:space="preserve">Alytaus r. </w:t>
                </w:r>
                <w:r>
                  <w:rPr>
                    <w:bCs/>
                    <w:szCs w:val="24"/>
                  </w:rPr>
                  <w:t xml:space="preserve">Krokialaukio Tomo-Noraus Naruševičiaus gimnazijos </w:t>
                </w:r>
                <w:r>
                  <w:rPr>
                    <w:szCs w:val="24"/>
                  </w:rPr>
                  <w:t>direktorius</w:t>
                </w:r>
                <w:r>
                  <w:rPr>
                    <w:bCs/>
                    <w:szCs w:val="24"/>
                  </w:rPr>
                  <w:t xml:space="preserve">, </w:t>
                </w:r>
                <w:r>
                  <w:rPr>
                    <w:szCs w:val="24"/>
                  </w:rPr>
                  <w:t>190245331</w:t>
                </w:r>
              </w:p>
              <w:p>
                <w:pPr>
                  <w:rPr>
                    <w:bCs/>
                    <w:szCs w:val="24"/>
                  </w:rPr>
                </w:pPr>
                <w:r>
                  <w:rPr>
                    <w:szCs w:val="24"/>
                  </w:rPr>
                  <w:t xml:space="preserve">Alytaus r. </w:t>
                </w:r>
                <w:r>
                  <w:rPr>
                    <w:bCs/>
                    <w:szCs w:val="24"/>
                  </w:rPr>
                  <w:t>Miroslavo gimnazijos direktorius, 290245670</w:t>
                </w:r>
              </w:p>
              <w:p>
                <w:pPr>
                  <w:rPr>
                    <w:bCs/>
                    <w:szCs w:val="24"/>
                  </w:rPr>
                </w:pPr>
                <w:r>
                  <w:rPr>
                    <w:bCs/>
                    <w:szCs w:val="24"/>
                  </w:rPr>
                  <w:t xml:space="preserve">Alytaus r. Pivašiūnų gimnazijos </w:t>
                </w:r>
                <w:r>
                  <w:rPr>
                    <w:szCs w:val="24"/>
                  </w:rPr>
                  <w:t>direktorius</w:t>
                </w:r>
                <w:r>
                  <w:rPr>
                    <w:bCs/>
                    <w:szCs w:val="24"/>
                  </w:rPr>
                  <w:t>, 190245865</w:t>
                </w:r>
              </w:p>
              <w:p>
                <w:pPr>
                  <w:rPr>
                    <w:szCs w:val="24"/>
                  </w:rPr>
                </w:pPr>
                <w:r>
                  <w:rPr>
                    <w:szCs w:val="24"/>
                  </w:rPr>
                  <w:t xml:space="preserve">Alytaus r. Simno specialiosios mokyklos </w:t>
                </w:r>
                <w:r>
                  <w:rPr>
                    <w:bCs/>
                    <w:szCs w:val="24"/>
                  </w:rPr>
                  <w:t>direktorius</w:t>
                </w:r>
                <w:r>
                  <w:rPr>
                    <w:szCs w:val="24"/>
                  </w:rPr>
                  <w:t>,190984347</w:t>
                </w:r>
              </w:p>
              <w:p>
                <w:pPr>
                  <w:rPr>
                    <w:bCs/>
                    <w:szCs w:val="24"/>
                  </w:rPr>
                </w:pPr>
                <w:r>
                  <w:rPr>
                    <w:bCs/>
                    <w:szCs w:val="24"/>
                  </w:rPr>
                  <w:t>Alytaus r. meno ir sporto mokyklos direktorius, 190247688</w:t>
                </w:r>
              </w:p>
            </w:tc>
          </w:tr>
          <w:tr>
            <w:tc>
              <w:tcPr>
                <w:tcW w:w="2802" w:type="dxa"/>
                <w:vAlign w:val="center"/>
              </w:tcPr>
              <w:p>
                <w:pPr>
                  <w:keepNext/>
                  <w:rPr>
                    <w:b/>
                    <w:bCs/>
                    <w:sz w:val="22"/>
                  </w:rPr>
                </w:pPr>
                <w:r>
                  <w:rPr>
                    <w:b/>
                    <w:bCs/>
                    <w:sz w:val="22"/>
                  </w:rPr>
                  <w:t xml:space="preserve">Vykdytojas (-ai), kodas </w:t>
                </w:r>
              </w:p>
              <w:p>
                <w:pPr>
                  <w:keepNext/>
                  <w:rPr>
                    <w:b/>
                    <w:bCs/>
                    <w:sz w:val="22"/>
                  </w:rPr>
                </w:pPr>
                <w:r>
                  <w:rPr>
                    <w:b/>
                    <w:bCs/>
                    <w:sz w:val="22"/>
                  </w:rPr>
                  <w:t>(-ai)</w:t>
                </w:r>
              </w:p>
            </w:tc>
            <w:tc>
              <w:tcPr>
                <w:tcW w:w="7229" w:type="dxa"/>
                <w:gridSpan w:val="3"/>
                <w:vAlign w:val="center"/>
              </w:tcPr>
              <w:p>
                <w:pPr>
                  <w:rPr>
                    <w:szCs w:val="24"/>
                  </w:rPr>
                </w:pPr>
                <w:r>
                  <w:rPr>
                    <w:szCs w:val="24"/>
                  </w:rPr>
                  <w:t>Švietimo, kultūros ir sporto skyrius, A11</w:t>
                </w:r>
              </w:p>
              <w:p>
                <w:pPr>
                  <w:rPr>
                    <w:szCs w:val="24"/>
                  </w:rPr>
                </w:pPr>
                <w:r>
                  <w:rPr>
                    <w:szCs w:val="24"/>
                  </w:rPr>
                  <w:t>Socialinės paramos skyrius A10</w:t>
                </w:r>
              </w:p>
              <w:p>
                <w:pPr>
                  <w:rPr>
                    <w:szCs w:val="24"/>
                  </w:rPr>
                </w:pPr>
                <w:r>
                  <w:rPr>
                    <w:szCs w:val="24"/>
                  </w:rPr>
                  <w:t>Alytaus r. Butrimonių gimnazija, A11.1</w:t>
                </w:r>
              </w:p>
              <w:p>
                <w:pPr>
                  <w:rPr>
                    <w:szCs w:val="24"/>
                  </w:rPr>
                </w:pPr>
                <w:r>
                  <w:rPr>
                    <w:szCs w:val="24"/>
                  </w:rPr>
                  <w:t>Alytaus rajono Daugų Vlado Mirono gimnazija, A11.2</w:t>
                </w:r>
              </w:p>
              <w:p>
                <w:pPr>
                  <w:rPr>
                    <w:szCs w:val="24"/>
                  </w:rPr>
                </w:pPr>
                <w:r>
                  <w:rPr>
                    <w:szCs w:val="24"/>
                  </w:rPr>
                  <w:t>Alytaus r. Simno gimnazija, A11.7</w:t>
                </w:r>
              </w:p>
              <w:p>
                <w:pPr>
                  <w:rPr>
                    <w:bCs/>
                    <w:szCs w:val="24"/>
                  </w:rPr>
                </w:pPr>
                <w:r>
                  <w:rPr>
                    <w:szCs w:val="24"/>
                  </w:rPr>
                  <w:t xml:space="preserve">Alytaus r. </w:t>
                </w:r>
                <w:r>
                  <w:rPr>
                    <w:bCs/>
                    <w:szCs w:val="24"/>
                  </w:rPr>
                  <w:t>Krokialaukio Tomo-Noraus Naruševičiaus gimnazija, A11.3</w:t>
                </w:r>
              </w:p>
              <w:p>
                <w:pPr>
                  <w:rPr>
                    <w:bCs/>
                    <w:szCs w:val="24"/>
                  </w:rPr>
                </w:pPr>
                <w:r>
                  <w:rPr>
                    <w:szCs w:val="24"/>
                  </w:rPr>
                  <w:t xml:space="preserve">Alytaus r. </w:t>
                </w:r>
                <w:r>
                  <w:rPr>
                    <w:bCs/>
                    <w:szCs w:val="24"/>
                  </w:rPr>
                  <w:t>Miroslavo gimnazija, A11.5</w:t>
                </w:r>
              </w:p>
              <w:p>
                <w:pPr>
                  <w:rPr>
                    <w:bCs/>
                    <w:szCs w:val="24"/>
                  </w:rPr>
                </w:pPr>
                <w:r>
                  <w:rPr>
                    <w:bCs/>
                    <w:szCs w:val="24"/>
                  </w:rPr>
                  <w:t>Alytaus r. Pivašiūnų gimnazija, A11.6</w:t>
                </w:r>
              </w:p>
              <w:p>
                <w:pPr>
                  <w:rPr>
                    <w:szCs w:val="24"/>
                  </w:rPr>
                </w:pPr>
                <w:r>
                  <w:rPr>
                    <w:szCs w:val="24"/>
                  </w:rPr>
                  <w:t>Alytaus r. Simno specialioji mokykla, A11.9</w:t>
                </w:r>
              </w:p>
              <w:p>
                <w:pPr>
                  <w:rPr>
                    <w:bCs/>
                    <w:szCs w:val="24"/>
                  </w:rPr>
                </w:pPr>
                <w:r>
                  <w:rPr>
                    <w:bCs/>
                    <w:szCs w:val="24"/>
                  </w:rPr>
                  <w:t>Alytaus r. meno ir sporto mokykla, A11.4</w:t>
                </w:r>
              </w:p>
            </w:tc>
          </w:tr>
          <w:tr>
            <w:tc>
              <w:tcPr>
                <w:tcW w:w="10031" w:type="dxa"/>
                <w:gridSpan w:val="4"/>
                <w:tcBorders>
                  <w:left w:val="nil"/>
                </w:tcBorders>
                <w:vAlign w:val="center"/>
              </w:tcPr>
              <w:p>
                <w:pPr>
                  <w:rPr>
                    <w:szCs w:val="24"/>
                  </w:rPr>
                </w:pPr>
              </w:p>
            </w:tc>
          </w:tr>
          <w:tr>
            <w:tc>
              <w:tcPr>
                <w:tcW w:w="2802" w:type="dxa"/>
                <w:vAlign w:val="center"/>
              </w:tcPr>
              <w:p>
                <w:pPr>
                  <w:keepNext/>
                  <w:rPr>
                    <w:b/>
                    <w:bCs/>
                    <w:szCs w:val="24"/>
                  </w:rPr>
                </w:pPr>
                <w:r>
                  <w:rPr>
                    <w:b/>
                    <w:szCs w:val="24"/>
                  </w:rPr>
                  <w:t>Programos pavadinimas</w:t>
                </w:r>
              </w:p>
            </w:tc>
            <w:tc>
              <w:tcPr>
                <w:tcW w:w="4961" w:type="dxa"/>
                <w:vAlign w:val="center"/>
              </w:tcPr>
              <w:p>
                <w:pPr>
                  <w:jc w:val="both"/>
                  <w:rPr>
                    <w:b/>
                    <w:iCs/>
                    <w:szCs w:val="24"/>
                  </w:rPr>
                </w:pPr>
                <w:r>
                  <w:rPr>
                    <w:b/>
                    <w:iCs/>
                    <w:szCs w:val="24"/>
                  </w:rPr>
                  <w:t>ŠVIETIMAS, SPORTO PASLAUGŲ TIEKIMAS IR PLĖTRA SAVIVALDYBĖS TERITORIJOJE</w:t>
                </w:r>
              </w:p>
            </w:tc>
            <w:tc>
              <w:tcPr>
                <w:tcW w:w="992" w:type="dxa"/>
                <w:vAlign w:val="center"/>
              </w:tcPr>
              <w:p>
                <w:pPr>
                  <w:jc w:val="center"/>
                  <w:rPr>
                    <w:b/>
                    <w:szCs w:val="24"/>
                  </w:rPr>
                </w:pPr>
                <w:r>
                  <w:rPr>
                    <w:b/>
                    <w:szCs w:val="24"/>
                  </w:rPr>
                  <w:t>Kodas</w:t>
                </w:r>
              </w:p>
            </w:tc>
            <w:tc>
              <w:tcPr>
                <w:tcW w:w="1276" w:type="dxa"/>
                <w:vAlign w:val="center"/>
              </w:tcPr>
              <w:p>
                <w:pPr>
                  <w:jc w:val="center"/>
                  <w:rPr>
                    <w:b/>
                    <w:szCs w:val="24"/>
                  </w:rPr>
                </w:pPr>
                <w:r>
                  <w:rPr>
                    <w:b/>
                    <w:szCs w:val="24"/>
                  </w:rPr>
                  <w:t>09</w:t>
                </w:r>
              </w:p>
            </w:tc>
          </w:tr>
          <w:tr>
            <w:tc>
              <w:tcPr>
                <w:tcW w:w="2802" w:type="dxa"/>
                <w:vAlign w:val="center"/>
              </w:tcPr>
              <w:p>
                <w:pPr>
                  <w:keepNext/>
                  <w:rPr>
                    <w:b/>
                    <w:bCs/>
                    <w:szCs w:val="24"/>
                  </w:rPr>
                </w:pPr>
                <w:r>
                  <w:rPr>
                    <w:b/>
                    <w:szCs w:val="24"/>
                  </w:rPr>
                  <w:t>Programos parengimo argumentai</w:t>
                </w:r>
              </w:p>
            </w:tc>
            <w:tc>
              <w:tcPr>
                <w:tcW w:w="7229" w:type="dxa"/>
                <w:gridSpan w:val="3"/>
              </w:tcPr>
              <w:p>
                <w:pPr>
                  <w:ind w:firstLine="558"/>
                  <w:jc w:val="both"/>
                  <w:rPr>
                    <w:szCs w:val="24"/>
                    <w:lang w:val="en-US"/>
                  </w:rPr>
                </w:pPr>
                <w:r>
                  <w:rPr>
                    <w:szCs w:val="24"/>
                    <w:lang w:val="en-US"/>
                  </w:rPr>
                  <w:t>Švietimas - prioritetinė, valstybės remiama Lietuvos Respublikos raidos sritis. Įgyvendinant valstybės keliamus uždavinius švietimui, būtina užtikrinti ugdymo kokybę, kurią sąlygoja Bendrųjų programų, išsilavinimo standartų, bendrųjų ugdymo planų įgyvendinimas, modernizuoto mokymo (-si) aplinka, intelektualiniai ištekliai.</w:t>
                </w:r>
              </w:p>
              <w:p>
                <w:pPr>
                  <w:ind w:firstLine="567"/>
                  <w:jc w:val="both"/>
                  <w:rPr>
                    <w:szCs w:val="24"/>
                    <w:lang w:val="en-GB"/>
                  </w:rPr>
                </w:pPr>
                <w:r>
                  <w:rPr>
                    <w:szCs w:val="24"/>
                    <w:lang w:val="en-GB"/>
                  </w:rPr>
                  <w:t xml:space="preserve">Taip pat rengiama programa, kad Alytaus rajono gyventojai galėtų realizuoti savo sportinius pomėgius, mažintų žalingų įpročių įtaką bendraujant. Projektus konkursui gali teikti sporto organizacijos, sporto klubai, švietimo ir kultūros įstaigos, viešosios įstaigos, fondai, asociacijos, kiti juridiniai asmenys, kurių nuostatuose (įstatuose) įteisinta veikla, susijusi su sporto (kūno kultūros) vystymu. Projektai turi būti skirti Alytaus rajono gyventojams. Projektai gali būti vykdomi patalpose ir vietose, kurios pritaikytos sporto veiklai. Programa tęstinė. </w:t>
                </w:r>
              </w:p>
              <w:p>
                <w:pPr>
                  <w:ind w:firstLine="567"/>
                  <w:jc w:val="both"/>
                  <w:rPr>
                    <w:szCs w:val="24"/>
                  </w:rPr>
                </w:pPr>
                <w:r>
                  <w:rPr>
                    <w:szCs w:val="24"/>
                  </w:rPr>
                  <w:t>Vykdoma studijų rėmimo programa skirta asmenims, studijuojantiems universitetinėse aukštosiose mokyklose, kolegijose ir besimokantiems profesinėse mokyklose. Studentans skiriama vienkartinė parama.</w:t>
                </w:r>
              </w:p>
            </w:tc>
          </w:tr>
        </w:tbl>
        <w:p>
          <w:pPr>
            <w:rPr>
              <w:vanish/>
              <w:szCs w:val="24"/>
            </w:rPr>
          </w:pPr>
        </w:p>
      </w:sdtContent>
    </w:sdt>
    <w:sdt>
      <w:sdtPr>
        <w:alias w:val="lentele"/>
        <w:tag w:val="part_e577f5a6e20b46e29fbbddf1ef4448f7"/>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36"/>
            <w:gridCol w:w="366"/>
            <w:gridCol w:w="5386"/>
            <w:gridCol w:w="992"/>
            <w:gridCol w:w="851"/>
          </w:tblGrid>
          <w:tr>
            <w:trPr>
              <w:trHeight w:val="463"/>
            </w:trPr>
            <w:tc>
              <w:tcPr>
                <w:tcW w:w="2802" w:type="dxa"/>
                <w:gridSpan w:val="2"/>
                <w:shd w:val="clear" w:color="auto" w:fill="auto"/>
                <w:vAlign w:val="center"/>
              </w:tcPr>
              <w:p>
                <w:pPr>
                  <w:rPr>
                    <w:b/>
                    <w:sz w:val="22"/>
                    <w:szCs w:val="24"/>
                  </w:rPr>
                </w:pPr>
                <w:r>
                  <w:rPr>
                    <w:b/>
                    <w:sz w:val="22"/>
                    <w:szCs w:val="24"/>
                  </w:rPr>
                  <w:t>Ilgalaikis prioritetas</w:t>
                </w:r>
              </w:p>
              <w:p>
                <w:pPr>
                  <w:ind w:firstLine="57"/>
                  <w:rPr>
                    <w:b/>
                    <w:sz w:val="22"/>
                    <w:szCs w:val="24"/>
                  </w:rPr>
                </w:pPr>
                <w:r>
                  <w:rPr>
                    <w:b/>
                    <w:sz w:val="22"/>
                    <w:szCs w:val="24"/>
                  </w:rPr>
                  <w:t>(pagal Alytaus rajono savivaldybės strateginį plėtros planą)</w:t>
                </w:r>
              </w:p>
            </w:tc>
            <w:tc>
              <w:tcPr>
                <w:tcW w:w="5386" w:type="dxa"/>
                <w:shd w:val="clear" w:color="auto" w:fill="auto"/>
                <w:vAlign w:val="center"/>
              </w:tcPr>
              <w:p>
                <w:pPr>
                  <w:keepNext/>
                  <w:jc w:val="both"/>
                  <w:outlineLvl w:val="4"/>
                  <w:rPr>
                    <w:b/>
                    <w:szCs w:val="24"/>
                  </w:rPr>
                </w:pPr>
                <w:r>
                  <w:rPr>
                    <w:b/>
                    <w:szCs w:val="24"/>
                  </w:rPr>
                  <w:t>SUMANIOS, VEIKLIOS, SUSITELKUSIOS BENDRUOMENĖS, PAŽANGI, SOCIALIAI ATSAKINGA SAVIVALDA</w:t>
                </w:r>
              </w:p>
            </w:tc>
            <w:tc>
              <w:tcPr>
                <w:tcW w:w="992" w:type="dxa"/>
                <w:shd w:val="clear" w:color="auto" w:fill="auto"/>
                <w:vAlign w:val="center"/>
              </w:tcPr>
              <w:p>
                <w:pPr>
                  <w:keepNext/>
                  <w:jc w:val="center"/>
                  <w:outlineLvl w:val="4"/>
                  <w:rPr>
                    <w:b/>
                    <w:bCs/>
                    <w:sz w:val="22"/>
                    <w:szCs w:val="24"/>
                  </w:rPr>
                </w:pPr>
                <w:r>
                  <w:rPr>
                    <w:b/>
                    <w:bCs/>
                    <w:sz w:val="22"/>
                    <w:szCs w:val="24"/>
                  </w:rPr>
                  <w:t>Kodas</w:t>
                </w:r>
              </w:p>
            </w:tc>
            <w:tc>
              <w:tcPr>
                <w:tcW w:w="851" w:type="dxa"/>
                <w:shd w:val="clear" w:color="auto" w:fill="auto"/>
                <w:vAlign w:val="center"/>
              </w:tcPr>
              <w:p>
                <w:pPr>
                  <w:keepNext/>
                  <w:jc w:val="center"/>
                  <w:outlineLvl w:val="4"/>
                  <w:rPr>
                    <w:b/>
                    <w:szCs w:val="24"/>
                  </w:rPr>
                </w:pPr>
                <w:r>
                  <w:rPr>
                    <w:b/>
                    <w:szCs w:val="24"/>
                  </w:rPr>
                  <w:t>02</w:t>
                </w:r>
              </w:p>
            </w:tc>
          </w:tr>
          <w:tr>
            <w:trPr>
              <w:trHeight w:val="268"/>
            </w:trPr>
            <w:tc>
              <w:tcPr>
                <w:tcW w:w="2802" w:type="dxa"/>
                <w:gridSpan w:val="2"/>
                <w:shd w:val="clear" w:color="auto" w:fill="auto"/>
                <w:vAlign w:val="center"/>
              </w:tcPr>
              <w:p>
                <w:pPr>
                  <w:rPr>
                    <w:b/>
                    <w:sz w:val="22"/>
                    <w:szCs w:val="24"/>
                  </w:rPr>
                </w:pPr>
                <w:r>
                  <w:rPr>
                    <w:b/>
                    <w:sz w:val="22"/>
                    <w:szCs w:val="24"/>
                  </w:rPr>
                  <w:t>Šia programa įgyvendinamas savivaldybės strateginis tikslas:</w:t>
                </w:r>
              </w:p>
            </w:tc>
            <w:tc>
              <w:tcPr>
                <w:tcW w:w="5386" w:type="dxa"/>
                <w:shd w:val="clear" w:color="auto" w:fill="auto"/>
                <w:vAlign w:val="center"/>
              </w:tcPr>
              <w:p>
                <w:pPr>
                  <w:suppressAutoHyphens/>
                  <w:jc w:val="both"/>
                  <w:textAlignment w:val="baseline"/>
                  <w:rPr>
                    <w:sz w:val="22"/>
                    <w:szCs w:val="22"/>
                  </w:rPr>
                </w:pPr>
                <w:r>
                  <w:rPr>
                    <w:b/>
                    <w:bCs/>
                    <w:caps/>
                    <w:szCs w:val="24"/>
                  </w:rPr>
                  <w:t>SKATINTI INTEGRUOTĄ SOCIALINĘ, EKONOMINĘ VIETOS PLĖTRĄ IR ĮTRAUKIAS ŠVIETIMO PASLAUGAS</w:t>
                </w:r>
              </w:p>
            </w:tc>
            <w:tc>
              <w:tcPr>
                <w:tcW w:w="992" w:type="dxa"/>
                <w:shd w:val="clear" w:color="auto" w:fill="auto"/>
                <w:vAlign w:val="center"/>
              </w:tcPr>
              <w:p>
                <w:pPr>
                  <w:keepNext/>
                  <w:jc w:val="center"/>
                  <w:outlineLvl w:val="3"/>
                  <w:rPr>
                    <w:b/>
                    <w:bCs/>
                    <w:sz w:val="22"/>
                    <w:szCs w:val="24"/>
                  </w:rPr>
                </w:pPr>
                <w:r>
                  <w:rPr>
                    <w:b/>
                    <w:bCs/>
                    <w:sz w:val="22"/>
                    <w:szCs w:val="24"/>
                  </w:rPr>
                  <w:t>Kodas</w:t>
                </w:r>
              </w:p>
            </w:tc>
            <w:tc>
              <w:tcPr>
                <w:tcW w:w="851" w:type="dxa"/>
                <w:shd w:val="clear" w:color="auto" w:fill="auto"/>
                <w:vAlign w:val="center"/>
              </w:tcPr>
              <w:p>
                <w:pPr>
                  <w:jc w:val="center"/>
                  <w:rPr>
                    <w:b/>
                    <w:sz w:val="22"/>
                    <w:szCs w:val="22"/>
                  </w:rPr>
                </w:pPr>
                <w:r>
                  <w:rPr>
                    <w:b/>
                    <w:sz w:val="22"/>
                    <w:szCs w:val="22"/>
                  </w:rPr>
                  <w:t>03</w:t>
                </w:r>
              </w:p>
            </w:tc>
          </w:tr>
          <w:tr>
            <w:trPr>
              <w:trHeight w:val="695"/>
            </w:trPr>
            <w:tc>
              <w:tcPr>
                <w:tcW w:w="2802" w:type="dxa"/>
                <w:gridSpan w:val="2"/>
                <w:shd w:val="clear" w:color="auto" w:fill="auto"/>
                <w:vAlign w:val="center"/>
              </w:tcPr>
              <w:p>
                <w:pPr>
                  <w:keepNext/>
                  <w:rPr>
                    <w:b/>
                    <w:bCs/>
                    <w:sz w:val="22"/>
                  </w:rPr>
                </w:pPr>
                <w:r>
                  <w:rPr>
                    <w:b/>
                    <w:bCs/>
                    <w:sz w:val="22"/>
                  </w:rPr>
                  <w:t>Programos tikslas</w:t>
                </w:r>
              </w:p>
            </w:tc>
            <w:tc>
              <w:tcPr>
                <w:tcW w:w="5386" w:type="dxa"/>
                <w:shd w:val="clear" w:color="auto" w:fill="auto"/>
                <w:vAlign w:val="center"/>
              </w:tcPr>
              <w:p>
                <w:pPr>
                  <w:jc w:val="both"/>
                  <w:rPr>
                    <w:b/>
                    <w:sz w:val="22"/>
                    <w:szCs w:val="24"/>
                  </w:rPr>
                </w:pPr>
                <w:r>
                  <w:rPr>
                    <w:b/>
                    <w:sz w:val="22"/>
                    <w:szCs w:val="24"/>
                  </w:rPr>
                  <w:t>Kokybiškas ugdymo proceso organizavimas ir saugios aplinkos kūrimas</w:t>
                </w:r>
              </w:p>
            </w:tc>
            <w:tc>
              <w:tcPr>
                <w:tcW w:w="992" w:type="dxa"/>
                <w:shd w:val="clear" w:color="auto" w:fill="auto"/>
                <w:vAlign w:val="center"/>
              </w:tcPr>
              <w:p>
                <w:pPr>
                  <w:keepNext/>
                  <w:jc w:val="center"/>
                  <w:rPr>
                    <w:b/>
                    <w:bCs/>
                    <w:sz w:val="22"/>
                  </w:rPr>
                </w:pPr>
                <w:r>
                  <w:rPr>
                    <w:b/>
                    <w:bCs/>
                    <w:sz w:val="22"/>
                  </w:rPr>
                  <w:t>Kodas</w:t>
                </w:r>
              </w:p>
            </w:tc>
            <w:tc>
              <w:tcPr>
                <w:tcW w:w="851" w:type="dxa"/>
                <w:shd w:val="clear" w:color="auto" w:fill="auto"/>
                <w:vAlign w:val="center"/>
              </w:tcPr>
              <w:p>
                <w:pPr>
                  <w:jc w:val="center"/>
                  <w:rPr>
                    <w:b/>
                    <w:sz w:val="22"/>
                    <w:szCs w:val="24"/>
                  </w:rPr>
                </w:pPr>
                <w:r>
                  <w:rPr>
                    <w:b/>
                    <w:sz w:val="22"/>
                    <w:szCs w:val="24"/>
                  </w:rPr>
                  <w:t>01</w:t>
                </w:r>
              </w:p>
            </w:tc>
          </w:tr>
          <w:tr>
            <w:trPr>
              <w:trHeight w:val="416"/>
            </w:trPr>
            <w:tc>
              <w:tcPr>
                <w:tcW w:w="10031" w:type="dxa"/>
                <w:gridSpan w:val="5"/>
                <w:shd w:val="clear" w:color="auto" w:fill="auto"/>
              </w:tcPr>
              <w:p>
                <w:pPr>
                  <w:rPr>
                    <w:sz w:val="10"/>
                    <w:szCs w:val="10"/>
                  </w:rPr>
                </w:pPr>
              </w:p>
              <w:p>
                <w:pPr>
                  <w:jc w:val="both"/>
                  <w:rPr>
                    <w:b/>
                    <w:bCs/>
                    <w:szCs w:val="24"/>
                  </w:rPr>
                </w:pPr>
                <w:r>
                  <w:rPr>
                    <w:b/>
                    <w:bCs/>
                    <w:szCs w:val="24"/>
                  </w:rPr>
                  <w:t xml:space="preserve">Tikslo įgyvendinimo aprašymas:  </w:t>
                </w:r>
                <w:r>
                  <w:rPr>
                    <w:szCs w:val="24"/>
                  </w:rPr>
                  <w:t xml:space="preserve">Alytaus rajone veikia </w:t>
                </w:r>
                <w:r>
                  <w:rPr>
                    <w:bCs/>
                    <w:szCs w:val="24"/>
                  </w:rPr>
                  <w:t xml:space="preserve"> 6 gimnazijos (Krokialaukio Tomo Noraus-Naruševičiaus,</w:t>
                </w:r>
                <w:r>
                  <w:rPr>
                    <w:szCs w:val="24"/>
                  </w:rPr>
                  <w:t xml:space="preserve"> Simno, Butrimonių, Daugų Vlado Mirono, Miroslavo, Pivašiūnų</w:t>
                </w:r>
                <w:r>
                  <w:rPr>
                    <w:bCs/>
                    <w:szCs w:val="24"/>
                  </w:rPr>
                  <w:t>), 2</w:t>
                </w:r>
                <w:r>
                  <w:rPr>
                    <w:szCs w:val="24"/>
                  </w:rPr>
                  <w:t xml:space="preserve"> pagrindinio ugdymo ir daugiafunkciai skyriai (Alovės ir Punios), 1 specialioji mokykla (Simno specialioji mokykla), 1 neformaliojo ugdymo įstaiga (Meno ir sporto mokykla), 6 ikimokyklinio ugdymo skyriai (</w:t>
                </w:r>
                <w:r>
                  <w:rPr>
                    <w:rFonts w:eastAsia="Calibri"/>
                    <w:szCs w:val="24"/>
                    <w:lang w:eastAsia="lt-LT"/>
                  </w:rPr>
                  <w:t xml:space="preserve">Venciūnų, </w:t>
                </w:r>
                <w:r>
                  <w:rPr>
                    <w:bCs/>
                    <w:kern w:val="3"/>
                    <w:szCs w:val="24"/>
                  </w:rPr>
                  <w:t xml:space="preserve">Miroslavo, Butrimonių, Daugų, Simno, </w:t>
                </w:r>
                <w:r>
                  <w:rPr>
                    <w:szCs w:val="24"/>
                  </w:rPr>
                  <w:t>Makniūnų</w:t>
                </w:r>
                <w:r>
                  <w:rPr>
                    <w:rFonts w:eastAsia="Calibri"/>
                    <w:szCs w:val="24"/>
                    <w:lang w:eastAsia="lt-LT"/>
                  </w:rPr>
                  <w:t>).</w:t>
                </w:r>
              </w:p>
              <w:p>
                <w:pPr>
                  <w:ind w:firstLine="567"/>
                  <w:jc w:val="both"/>
                  <w:rPr>
                    <w:szCs w:val="24"/>
                  </w:rPr>
                </w:pPr>
                <w:r>
                  <w:rPr>
                    <w:bCs/>
                    <w:szCs w:val="24"/>
                  </w:rPr>
                  <w:t>Tikslas apima ikimokyklinį, priešmokyklinį, pradinį, pagrindinį ugdymą, neformalųjį vaikų švietimą. Pagal visas privalomojo ir visuotinio švietimo programas teikiamas specialus ugdymas, kurio paskirtis – padėti specialiųjų poreikių asmeniui lavintis, mokytis pagal gebėjimus, įgyti išsilavinimą ir kvalifikaciją, įveikti socialinę atskirtį.</w:t>
                </w:r>
                <w:r>
                  <w:rPr>
                    <w:szCs w:val="24"/>
                  </w:rPr>
                  <w:t xml:space="preserve"> Taip pat tenkinti gimnazijos ir jos skyrių narių bendruomenės poreikius, teikiant kokybiškas švietimo paslaugas, kuriant vaikų ir jaunimo šiuolaikinius poreikius atitinkančią ugdymo aplinką. </w:t>
                </w:r>
              </w:p>
              <w:p>
                <w:pPr>
                  <w:ind w:firstLine="567"/>
                  <w:jc w:val="both"/>
                  <w:rPr>
                    <w:bCs/>
                    <w:szCs w:val="24"/>
                  </w:rPr>
                </w:pPr>
                <w:r>
                  <w:rPr>
                    <w:szCs w:val="24"/>
                    <w:lang w:val="en-US"/>
                  </w:rPr>
                  <w:t>Tikslas sudaryti palankias sąlygas Alytaus rajono savivaldybės teritorijoje gyvenamąją vietą deklaravusių tėvų (įtėvių, globėjų) ikimokyklinio ir priešmokyklinio amžiaus vaikų ugdymui.</w:t>
                </w:r>
              </w:p>
              <w:p>
                <w:pPr>
                  <w:ind w:firstLine="567"/>
                  <w:jc w:val="both"/>
                  <w:rPr>
                    <w:bCs/>
                    <w:szCs w:val="24"/>
                  </w:rPr>
                </w:pPr>
                <w:r>
                  <w:rPr>
                    <w:bCs/>
                    <w:szCs w:val="24"/>
                  </w:rPr>
                  <w:t>Įgyvendinant šį tikslą, vykdomi šie uždaviniai:</w:t>
                </w:r>
              </w:p>
              <w:p>
                <w:pPr>
                  <w:rPr>
                    <w:sz w:val="10"/>
                    <w:szCs w:val="10"/>
                  </w:rPr>
                </w:pPr>
              </w:p>
              <w:p>
                <w:pPr>
                  <w:jc w:val="both"/>
                  <w:rPr>
                    <w:b/>
                    <w:bCs/>
                    <w:szCs w:val="24"/>
                  </w:rPr>
                </w:pPr>
                <w:r>
                  <w:rPr>
                    <w:b/>
                    <w:bCs/>
                    <w:szCs w:val="24"/>
                  </w:rPr>
                  <w:t>01 uždavinys. Sudaryti sąlygas ugdytis ir įgyti išsilavinimą pagal įvairias ugdymo programas.</w:t>
                </w:r>
              </w:p>
              <w:p>
                <w:pPr>
                  <w:rPr>
                    <w:sz w:val="10"/>
                    <w:szCs w:val="10"/>
                  </w:rPr>
                </w:pPr>
              </w:p>
              <w:p>
                <w:pPr>
                  <w:ind w:firstLine="567"/>
                  <w:jc w:val="both"/>
                  <w:rPr>
                    <w:szCs w:val="24"/>
                  </w:rPr>
                </w:pPr>
                <w:r>
                  <w:rPr>
                    <w:szCs w:val="24"/>
                  </w:rPr>
                  <w:t>Įgyvendinant šį uždavinį mokyklą reikia aprūpinti ne tik vadovėliais, moderniomis mokymo(si) priemonėmis, stipria technine ir informacine baze, bet dar svarbiau- keisti požiūrį į mokytoją. Mokytojai ugdymo procese įgyvendina ikimokyklinio, priešmokyklinio, pagrindinio, bendrąsias ugdymo programas, kuria aktyvią, mokymąsi skatinančią aplinką, individualizuoja ir diferencijuoja ugdymo turinį, stiprindami jo integracinius ryšius, sudarydami galimybes kiekvienam vaikui įgyti esminių, mokymuisi būtinų kompetencijų. Kiekvieno asmenis profesinis tobulėjimas per ugdymo formų ir metodų įvairovę pakels mokinių motyvaciją. Kiekvienas mokytojas dalyvauja seminaruose aktualiomis temomis, aptariama darbo patirties sklaida metodinėse grupėse ir (ar) mokytojų bendruomenėje. Stebėtų pamokų protokoluose užfiksuota informacinių technologijų ir kitų šiuolaikiškų mokymosi priemonių bei informacijos šaltinių panaudojimas. Tad būtina peržvelgti ugdymo organizavimą ir pakeisti mokytojo vaidmenį ugdymo procese: mokytoją žinių turėtoją ir perteikėją turi keisti mokytojas – mokymosi organizatorius. Būtina tobulinti mokytojų kvalifikaciją aktyvių mokymo(si) metodų įsisavinimo ir taikymo srityje.</w:t>
                </w:r>
              </w:p>
              <w:p>
                <w:pPr>
                  <w:ind w:firstLine="567"/>
                  <w:jc w:val="both"/>
                  <w:rPr>
                    <w:szCs w:val="24"/>
                  </w:rPr>
                </w:pPr>
                <w:r>
                  <w:rPr>
                    <w:szCs w:val="24"/>
                  </w:rPr>
                  <w:t xml:space="preserve">Mokyklų bazės atnaujinamos naujausiomis šiuolaikinėmis technologijomis, mokymo priemonėmis, suteikiančioms galimybes tinkamai įgyvendinti programose iškeltus tikslus ir uždavinius. Dalis pasenusių kompiuterių bus keičiama naujais, įsigyjama naujos orgtechnikos (spausdintuvai, projektoriai, eksploatacinės medžiagos). MT + programos naujų modernių ir naujai įgytų IKT priemonių taikymas ugdymo procese. </w:t>
                </w:r>
              </w:p>
              <w:p>
                <w:pPr>
                  <w:ind w:firstLine="567"/>
                  <w:jc w:val="both"/>
                  <w:rPr>
                    <w:szCs w:val="24"/>
                  </w:rPr>
                </w:pPr>
                <w:r>
                  <w:rPr>
                    <w:b/>
                    <w:bCs/>
                    <w:iCs/>
                    <w:szCs w:val="24"/>
                    <w:lang w:val="en-US"/>
                  </w:rPr>
                  <w:t>01 priemonė.</w:t>
                </w:r>
                <w:r>
                  <w:rPr>
                    <w:bCs/>
                    <w:iCs/>
                    <w:szCs w:val="24"/>
                    <w:lang w:val="en-US"/>
                  </w:rPr>
                  <w:t xml:space="preserve"> Ikimokyklinio ir priešmokyklinio ugdymo proceso užtikrinimas bendradarbiaujant su Alytaus miesto savivaldybe, užtikrinant ikimokyklinio ir priešmokyklinio ugdymo prieinamumą Alytaus rajono savivaldybės vaikams Alytaus miesto savivaldybės lopšeliuose-darželiuose ir mokyklose-darželiuose.</w:t>
                </w:r>
              </w:p>
              <w:p>
                <w:pPr>
                  <w:rPr>
                    <w:sz w:val="10"/>
                    <w:szCs w:val="10"/>
                  </w:rPr>
                </w:pPr>
              </w:p>
              <w:p>
                <w:pPr>
                  <w:jc w:val="both"/>
                  <w:rPr>
                    <w:b/>
                    <w:bCs/>
                    <w:szCs w:val="24"/>
                  </w:rPr>
                </w:pPr>
                <w:r>
                  <w:rPr>
                    <w:b/>
                    <w:bCs/>
                    <w:szCs w:val="24"/>
                  </w:rPr>
                  <w:t xml:space="preserve">02 uždavinys. Sudaryti saugias sąlygas mokiniams pasiekti mokyklą, užtikrinti gimnazijoms laiku sukomplektuoti trūkstamus dalykų mokytojus ugdymo plano įgyvendinimui ir specialistus pagalbai mokiniui suteikti. </w:t>
                </w:r>
              </w:p>
              <w:p>
                <w:pPr>
                  <w:rPr>
                    <w:sz w:val="10"/>
                    <w:szCs w:val="10"/>
                  </w:rPr>
                </w:pPr>
              </w:p>
              <w:p>
                <w:pPr>
                  <w:ind w:firstLine="567"/>
                  <w:jc w:val="both"/>
                  <w:rPr>
                    <w:bCs/>
                    <w:szCs w:val="24"/>
                  </w:rPr>
                </w:pPr>
                <w:r>
                  <w:rPr>
                    <w:b/>
                    <w:bCs/>
                    <w:szCs w:val="24"/>
                  </w:rPr>
                  <w:t>01 priemonė</w:t>
                </w:r>
                <w:r>
                  <w:rPr>
                    <w:bCs/>
                    <w:szCs w:val="24"/>
                  </w:rPr>
                  <w:t xml:space="preserve">. Savivaldybė turi užtikrinti toliau kaip </w:t>
                </w:r>
                <w:smartTag w:uri="urn:schemas-microsoft-com:office:smarttags" w:element="metricconverter">
                  <w:smartTagPr>
                    <w:attr w:name="ProductID" w:val="3 km"/>
                  </w:smartTagPr>
                  <w:r>
                    <w:rPr>
                      <w:bCs/>
                      <w:szCs w:val="24"/>
                    </w:rPr>
                    <w:t>3 km</w:t>
                  </w:r>
                </w:smartTag>
                <w:r>
                  <w:rPr>
                    <w:bCs/>
                    <w:szCs w:val="24"/>
                  </w:rPr>
                  <w:t xml:space="preserve"> nuo mokyklos gyvenančių kaimo bendrojo lavinimo mokyklų mokinių vežiojimą į mokyklas. Įgyvendinant šį uždavinį apmokamos kelionės išlaidos pagal bilietus, taip pat ugdymo įstaigų nuosavo transporto išlaikymo išlaidos.</w:t>
                </w:r>
              </w:p>
              <w:p>
                <w:pPr>
                  <w:ind w:firstLine="567"/>
                  <w:jc w:val="both"/>
                  <w:rPr>
                    <w:szCs w:val="24"/>
                  </w:rPr>
                </w:pPr>
                <w:r>
                  <w:rPr>
                    <w:szCs w:val="24"/>
                  </w:rPr>
                  <w:t>Planuojama įgyvendinti projektus, siekiant užtikrinti saugias bei sveikas darbo, ugdymo sąlygas darbuotojams ir mokiniams. Atliekant modernizavimo darbus bus sukurta saugi ir higienos normų keliamus reikalavimus atitinkanti aplinka, todėl tikėtina, jog gerės teikiamų paslaugų kokybė, mokinių, mokytojų bei darbuotojų pasitenkinimas darbo ir mokymosi sąlygomis. Planuojama įgyvendinant projektus modernizuoti ugdymo įstaigų pastatus, pagerinti šilumos ir elektros energijos vartojimo efektyvumą įdiegiant alternatyvius energijos šaltinius, atlikti pastatų vidaus apdailos darbus, teritorijų tvarkybos darbus.</w:t>
                </w:r>
              </w:p>
              <w:p>
                <w:pPr>
                  <w:tabs>
                    <w:tab w:val="left" w:pos="720"/>
                    <w:tab w:val="center" w:pos="4320"/>
                    <w:tab w:val="right" w:pos="8640"/>
                  </w:tabs>
                  <w:ind w:firstLine="567"/>
                  <w:jc w:val="both"/>
                  <w:rPr>
                    <w:bCs/>
                  </w:rPr>
                </w:pPr>
                <w:r>
                  <w:rPr>
                    <w:b/>
                    <w:bCs/>
                  </w:rPr>
                  <w:t>02 priemonė</w:t>
                </w:r>
                <w:r>
                  <w:rPr>
                    <w:bCs/>
                  </w:rPr>
                  <w:t>. Savivaldybė padės užtikrinti gimnazijoms laiku sukomplektuoti trūkstamus dalykų mokytojus ugdymo plano įgyvendinimui ir specialistus pagalbai mokiniui suteikti. Alytaus rajono savivaldybė kompensuos trūkstamų gimnazijoms dalykų mokytojų ir pagalbos specialistų kelionės išlaidas (jeigu jie gyvena 10 ir daugiau kilometrų nuo ugdymo įstaigos). Gimnazijos direktoriaus prašymu savivaldybės taryba sprendimu patvirtins mokomųjų dalykų sąrašą ir pagalbos mokiniui specialistų, kurių trūksta gimnazijai, sąrašą, o gimnazijos direktorius, atsižvelgdamas į patvirtintą sąrašą, įsakymu patvirtins kelionės išlaidų kompensavimą gaunančių mokytojų ir specialistų vardinį sąrašą. Kompensacijas už kelionę į darbą ir atgal mokytojai gaus pagal savivaldybės tarybos sprendimu patvirtintą tvarką.</w:t>
                </w:r>
              </w:p>
              <w:p>
                <w:pPr>
                  <w:rPr>
                    <w:sz w:val="10"/>
                    <w:szCs w:val="10"/>
                  </w:rPr>
                </w:pPr>
              </w:p>
              <w:p>
                <w:pPr>
                  <w:jc w:val="both"/>
                  <w:rPr>
                    <w:i/>
                    <w:szCs w:val="24"/>
                    <w:u w:val="single"/>
                  </w:rPr>
                </w:pPr>
                <w:r>
                  <w:rPr>
                    <w:i/>
                    <w:szCs w:val="24"/>
                    <w:u w:val="single"/>
                  </w:rPr>
                  <w:t>Rezultato vertinimo kriterijai:</w:t>
                </w:r>
              </w:p>
              <w:p>
                <w:pPr>
                  <w:rPr>
                    <w:sz w:val="10"/>
                    <w:szCs w:val="10"/>
                  </w:rPr>
                </w:pPr>
              </w:p>
              <w:p>
                <w:pPr>
                  <w:jc w:val="both"/>
                  <w:rPr>
                    <w:szCs w:val="24"/>
                  </w:rPr>
                </w:pPr>
                <w:r>
                  <w:rPr>
                    <w:szCs w:val="24"/>
                  </w:rPr>
                  <w:t xml:space="preserve">Ugdymo įstaigų skaičius, vnt. – 6 gimnazijos, 1 specialioji mokykla, 1 neformaliojo ugdymo įstaiga </w:t>
                </w:r>
              </w:p>
            </w:tc>
          </w:tr>
          <w:tr>
            <w:trPr>
              <w:trHeight w:val="422"/>
            </w:trPr>
            <w:tc>
              <w:tcPr>
                <w:tcW w:w="2802" w:type="dxa"/>
                <w:gridSpan w:val="2"/>
                <w:shd w:val="clear" w:color="auto" w:fill="auto"/>
                <w:vAlign w:val="center"/>
              </w:tcPr>
              <w:p>
                <w:pPr>
                  <w:rPr>
                    <w:b/>
                    <w:szCs w:val="24"/>
                  </w:rPr>
                </w:pPr>
                <w:r>
                  <w:rPr>
                    <w:b/>
                    <w:szCs w:val="24"/>
                  </w:rPr>
                  <w:t>Programos tikslas</w:t>
                </w:r>
              </w:p>
            </w:tc>
            <w:tc>
              <w:tcPr>
                <w:tcW w:w="5386" w:type="dxa"/>
                <w:shd w:val="clear" w:color="auto" w:fill="auto"/>
                <w:vAlign w:val="center"/>
              </w:tcPr>
              <w:p>
                <w:pPr>
                  <w:jc w:val="both"/>
                  <w:rPr>
                    <w:b/>
                    <w:szCs w:val="24"/>
                  </w:rPr>
                </w:pPr>
                <w:r>
                  <w:rPr>
                    <w:b/>
                    <w:szCs w:val="24"/>
                  </w:rPr>
                  <w:t xml:space="preserve">Sudaryti sąlygas gauti specialiąją pedagoginę,  psichologinę pagalbą  ir kitą ugdymo proceso kokybės gerinimui įtakos turinčią pagalbą, užtikrinant kompleksinių paslaugų vaikui ir šeimai pagalbos teikimo koordinavimą ir kokybę</w:t>
                </w:r>
              </w:p>
            </w:tc>
            <w:tc>
              <w:tcPr>
                <w:tcW w:w="992" w:type="dxa"/>
                <w:shd w:val="clear" w:color="auto" w:fill="auto"/>
                <w:vAlign w:val="center"/>
              </w:tcPr>
              <w:p>
                <w:pPr>
                  <w:jc w:val="center"/>
                  <w:rPr>
                    <w:b/>
                    <w:szCs w:val="24"/>
                  </w:rPr>
                </w:pPr>
                <w:r>
                  <w:rPr>
                    <w:b/>
                    <w:szCs w:val="24"/>
                  </w:rPr>
                  <w:t>Kodas</w:t>
                </w:r>
              </w:p>
            </w:tc>
            <w:tc>
              <w:tcPr>
                <w:tcW w:w="851" w:type="dxa"/>
                <w:shd w:val="clear" w:color="auto" w:fill="auto"/>
                <w:vAlign w:val="center"/>
              </w:tcPr>
              <w:p>
                <w:pPr>
                  <w:jc w:val="center"/>
                  <w:rPr>
                    <w:b/>
                    <w:bCs/>
                    <w:szCs w:val="24"/>
                  </w:rPr>
                </w:pPr>
                <w:r>
                  <w:rPr>
                    <w:b/>
                    <w:bCs/>
                    <w:szCs w:val="24"/>
                  </w:rPr>
                  <w:t>02</w:t>
                </w:r>
              </w:p>
            </w:tc>
          </w:tr>
          <w:tr>
            <w:trPr>
              <w:trHeight w:val="422"/>
            </w:trPr>
            <w:tc>
              <w:tcPr>
                <w:tcW w:w="10031" w:type="dxa"/>
                <w:gridSpan w:val="5"/>
                <w:shd w:val="clear" w:color="auto" w:fill="auto"/>
              </w:tcPr>
              <w:p>
                <w:pPr>
                  <w:rPr>
                    <w:sz w:val="10"/>
                    <w:szCs w:val="10"/>
                  </w:rPr>
                </w:pPr>
              </w:p>
              <w:p>
                <w:pPr>
                  <w:jc w:val="both"/>
                  <w:rPr>
                    <w:b/>
                    <w:bCs/>
                    <w:szCs w:val="24"/>
                  </w:rPr>
                </w:pPr>
                <w:r>
                  <w:rPr>
                    <w:b/>
                    <w:bCs/>
                    <w:szCs w:val="24"/>
                  </w:rPr>
                  <w:t xml:space="preserve">Tikslo įgyvendinimo aprašymas: </w:t>
                </w:r>
                <w:r>
                  <w:rPr>
                    <w:szCs w:val="24"/>
                    <w:lang w:val="en-US"/>
                  </w:rPr>
                  <w:t>sudaryti palankias sąlygas kuo ankstesniam asmens specialiųjų poreikių, psichologinių, asmenybės raidos ir ugdymosi problemų įvertinimui, operatyvios ir veiksmingos, kokybiškai koordinuotos kompleksinės pagalbos vaikui ir jo šeimai, padedančios spręsti vaiko visaverčio ugdymo klausimus, suteikimui.</w:t>
                </w:r>
              </w:p>
              <w:p>
                <w:pPr>
                  <w:rPr>
                    <w:sz w:val="10"/>
                    <w:szCs w:val="10"/>
                  </w:rPr>
                </w:pPr>
              </w:p>
              <w:p>
                <w:pPr>
                  <w:jc w:val="both"/>
                  <w:rPr>
                    <w:b/>
                    <w:szCs w:val="24"/>
                  </w:rPr>
                </w:pPr>
                <w:r>
                  <w:rPr>
                    <w:b/>
                    <w:szCs w:val="24"/>
                  </w:rPr>
                  <w:t>01 uždavinys.</w:t>
                </w:r>
                <w:r>
                  <w:rPr>
                    <w:szCs w:val="24"/>
                  </w:rPr>
                  <w:t xml:space="preserve"> </w:t>
                </w:r>
                <w:r>
                  <w:rPr>
                    <w:b/>
                    <w:szCs w:val="24"/>
                  </w:rPr>
                  <w:t>Teikti pedagoginės psichologinės pagalbos paslaugas, skirtas Alytaus rajono savivaldybės ugdymo įstaigų vaikams ir mokiniams bei ugdymo įstaigų bendruomenėms.</w:t>
                </w:r>
              </w:p>
              <w:p>
                <w:pPr>
                  <w:rPr>
                    <w:sz w:val="10"/>
                    <w:szCs w:val="10"/>
                  </w:rPr>
                </w:pPr>
              </w:p>
              <w:p>
                <w:pPr>
                  <w:jc w:val="both"/>
                  <w:rPr>
                    <w:szCs w:val="24"/>
                    <w:lang w:val="en-US"/>
                  </w:rPr>
                </w:pPr>
                <w:r>
                  <w:rPr>
                    <w:b/>
                    <w:bCs/>
                    <w:szCs w:val="24"/>
                  </w:rPr>
                  <w:t xml:space="preserve">01 Priemonė: </w:t>
                </w:r>
                <w:r>
                  <w:rPr>
                    <w:bCs/>
                    <w:iCs/>
                    <w:szCs w:val="24"/>
                    <w:lang w:val="en-US"/>
                  </w:rPr>
                  <w:t xml:space="preserve">Specialiosios  pedagoginės psichologinės pagalbos teikimas. Atliekama diagnostika ir korekcija</w:t>
                </w:r>
                <w:r>
                  <w:rPr>
                    <w:b/>
                    <w:bCs/>
                    <w:i/>
                    <w:iCs/>
                    <w:szCs w:val="24"/>
                    <w:lang w:val="en-US"/>
                  </w:rPr>
                  <w:t xml:space="preserve"> (</w:t>
                </w:r>
                <w:r>
                  <w:rPr>
                    <w:szCs w:val="24"/>
                    <w:lang w:val="en-US"/>
                  </w:rPr>
                  <w:t>rekomenduojamos individualizuotos ugdymo programos ir metodai, teikiama logopedinė, specialioji pedagoginė pagalba), vaikų konsultacijos (įveikiant psichologines krizes, bendravimo ir emocinius sunkumus, keičiant ir lavinant socialinio elgesio įgūdžius, siekiant surasti saviraiškos sritis), tėvų konsultacijos (sprendžiant vaiko psichologines, pedagogines ar vystymosi problemas, atsižvelgiant į vaiko galias).</w:t>
                </w:r>
              </w:p>
              <w:p>
                <w:pPr>
                  <w:rPr>
                    <w:sz w:val="10"/>
                    <w:szCs w:val="10"/>
                  </w:rPr>
                </w:pPr>
              </w:p>
              <w:p>
                <w:pPr>
                  <w:jc w:val="both"/>
                  <w:rPr>
                    <w:i/>
                    <w:szCs w:val="24"/>
                    <w:u w:val="single"/>
                  </w:rPr>
                </w:pPr>
                <w:r>
                  <w:rPr>
                    <w:i/>
                    <w:szCs w:val="24"/>
                    <w:u w:val="single"/>
                  </w:rPr>
                  <w:t>Rezultato vertinimo kriterijai:</w:t>
                </w:r>
              </w:p>
              <w:p>
                <w:pPr>
                  <w:rPr>
                    <w:sz w:val="10"/>
                    <w:szCs w:val="10"/>
                  </w:rPr>
                </w:pPr>
              </w:p>
              <w:p>
                <w:pPr>
                  <w:jc w:val="both"/>
                  <w:rPr>
                    <w:szCs w:val="24"/>
                  </w:rPr>
                </w:pPr>
                <w:r>
                  <w:rPr>
                    <w:szCs w:val="24"/>
                    <w:lang w:val="en-US"/>
                  </w:rPr>
                  <w:t>Ugdymo įstaigų bendruomenių, gaunančių pedagoginės psichologinės pagalbos paslaugą skaičius - 7.</w:t>
                </w:r>
                <w:r>
                  <w:rPr>
                    <w:szCs w:val="24"/>
                  </w:rPr>
                  <w:t xml:space="preserve"> </w:t>
                </w:r>
              </w:p>
              <w:p>
                <w:pPr>
                  <w:rPr>
                    <w:sz w:val="10"/>
                    <w:szCs w:val="10"/>
                  </w:rPr>
                </w:pPr>
              </w:p>
              <w:p>
                <w:pPr>
                  <w:jc w:val="both"/>
                  <w:rPr>
                    <w:b/>
                    <w:szCs w:val="24"/>
                  </w:rPr>
                </w:pPr>
                <w:r>
                  <w:rPr>
                    <w:b/>
                    <w:bCs/>
                    <w:szCs w:val="24"/>
                  </w:rPr>
                  <w:t xml:space="preserve">02 Priemonė: </w:t>
                </w:r>
                <w:r>
                  <w:rPr>
                    <w:szCs w:val="24"/>
                    <w:lang w:val="en-US"/>
                  </w:rPr>
                  <w:t>Koordinuotai teikiamų paslaugų vaikams nuo gimimo iki 18 metų (turintiems didelių ir labai didelių specialiųjų ugdymosi poreikių iki 21 metų) ir vaiko atstovams koordinavimui finansuoti. Savivaldybės specialią tikslinę dotaciją koordinuotai teikiamų paslaugų vaikams nuo gimimo iki 18 metų (turintiems didelių ir labai didelių specialiųjų ugdymosi poreikių – iki 21 metų) ir vaiko atstovams koordinavimui finansuoti naudoja ir už jos naudojimą atsiskaito Specialios tikslinės dotacijos koordinuotai teikiamų paslaugų vaikams nuo gimimo iki 18 metų (turintiems didelių ir labai didelių specialiųjų ugdymosi poreikių – iki 21 metų) ir vaiko atstovams pagal įstatymą koordinavimui finansuoti lėšų apskaičiavimo metodikos, patvirtintos Lietuvos Respublikos švietimo, mokslo ir sporto ministro 2021 m. vasario 11 d. įsakymu Nr. V-233 „Dėl Specialios tikslinės dotacijos koordinuotai teikiamų paslaugų vaikams nuo gimimo iki 18 metų (turintiems didelių ir labai didelių specialiųjų ugdymosi poreikių – iki 21 metų) ir vaiko atstovams koordinavimui finansuoti lėšų apskaičiavimo metodikos patvirtinimo“, nustatyta tvarka. Speciali tikslinė dotacija koordinuotai teikiamų paslaugų vaikams nuo gimimo iki 18 metų (turintiems didelių ir labai didelių specialiųjų ugdymosi poreikių – iki 21 metų) ir vaiko atstovams koordinavimui finansuoti 2022 metais skiriama iš finansavimo šaltinio - Valstybės biudžeto lėšos.</w:t>
                </w:r>
              </w:p>
            </w:tc>
          </w:tr>
          <w:tr>
            <w:trPr>
              <w:trHeight w:val="422"/>
            </w:trPr>
            <w:tc>
              <w:tcPr>
                <w:tcW w:w="2802" w:type="dxa"/>
                <w:gridSpan w:val="2"/>
                <w:shd w:val="clear" w:color="auto" w:fill="auto"/>
                <w:vAlign w:val="center"/>
              </w:tcPr>
              <w:p>
                <w:pPr>
                  <w:rPr>
                    <w:b/>
                    <w:sz w:val="22"/>
                    <w:szCs w:val="24"/>
                  </w:rPr>
                </w:pPr>
                <w:r>
                  <w:rPr>
                    <w:b/>
                    <w:szCs w:val="24"/>
                  </w:rPr>
                  <w:t>Programos tikslas</w:t>
                </w:r>
              </w:p>
            </w:tc>
            <w:tc>
              <w:tcPr>
                <w:tcW w:w="5386" w:type="dxa"/>
                <w:shd w:val="clear" w:color="auto" w:fill="auto"/>
                <w:vAlign w:val="center"/>
              </w:tcPr>
              <w:p>
                <w:pPr>
                  <w:jc w:val="both"/>
                  <w:rPr>
                    <w:b/>
                    <w:szCs w:val="24"/>
                  </w:rPr>
                </w:pPr>
                <w:r>
                  <w:rPr>
                    <w:b/>
                    <w:bCs/>
                    <w:szCs w:val="24"/>
                  </w:rPr>
                  <w:t>Lėšų skyrimas švietimo centralizuotoms priemonėms</w:t>
                </w:r>
              </w:p>
            </w:tc>
            <w:tc>
              <w:tcPr>
                <w:tcW w:w="992" w:type="dxa"/>
                <w:shd w:val="clear" w:color="auto" w:fill="auto"/>
                <w:vAlign w:val="center"/>
              </w:tcPr>
              <w:p>
                <w:pPr>
                  <w:jc w:val="center"/>
                  <w:rPr>
                    <w:b/>
                    <w:szCs w:val="24"/>
                  </w:rPr>
                </w:pPr>
                <w:r>
                  <w:rPr>
                    <w:b/>
                    <w:szCs w:val="24"/>
                  </w:rPr>
                  <w:t>Kodas</w:t>
                </w:r>
              </w:p>
            </w:tc>
            <w:tc>
              <w:tcPr>
                <w:tcW w:w="851" w:type="dxa"/>
                <w:shd w:val="clear" w:color="auto" w:fill="auto"/>
                <w:vAlign w:val="center"/>
              </w:tcPr>
              <w:p>
                <w:pPr>
                  <w:jc w:val="center"/>
                  <w:rPr>
                    <w:b/>
                    <w:bCs/>
                    <w:szCs w:val="24"/>
                  </w:rPr>
                </w:pPr>
                <w:r>
                  <w:rPr>
                    <w:b/>
                    <w:bCs/>
                    <w:szCs w:val="24"/>
                  </w:rPr>
                  <w:t>03</w:t>
                </w:r>
              </w:p>
            </w:tc>
          </w:tr>
          <w:tr>
            <w:trPr>
              <w:trHeight w:val="422"/>
            </w:trPr>
            <w:tc>
              <w:tcPr>
                <w:tcW w:w="10031" w:type="dxa"/>
                <w:gridSpan w:val="5"/>
                <w:shd w:val="clear" w:color="auto" w:fill="auto"/>
              </w:tcPr>
              <w:p>
                <w:pPr>
                  <w:rPr>
                    <w:sz w:val="10"/>
                    <w:szCs w:val="10"/>
                  </w:rPr>
                </w:pPr>
              </w:p>
              <w:p>
                <w:pPr>
                  <w:jc w:val="both"/>
                  <w:rPr>
                    <w:b/>
                    <w:szCs w:val="24"/>
                  </w:rPr>
                </w:pPr>
                <w:r>
                  <w:rPr>
                    <w:b/>
                    <w:szCs w:val="24"/>
                  </w:rPr>
                  <w:t xml:space="preserve">Tikslo įgyvendinimo aprašymas: </w:t>
                </w:r>
                <w:r>
                  <w:rPr>
                    <w:szCs w:val="24"/>
                    <w:lang w:val="en-US"/>
                  </w:rPr>
                  <w:t>įgyvendinant šį tikslą</w:t>
                </w:r>
                <w:r>
                  <w:rPr>
                    <w:b/>
                    <w:bCs/>
                    <w:szCs w:val="24"/>
                    <w:lang w:val="en-US"/>
                  </w:rPr>
                  <w:t xml:space="preserve"> </w:t>
                </w:r>
                <w:r>
                  <w:rPr>
                    <w:szCs w:val="24"/>
                    <w:lang w:val="en-US"/>
                  </w:rPr>
                  <w:t>siekiama geriau įgyvendinti rajoninius renginius, kurie skirti mokytojams ir moksleiviams. Moksleiviams organizuojamos rajoninės mokomųjų dalykų olimpiados, konkursai, sportinės varžybos. Iš šios programos skiriamos premijos mokytojams Tarptautinės mokytojų dienos proga bei geriausiems rajono abiturientams, finansuojamas mokyklinės dokumentacijos įsigijimas, taip pat Švietimo, kultūros ir sporto skyriaus iniciuotiems kvalifikacijos kėlimo renginiams, skirtiems rajono pedagogams. Gerinant ugdymo pastatų infrastruktūrą gerinamos ugdymosi sąlygos mokiniams ir darbo sąlygos darbuotojams.</w:t>
                </w:r>
                <w:r>
                  <w:rPr>
                    <w:szCs w:val="24"/>
                  </w:rPr>
                  <w:t xml:space="preserve"> </w:t>
                </w:r>
              </w:p>
              <w:p>
                <w:pPr>
                  <w:rPr>
                    <w:sz w:val="10"/>
                    <w:szCs w:val="10"/>
                  </w:rPr>
                </w:pPr>
              </w:p>
              <w:p>
                <w:pPr>
                  <w:jc w:val="both"/>
                  <w:rPr>
                    <w:b/>
                    <w:bCs/>
                    <w:szCs w:val="24"/>
                  </w:rPr>
                </w:pPr>
                <w:r>
                  <w:rPr>
                    <w:b/>
                    <w:bCs/>
                    <w:szCs w:val="24"/>
                  </w:rPr>
                  <w:t>01 uždavinys. Teikti kvalifikuotą pagalbą centralizuotiems švietimo ir sporto renginiams</w:t>
                </w:r>
              </w:p>
              <w:p>
                <w:pPr>
                  <w:rPr>
                    <w:sz w:val="10"/>
                    <w:szCs w:val="10"/>
                  </w:rPr>
                </w:pPr>
              </w:p>
              <w:p>
                <w:pPr>
                  <w:jc w:val="both"/>
                  <w:rPr>
                    <w:szCs w:val="24"/>
                    <w:lang w:val="en-US"/>
                  </w:rPr>
                </w:pPr>
                <w:r>
                  <w:rPr>
                    <w:szCs w:val="24"/>
                    <w:lang w:val="en-US"/>
                  </w:rPr>
                  <w:t>Siekiama kuo daugiau organizuoti mokomųjų dalykų olimpiadų bei konkursų, organizuoti moksleivių rajonines sportines varžybas, tinkamai paminėti tarptautinę Mokytojų dieną, mokyklas aprūpinti mokykline dokumentacija, bei kitomis priemonėmis.</w:t>
                </w:r>
              </w:p>
              <w:p>
                <w:pPr>
                  <w:rPr>
                    <w:sz w:val="10"/>
                    <w:szCs w:val="10"/>
                  </w:rPr>
                </w:pPr>
              </w:p>
              <w:p>
                <w:pPr>
                  <w:jc w:val="both"/>
                  <w:rPr>
                    <w:i/>
                    <w:iCs/>
                    <w:szCs w:val="24"/>
                    <w:u w:val="single"/>
                  </w:rPr>
                </w:pPr>
                <w:r>
                  <w:rPr>
                    <w:i/>
                    <w:iCs/>
                    <w:szCs w:val="24"/>
                    <w:u w:val="single"/>
                  </w:rPr>
                  <w:t>Rezultato vertinimo kriterijai:</w:t>
                </w:r>
              </w:p>
              <w:p>
                <w:pPr>
                  <w:rPr>
                    <w:sz w:val="10"/>
                    <w:szCs w:val="10"/>
                  </w:rPr>
                </w:pPr>
              </w:p>
              <w:p>
                <w:pPr>
                  <w:ind w:firstLine="62"/>
                  <w:jc w:val="both"/>
                  <w:rPr>
                    <w:szCs w:val="24"/>
                  </w:rPr>
                </w:pPr>
                <w:r>
                  <w:rPr>
                    <w:szCs w:val="24"/>
                    <w:lang w:val="en-US"/>
                  </w:rPr>
                  <w:t>pravestų rajoninių olimpiadų, konkursų, viktorinų skaičius, vnt.-15</w:t>
                </w:r>
                <w:r>
                  <w:rPr>
                    <w:szCs w:val="24"/>
                  </w:rPr>
                  <w:t xml:space="preserve"> </w:t>
                </w:r>
              </w:p>
            </w:tc>
          </w:tr>
          <w:tr>
            <w:trPr>
              <w:trHeight w:val="422"/>
            </w:trPr>
            <w:tc>
              <w:tcPr>
                <w:tcW w:w="2802" w:type="dxa"/>
                <w:gridSpan w:val="2"/>
                <w:shd w:val="clear" w:color="auto" w:fill="auto"/>
                <w:vAlign w:val="center"/>
              </w:tcPr>
              <w:p>
                <w:pPr>
                  <w:rPr>
                    <w:b/>
                    <w:sz w:val="22"/>
                    <w:szCs w:val="24"/>
                  </w:rPr>
                </w:pPr>
                <w:r>
                  <w:rPr>
                    <w:b/>
                    <w:sz w:val="22"/>
                    <w:szCs w:val="24"/>
                  </w:rPr>
                  <w:t>Programos tikslas</w:t>
                </w:r>
              </w:p>
            </w:tc>
            <w:tc>
              <w:tcPr>
                <w:tcW w:w="5386" w:type="dxa"/>
                <w:shd w:val="clear" w:color="auto" w:fill="auto"/>
                <w:vAlign w:val="center"/>
              </w:tcPr>
              <w:p>
                <w:pPr>
                  <w:jc w:val="both"/>
                  <w:rPr>
                    <w:b/>
                    <w:szCs w:val="24"/>
                  </w:rPr>
                </w:pPr>
                <w:r>
                  <w:rPr>
                    <w:b/>
                    <w:szCs w:val="24"/>
                  </w:rPr>
                  <w:t>Organizuoti kiekvienam rajono moksleiviui prieinamą neformalųjį ugdymą, teikiant kokybiškas meninio ir sportinio ugdymo paslaugas</w:t>
                </w:r>
              </w:p>
            </w:tc>
            <w:tc>
              <w:tcPr>
                <w:tcW w:w="992" w:type="dxa"/>
                <w:shd w:val="clear" w:color="auto" w:fill="auto"/>
                <w:vAlign w:val="center"/>
              </w:tcPr>
              <w:p>
                <w:pPr>
                  <w:jc w:val="center"/>
                  <w:rPr>
                    <w:b/>
                    <w:sz w:val="22"/>
                    <w:szCs w:val="24"/>
                  </w:rPr>
                </w:pPr>
                <w:r>
                  <w:rPr>
                    <w:b/>
                    <w:sz w:val="22"/>
                    <w:szCs w:val="24"/>
                  </w:rPr>
                  <w:t>Kodas</w:t>
                </w:r>
              </w:p>
            </w:tc>
            <w:tc>
              <w:tcPr>
                <w:tcW w:w="851" w:type="dxa"/>
                <w:shd w:val="clear" w:color="auto" w:fill="auto"/>
                <w:vAlign w:val="center"/>
              </w:tcPr>
              <w:p>
                <w:pPr>
                  <w:jc w:val="center"/>
                  <w:rPr>
                    <w:b/>
                    <w:bCs/>
                    <w:sz w:val="22"/>
                    <w:szCs w:val="24"/>
                  </w:rPr>
                </w:pPr>
                <w:r>
                  <w:rPr>
                    <w:b/>
                    <w:bCs/>
                    <w:sz w:val="22"/>
                    <w:szCs w:val="24"/>
                  </w:rPr>
                  <w:t>04</w:t>
                </w:r>
              </w:p>
            </w:tc>
          </w:tr>
          <w:tr>
            <w:trPr>
              <w:trHeight w:val="422"/>
            </w:trPr>
            <w:tc>
              <w:tcPr>
                <w:tcW w:w="10031" w:type="dxa"/>
                <w:gridSpan w:val="5"/>
                <w:shd w:val="clear" w:color="auto" w:fill="auto"/>
              </w:tcPr>
              <w:p>
                <w:pPr>
                  <w:ind w:firstLine="567"/>
                  <w:jc w:val="both"/>
                  <w:rPr>
                    <w:szCs w:val="24"/>
                    <w:lang w:val="en-US"/>
                  </w:rPr>
                </w:pPr>
                <w:r>
                  <w:rPr>
                    <w:b/>
                    <w:bCs/>
                    <w:szCs w:val="24"/>
                  </w:rPr>
                  <w:t>Tikslo įgyvendinimo aprašymas</w:t>
                </w:r>
                <w:r>
                  <w:rPr>
                    <w:b/>
                    <w:bCs/>
                    <w:sz w:val="22"/>
                    <w:szCs w:val="24"/>
                  </w:rPr>
                  <w:t xml:space="preserve">: </w:t>
                </w:r>
                <w:r>
                  <w:rPr>
                    <w:bCs/>
                    <w:szCs w:val="24"/>
                    <w:lang w:val="en-US"/>
                  </w:rPr>
                  <w:t xml:space="preserve">sparčiai kintant visuomenei, visuomenės gyvenimui, kinta ir švietimas, jo planavimas, ir prieinamumas kiekvienam asmeniui, suteikiant kuo palankiausias galimybes ir sąlygas  ugdymui,  </w:t>
                </w:r>
                <w:r>
                  <w:rPr>
                    <w:szCs w:val="24"/>
                    <w:lang w:val="en-US"/>
                  </w:rPr>
                  <w:t>užtikrinamas kvalifikuoto meninio ir sportinio ugdymo paslaugų teikimas rajono vaikams.</w:t>
                </w:r>
              </w:p>
              <w:p>
                <w:pPr>
                  <w:spacing w:line="276" w:lineRule="auto"/>
                  <w:ind w:firstLine="558"/>
                  <w:jc w:val="both"/>
                  <w:rPr>
                    <w:bCs/>
                    <w:szCs w:val="24"/>
                  </w:rPr>
                </w:pPr>
                <w:r>
                  <w:rPr>
                    <w:bCs/>
                    <w:szCs w:val="24"/>
                  </w:rPr>
                  <w:t xml:space="preserve">Sparčiai kintant visuomenei, visuomenės gyvenimui, kinta ir švietimas, jo planavimas, ir prieinamumas kiekvienam asmeniui, suteikiant kuo palankiausias galimybes ir sąlygas  ugdymui. P</w:t>
                </w:r>
                <w:r>
                  <w:rPr>
                    <w:szCs w:val="24"/>
                  </w:rPr>
                  <w:t>rograma</w:t>
                </w:r>
                <w:r>
                  <w:rPr>
                    <w:bCs/>
                    <w:szCs w:val="24"/>
                  </w:rPr>
                  <w:t xml:space="preserve"> „</w:t>
                </w:r>
                <w:r>
                  <w:rPr>
                    <w:szCs w:val="24"/>
                  </w:rPr>
                  <w:t xml:space="preserve">Neformaliojo švietimo meninis ir sportinis ugdymas“ užtikrina kvalifikuoto meninio ir sportinio ugdymo paslaugos teikimą rajono vaikams. Mokytojai ir kiti specialistai </w:t>
                </w:r>
                <w:r>
                  <w:rPr>
                    <w:bCs/>
                    <w:szCs w:val="24"/>
                  </w:rPr>
                  <w:t xml:space="preserve">sulaukia naujų iššūkių, ugdymo įstaigas pasiekia nauji ugdymo dokumentai, reikalavimai, naujos mokymo priemonės, keičiasi reikalavimai ugdymo organizavimui ir vertinimui. Kitos rajono ugdymo įstaigos neturi dziudo, baidarių ir kanojų irklavimo, mokymosi groti muzikiniu instrumentu specialistų etatų, todėl meno ir sporto mokyklos specialistų pagalba yra labai reikalinga rajono moksleiviams. Alytaus r. meno ir sporto mokyklos skyriai veikia  ne tik centre, bet ir kitose rajono mokyklose, kuriose mokytojai moko įvairių meno ir sporto šakų, dirba šviečiamąjį prevencinį darbą. Skyrių įsteigimas rajono mokyklose leidžia kūrybiškai dirbti, sutartinai siekti ugdymo tikslų, žinias, mokėjimus ir įgūdžius, naujai įgytas kompetencijas pritaikyti veikloje, pasiekti su ugdytiniais aukštesnių rezultatų, teikti geresnes švietimo paslaugas. Mokykla vykdo neformaliojo švietimo ir papildantį sporto ir meno (muzikos, dailės, dizaino) krypties ugdymą pagal  įvairias vaikų ir jaunimo švietimo poreikių tenkinimo bei papildomų kompetencijų įgijimo programas, tai formalųjį švietimą papildančio pradinio ir pagrindinio muzikinio ugdymo, muzikos mėgėjų, pradinio ir pagrindinio dailės ugdymo, dizaino, dailės tęstinių studijų, pradinio sportinio rengimo ir sportinio meistriškumo ugdymo programas.</w:t>
                </w:r>
              </w:p>
              <w:p>
                <w:pPr>
                  <w:spacing w:line="276" w:lineRule="auto"/>
                  <w:jc w:val="both"/>
                  <w:rPr>
                    <w:bCs/>
                    <w:szCs w:val="24"/>
                  </w:rPr>
                </w:pPr>
                <w:r>
                  <w:rPr>
                    <w:bCs/>
                    <w:szCs w:val="24"/>
                  </w:rPr>
                  <w:t>Pradinio ir pagrindinio muzikos ugdymo ir muzikos mėgėjų programos branduolys sudaro: muzikavimas instrumentais (akordeonas, fortepijonas, smuikas, trimitas, saksofonas, kanklės, gitara), solfedis, muzikos istorija, Dailės ugdymo programos branduolį sudaro: piešimas, tapyba, skulptūra, kompozicija, dailėtyra. Sporto ugdymo programos branduolį sudaro atskiros sporto šakos: dziudo, futbolas, kanupolas ir irklavimas.</w:t>
                </w:r>
              </w:p>
              <w:p>
                <w:pPr>
                  <w:ind w:firstLine="567"/>
                  <w:jc w:val="both"/>
                  <w:rPr>
                    <w:szCs w:val="24"/>
                  </w:rPr>
                </w:pPr>
                <w:r>
                  <w:rPr>
                    <w:bCs/>
                    <w:szCs w:val="24"/>
                  </w:rPr>
                  <w:t>Siekiant užtikrinti ugdymo kokybę, būtina aukšta pedagogų kvalifikacija, nuolatinis kompetencijų tobulinimas.</w:t>
                </w:r>
                <w:r>
                  <w:rPr>
                    <w:szCs w:val="24"/>
                  </w:rPr>
                  <w:t xml:space="preserve"> </w:t>
                </w:r>
                <w:r>
                  <w:rPr>
                    <w:bCs/>
                    <w:szCs w:val="24"/>
                  </w:rPr>
                  <w:t xml:space="preserve">Šiuolaikinių priemonių pagalba sukuriama moderni ugdymo(si) aplinka. Mokykloje sudarytos sąlygos ugdytinių kompetencijoms tobulėti, tenkinti individualius  vaikų poreikius. Materialinės bazės stiprinimas ir nuolatinis atnaujinimas sukuria saugią, jaukią ir šiltą aplinką, sudaro sąlygas sėkmingam tikslo siekimui, uždavinių įgyvendinimui.</w:t>
                </w:r>
              </w:p>
              <w:p>
                <w:pPr>
                  <w:rPr>
                    <w:sz w:val="10"/>
                    <w:szCs w:val="10"/>
                  </w:rPr>
                </w:pPr>
              </w:p>
              <w:p>
                <w:pPr>
                  <w:jc w:val="both"/>
                  <w:rPr>
                    <w:b/>
                    <w:bCs/>
                    <w:szCs w:val="24"/>
                  </w:rPr>
                </w:pPr>
                <w:r>
                  <w:rPr>
                    <w:b/>
                    <w:bCs/>
                    <w:szCs w:val="24"/>
                  </w:rPr>
                  <w:t>01 uždavinys. Tenkinti mokinių pažinimo, lavinimosi ir saviraiškos poreikius meno ir sporto srityse teikiant kokybišką ugdymo programų įvairovę, padėsiančią mokiniams tapti aktyviais visuomenės nariais.</w:t>
                </w:r>
              </w:p>
              <w:p>
                <w:pPr>
                  <w:rPr>
                    <w:sz w:val="10"/>
                    <w:szCs w:val="10"/>
                  </w:rPr>
                </w:pPr>
              </w:p>
              <w:p>
                <w:pPr>
                  <w:spacing w:line="276" w:lineRule="auto"/>
                  <w:jc w:val="both"/>
                  <w:rPr>
                    <w:szCs w:val="24"/>
                  </w:rPr>
                </w:pPr>
                <w:r>
                  <w:rPr>
                    <w:bCs/>
                    <w:szCs w:val="24"/>
                  </w:rPr>
                  <w:t xml:space="preserve">Įgyvendinant šį uždavinį yra teikiama </w:t>
                </w:r>
                <w:r>
                  <w:rPr>
                    <w:szCs w:val="24"/>
                    <w:lang w:eastAsia="lt-LT"/>
                  </w:rPr>
                  <w:t xml:space="preserve">kokybiška ugdymo programų įvairovė,  plečiamas mokinių akiratis, saviraiškos galimybės, organizuojant </w:t>
                </w:r>
                <w:r>
                  <w:rPr>
                    <w:szCs w:val="24"/>
                  </w:rPr>
                  <w:t xml:space="preserve">meninius konkursus, apžiūras, sportines varžybas, seminarus mokiniams ir mokytojams, plėtojant neformaliojo ugdymo projektų įgyvendinimą, taikant gerosios patirties sklaidos metodą  tarp mokyklos, rajono, respublikos neformaliojo švietimo mokytojų.</w:t>
                </w:r>
                <w:r>
                  <w:rPr>
                    <w:bCs/>
                    <w:szCs w:val="24"/>
                  </w:rPr>
                  <w:t xml:space="preserve"> Užtikrinamos ugdymo sąlygų vaikams, jų tėvams (globėjams) bei mokytojams, pagal vaikų gebėjimus ugdymosi esmę ir ypatumus.</w:t>
                </w:r>
              </w:p>
              <w:p>
                <w:pPr>
                  <w:spacing w:line="276" w:lineRule="auto"/>
                  <w:jc w:val="both"/>
                  <w:rPr>
                    <w:szCs w:val="24"/>
                  </w:rPr>
                </w:pPr>
                <w:r>
                  <w:rPr>
                    <w:szCs w:val="24"/>
                  </w:rPr>
                  <w:t>Priemonės:</w:t>
                </w:r>
              </w:p>
              <w:p>
                <w:pPr>
                  <w:spacing w:line="276" w:lineRule="auto"/>
                  <w:jc w:val="both"/>
                  <w:rPr>
                    <w:szCs w:val="24"/>
                  </w:rPr>
                </w:pPr>
                <w:r>
                  <w:rPr>
                    <w:bCs/>
                    <w:szCs w:val="24"/>
                  </w:rPr>
                  <w:t>01 priemonė. T</w:t>
                </w:r>
                <w:r>
                  <w:rPr>
                    <w:szCs w:val="24"/>
                  </w:rPr>
                  <w:t xml:space="preserve">urtinama mokymosi bazė naujomis informacinėmis technologijomis ir šiuolaikinėmis mokymosi  priemonėmis, mokomųjų kabinetų  ir klasių aprūpinimas kokybišku interneto ryšiu,  vadovėliais, literatūra bei spaudiniais, aprūpinimas mokomųjų klasių muzikiniu, meno ir sportiniu inventoriumi.</w:t>
                </w:r>
              </w:p>
              <w:p>
                <w:pPr>
                  <w:spacing w:line="276" w:lineRule="auto"/>
                  <w:rPr>
                    <w:szCs w:val="24"/>
                  </w:rPr>
                </w:pPr>
                <w:r>
                  <w:rPr>
                    <w:szCs w:val="24"/>
                  </w:rPr>
                  <w:t>02 priemonė. Pedagoginių darbuotojų darbo užmokesčio mokėjimas. Tenkinti pedagoginių darbuotojų poreikius pagal jų atliekamas funkcijas.</w:t>
                </w:r>
              </w:p>
              <w:p>
                <w:pPr>
                  <w:spacing w:line="276" w:lineRule="auto"/>
                  <w:rPr>
                    <w:szCs w:val="24"/>
                  </w:rPr>
                </w:pPr>
                <w:r>
                  <w:rPr>
                    <w:szCs w:val="24"/>
                  </w:rPr>
                  <w:t>03 priemonė. Pedagoginių darbuotojų kvalifikacijos tobulinimas. Skatinti pedagoginių darbuotojų motyvaciją mokytis visą gyvenimą.</w:t>
                </w:r>
              </w:p>
              <w:p>
                <w:pPr>
                  <w:rPr>
                    <w:sz w:val="10"/>
                    <w:szCs w:val="10"/>
                  </w:rPr>
                </w:pPr>
              </w:p>
              <w:p>
                <w:pPr>
                  <w:jc w:val="both"/>
                  <w:rPr>
                    <w:b/>
                    <w:bCs/>
                    <w:szCs w:val="24"/>
                  </w:rPr>
                </w:pPr>
                <w:r>
                  <w:rPr>
                    <w:szCs w:val="24"/>
                  </w:rPr>
                  <w:t xml:space="preserve">04 priemonė. </w:t>
                </w:r>
                <w:r>
                  <w:rPr>
                    <w:bCs/>
                    <w:szCs w:val="24"/>
                  </w:rPr>
                  <w:t>Renginių konkursų, seminarų, sportinių varžybų, išvykų organizavimas.</w:t>
                </w:r>
              </w:p>
              <w:p>
                <w:pPr>
                  <w:rPr>
                    <w:sz w:val="10"/>
                    <w:szCs w:val="10"/>
                  </w:rPr>
                </w:pPr>
              </w:p>
              <w:p>
                <w:pPr>
                  <w:jc w:val="both"/>
                  <w:rPr>
                    <w:szCs w:val="24"/>
                    <w:lang w:val="en-US"/>
                  </w:rPr>
                </w:pPr>
                <w:r>
                  <w:rPr>
                    <w:b/>
                    <w:bCs/>
                    <w:iCs/>
                    <w:szCs w:val="24"/>
                    <w:lang w:val="en-US"/>
                  </w:rPr>
                  <w:t xml:space="preserve">01 Priemonė. </w:t>
                </w:r>
                <w:r>
                  <w:rPr>
                    <w:szCs w:val="24"/>
                    <w:lang w:val="en-US"/>
                  </w:rPr>
                  <w:t>Neformaliojo vaikų švietimo (toliau – NVŠ) lėšos yra valstybės dotacija ir (ar) Europos Sąjungos finansinė parama savivaldybei, siekiant didinti vaikų (išskyrus ikimokyklinio, priešmokyklinio ir formalųjį švietimą papildančio ugdymo), ugdomų pagal NVŠ programas, skaičių. NVŠ programos veiklos įgyvendinamos ne rečiau kaip po 2 pedagoginio darbo valandas per savaitę arba ne mažiau kaip po 8 pedagoginio darbo valandas per mėnesį. NVŠ lėšomis gali būti finansuojama tik viena vaiko pasirinkta programa, kuriai lėšas skiria ta savivaldybė, kurioje vaikas mokosi pagal neformalią programą, nepriklausomai, kurioje savivaldybėje jis gyvena ir mokosi pagal bendrojo ugdymo programą. Darbo užmokesčiui (administravimui) skiriamos lėšos - už NVŠ teikėjų konsultavimą, tiesioginį bendradarbiavimą su atsakinga už NVŠ institucija, dalyvavimą jos rengiamuose pasitarimuose dėl programų rengimo, įgyvendinimo, koordinavimo, administravimo, gerosios patirties sklaidos ir kitais klausimais, informacijos ir ataskaitų atsakingoms institucijoms teisės aktų nustatyta tvarka rengimą, NVŠ programų duomenų pateikimą NŠPR.</w:t>
                </w:r>
              </w:p>
              <w:p>
                <w:pPr>
                  <w:rPr>
                    <w:sz w:val="10"/>
                    <w:szCs w:val="10"/>
                  </w:rPr>
                </w:pPr>
              </w:p>
              <w:p>
                <w:pPr>
                  <w:jc w:val="both"/>
                  <w:rPr>
                    <w:sz w:val="22"/>
                    <w:szCs w:val="22"/>
                  </w:rPr>
                </w:pPr>
                <w:r>
                  <w:rPr>
                    <w:szCs w:val="24"/>
                    <w:lang w:val="en-US"/>
                  </w:rPr>
                  <w:t>Mokymuisi Alytaus STEAM atviros prieigos centre. Lėšos skiriamos mokymuisi Alytaus STEAM atviros prieigos centre (Alytaus kolegijos padalinyje), kuriame mokiniai praktiškai susipažįsta su gamtos, technologijų, inžinerijos, matematikos mokslų dėsniais ir naujausiais išradimais, savarankiškai eksperimentuoja ir kuria. Alytaus rajono savivaldybės 7-12 klasių mokiniai turės galimybę mokytis biologijos ir chemijos, fizikos ir inžinerijos, robotikos ir IT laboratorijose. Užsiėmimai vyksta po tris astronomines valandas. Ypatingas dėmesys skiriamas iniciatyvumo, verslumo ir lyderystės ugdymui.</w:t>
                </w:r>
              </w:p>
              <w:p>
                <w:pPr>
                  <w:spacing w:line="276" w:lineRule="auto"/>
                  <w:rPr>
                    <w:szCs w:val="24"/>
                    <w:lang w:val="en-US"/>
                  </w:rPr>
                </w:pPr>
              </w:p>
            </w:tc>
          </w:tr>
          <w:tr>
            <w:trPr>
              <w:trHeight w:val="422"/>
            </w:trPr>
            <w:tc>
              <w:tcPr>
                <w:tcW w:w="2802" w:type="dxa"/>
                <w:gridSpan w:val="2"/>
                <w:shd w:val="clear" w:color="auto" w:fill="auto"/>
                <w:vAlign w:val="center"/>
              </w:tcPr>
              <w:p>
                <w:pPr>
                  <w:rPr>
                    <w:b/>
                    <w:sz w:val="22"/>
                    <w:szCs w:val="24"/>
                  </w:rPr>
                </w:pPr>
                <w:r>
                  <w:rPr>
                    <w:b/>
                    <w:sz w:val="22"/>
                    <w:szCs w:val="24"/>
                  </w:rPr>
                  <w:t>Programos tikslas</w:t>
                </w:r>
              </w:p>
            </w:tc>
            <w:tc>
              <w:tcPr>
                <w:tcW w:w="5386" w:type="dxa"/>
                <w:shd w:val="clear" w:color="auto" w:fill="auto"/>
                <w:vAlign w:val="center"/>
              </w:tcPr>
              <w:p>
                <w:pPr>
                  <w:jc w:val="both"/>
                  <w:rPr>
                    <w:b/>
                    <w:bCs/>
                    <w:sz w:val="22"/>
                    <w:szCs w:val="24"/>
                  </w:rPr>
                </w:pPr>
                <w:r>
                  <w:rPr>
                    <w:b/>
                    <w:szCs w:val="24"/>
                  </w:rPr>
                  <w:t>Siekti rezultatyvios sporto plėtros, sudaryti palankią sportavimo aplinką</w:t>
                </w:r>
              </w:p>
            </w:tc>
            <w:tc>
              <w:tcPr>
                <w:tcW w:w="992" w:type="dxa"/>
                <w:shd w:val="clear" w:color="auto" w:fill="auto"/>
                <w:vAlign w:val="center"/>
              </w:tcPr>
              <w:p>
                <w:pPr>
                  <w:jc w:val="center"/>
                  <w:rPr>
                    <w:b/>
                    <w:sz w:val="22"/>
                    <w:szCs w:val="24"/>
                  </w:rPr>
                </w:pPr>
                <w:r>
                  <w:rPr>
                    <w:b/>
                    <w:sz w:val="22"/>
                    <w:szCs w:val="24"/>
                  </w:rPr>
                  <w:t>Kodas</w:t>
                </w:r>
              </w:p>
            </w:tc>
            <w:tc>
              <w:tcPr>
                <w:tcW w:w="851" w:type="dxa"/>
                <w:shd w:val="clear" w:color="auto" w:fill="auto"/>
                <w:vAlign w:val="center"/>
              </w:tcPr>
              <w:p>
                <w:pPr>
                  <w:jc w:val="center"/>
                  <w:rPr>
                    <w:b/>
                    <w:bCs/>
                    <w:sz w:val="22"/>
                    <w:szCs w:val="24"/>
                  </w:rPr>
                </w:pPr>
                <w:r>
                  <w:rPr>
                    <w:b/>
                    <w:bCs/>
                    <w:sz w:val="22"/>
                    <w:szCs w:val="24"/>
                  </w:rPr>
                  <w:t>05</w:t>
                </w:r>
              </w:p>
            </w:tc>
          </w:tr>
          <w:tr>
            <w:trPr>
              <w:trHeight w:val="606"/>
            </w:trPr>
            <w:tc>
              <w:tcPr>
                <w:tcW w:w="10031" w:type="dxa"/>
                <w:gridSpan w:val="5"/>
                <w:shd w:val="clear" w:color="auto" w:fill="auto"/>
              </w:tcPr>
              <w:p>
                <w:pPr>
                  <w:rPr>
                    <w:sz w:val="10"/>
                    <w:szCs w:val="10"/>
                  </w:rPr>
                </w:pPr>
              </w:p>
              <w:p>
                <w:pPr>
                  <w:jc w:val="both"/>
                  <w:rPr>
                    <w:szCs w:val="24"/>
                  </w:rPr>
                </w:pPr>
                <w:r>
                  <w:rPr>
                    <w:b/>
                    <w:bCs/>
                    <w:szCs w:val="24"/>
                  </w:rPr>
                  <w:t xml:space="preserve">Tikslo įgyvendinimo aprašymas: </w:t>
                </w:r>
                <w:r>
                  <w:rPr>
                    <w:szCs w:val="24"/>
                    <w:lang w:val="en-US"/>
                  </w:rPr>
                  <w:t>Sparčiai</w:t>
                </w:r>
                <w:r>
                  <w:rPr>
                    <w:b/>
                    <w:bCs/>
                    <w:szCs w:val="24"/>
                    <w:lang w:val="en-US"/>
                  </w:rPr>
                  <w:t xml:space="preserve"> </w:t>
                </w:r>
                <w:r>
                  <w:rPr>
                    <w:szCs w:val="24"/>
                    <w:lang w:val="en-US"/>
                  </w:rPr>
                  <w:t>kintant visuomenei, visuomenės gyvenimui, kinta poreikis sportui ir sveikatinimui jo prieinamumas kiekvienam asmeniui, sudarant kuo palankiausias sąlygas sportavimui. Sporto rėmimo projektų finansavimas užtikrina daugelio pagrindinių sporto renginių finansavimą, skatina sporto klubų veiklą, aktyviau į šią veiklą įsijungia įvairios organizacijos.</w:t>
                </w:r>
              </w:p>
              <w:p>
                <w:pPr>
                  <w:rPr>
                    <w:sz w:val="10"/>
                    <w:szCs w:val="10"/>
                  </w:rPr>
                </w:pPr>
              </w:p>
              <w:p>
                <w:pPr>
                  <w:jc w:val="both"/>
                  <w:rPr>
                    <w:b/>
                    <w:bCs/>
                    <w:szCs w:val="24"/>
                  </w:rPr>
                </w:pPr>
                <w:r>
                  <w:rPr>
                    <w:b/>
                    <w:bCs/>
                    <w:szCs w:val="24"/>
                  </w:rPr>
                  <w:t>01 uždavinys. Užimti Alytaus rajono gyventojus sporto ir kita sveikatinimo veikla, tenkinant jų pažinimo, lavinimosi, sportinio meistriškumo didinimo, saviraiškos bei bendravimo poreikius.</w:t>
                </w:r>
              </w:p>
              <w:p>
                <w:pPr>
                  <w:rPr>
                    <w:sz w:val="10"/>
                    <w:szCs w:val="10"/>
                  </w:rPr>
                </w:pPr>
              </w:p>
              <w:p>
                <w:pPr>
                  <w:jc w:val="both"/>
                  <w:rPr>
                    <w:szCs w:val="24"/>
                    <w:lang w:val="en-US"/>
                  </w:rPr>
                </w:pPr>
                <w:r>
                  <w:rPr>
                    <w:szCs w:val="24"/>
                    <w:lang w:val="en-US"/>
                  </w:rPr>
                  <w:t>Šiuo uždaviniu įgyvendinama sporto ir sveikos gyvensenos politika savivaldybės teritorijoje, rūpinamasi aktyvaus laisvalaikio užimtumo formų organizavimu ir sporto paslaugų teikimu rajono visuomenei, organizuojama sporto projektų atrankos konkursai, savivaldybės patvirtintoms programoms vykdyti. Kontroliuojama rajono sporto įstaigų darbas, organizuojant sportinę veiklą, koordinuojant rajono visuomeninių sporto organizacijų veiklą, organizuojant bei padedant rengti šventes, masinius sporto renginius, atstovaujama savivaldybei šalies ir tarptautinėse sporto organizacijose. Užtikrinamas tinkamas sporto bazės naudojimas ir eksploatavimas.</w:t>
                </w:r>
              </w:p>
              <w:p>
                <w:pPr>
                  <w:rPr>
                    <w:sz w:val="10"/>
                    <w:szCs w:val="10"/>
                  </w:rPr>
                </w:pPr>
              </w:p>
              <w:p>
                <w:pPr>
                  <w:rPr>
                    <w:i/>
                    <w:iCs/>
                    <w:szCs w:val="24"/>
                    <w:u w:val="single"/>
                  </w:rPr>
                </w:pPr>
                <w:r>
                  <w:rPr>
                    <w:i/>
                    <w:iCs/>
                    <w:szCs w:val="24"/>
                    <w:u w:val="single"/>
                  </w:rPr>
                  <w:t>Rezultato vertinimo kriterijai:</w:t>
                </w:r>
              </w:p>
              <w:p>
                <w:pPr>
                  <w:rPr>
                    <w:sz w:val="10"/>
                    <w:szCs w:val="10"/>
                  </w:rPr>
                </w:pPr>
              </w:p>
              <w:p>
                <w:pPr>
                  <w:rPr>
                    <w:szCs w:val="24"/>
                  </w:rPr>
                </w:pPr>
                <w:r>
                  <w:rPr>
                    <w:szCs w:val="24"/>
                    <w:lang w:val="en-US"/>
                  </w:rPr>
                  <w:t>gyventojų įtraukimas į sveikatinimo ir sportinę veiklą, siekiant, kad dalyvautų ne mažiau, kaip 40 proc. tos pačios lyties asmenų, asmenimis</w:t>
                </w:r>
                <w:r>
                  <w:rPr>
                    <w:sz w:val="32"/>
                    <w:szCs w:val="24"/>
                    <w:lang w:val="en-US"/>
                  </w:rPr>
                  <w:t xml:space="preserve"> </w:t>
                </w:r>
                <w:r>
                  <w:rPr>
                    <w:szCs w:val="24"/>
                    <w:lang w:val="en-US"/>
                  </w:rPr>
                  <w:t>– 1650.</w:t>
                </w:r>
              </w:p>
            </w:tc>
          </w:tr>
          <w:tr>
            <w:trPr>
              <w:trHeight w:val="422"/>
            </w:trPr>
            <w:tc>
              <w:tcPr>
                <w:tcW w:w="2802" w:type="dxa"/>
                <w:gridSpan w:val="2"/>
                <w:shd w:val="clear" w:color="auto" w:fill="auto"/>
                <w:vAlign w:val="center"/>
              </w:tcPr>
              <w:p>
                <w:pPr>
                  <w:rPr>
                    <w:b/>
                    <w:szCs w:val="24"/>
                  </w:rPr>
                </w:pPr>
                <w:r>
                  <w:rPr>
                    <w:b/>
                    <w:szCs w:val="24"/>
                  </w:rPr>
                  <w:t>Programos tikslas</w:t>
                </w:r>
              </w:p>
            </w:tc>
            <w:tc>
              <w:tcPr>
                <w:tcW w:w="5386" w:type="dxa"/>
                <w:shd w:val="clear" w:color="auto" w:fill="auto"/>
                <w:vAlign w:val="center"/>
              </w:tcPr>
              <w:p>
                <w:pPr>
                  <w:jc w:val="both"/>
                  <w:rPr>
                    <w:b/>
                    <w:bCs/>
                    <w:szCs w:val="24"/>
                  </w:rPr>
                </w:pPr>
                <w:r>
                  <w:rPr>
                    <w:b/>
                    <w:bCs/>
                    <w:szCs w:val="24"/>
                  </w:rPr>
                  <w:t>Sudaryti sąlygas formuotis jauno žmogaus asmenybei</w:t>
                </w:r>
              </w:p>
            </w:tc>
            <w:tc>
              <w:tcPr>
                <w:tcW w:w="992" w:type="dxa"/>
                <w:shd w:val="clear" w:color="auto" w:fill="auto"/>
                <w:vAlign w:val="center"/>
              </w:tcPr>
              <w:p>
                <w:pPr>
                  <w:jc w:val="center"/>
                  <w:rPr>
                    <w:b/>
                    <w:szCs w:val="24"/>
                  </w:rPr>
                </w:pPr>
                <w:r>
                  <w:rPr>
                    <w:b/>
                    <w:szCs w:val="24"/>
                  </w:rPr>
                  <w:t>Kodas</w:t>
                </w:r>
              </w:p>
            </w:tc>
            <w:tc>
              <w:tcPr>
                <w:tcW w:w="851" w:type="dxa"/>
                <w:shd w:val="clear" w:color="auto" w:fill="auto"/>
                <w:vAlign w:val="center"/>
              </w:tcPr>
              <w:p>
                <w:pPr>
                  <w:jc w:val="center"/>
                  <w:rPr>
                    <w:b/>
                    <w:bCs/>
                    <w:szCs w:val="24"/>
                  </w:rPr>
                </w:pPr>
                <w:r>
                  <w:rPr>
                    <w:b/>
                    <w:bCs/>
                    <w:szCs w:val="24"/>
                  </w:rPr>
                  <w:t>06</w:t>
                </w:r>
              </w:p>
            </w:tc>
          </w:tr>
          <w:tr>
            <w:trPr>
              <w:trHeight w:val="606"/>
            </w:trPr>
            <w:tc>
              <w:tcPr>
                <w:tcW w:w="10031" w:type="dxa"/>
                <w:gridSpan w:val="5"/>
                <w:shd w:val="clear" w:color="auto" w:fill="auto"/>
              </w:tcPr>
              <w:p>
                <w:pPr>
                  <w:rPr>
                    <w:sz w:val="10"/>
                    <w:szCs w:val="10"/>
                  </w:rPr>
                </w:pPr>
              </w:p>
              <w:p>
                <w:pPr>
                  <w:jc w:val="both"/>
                  <w:rPr>
                    <w:szCs w:val="24"/>
                  </w:rPr>
                </w:pPr>
                <w:r>
                  <w:rPr>
                    <w:b/>
                    <w:bCs/>
                    <w:szCs w:val="24"/>
                  </w:rPr>
                  <w:t>Tikslo įgyvendinimo aprašymas:</w:t>
                </w:r>
                <w:r>
                  <w:rPr>
                    <w:bCs/>
                    <w:szCs w:val="24"/>
                  </w:rPr>
                  <w:t xml:space="preserve"> </w:t>
                </w:r>
                <w:r>
                  <w:rPr>
                    <w:szCs w:val="24"/>
                    <w:lang w:val="en-US"/>
                  </w:rPr>
                  <w:t>sparčiai kintant visuomenei, visuomenės gyvenimui, kinta ir švietimas, jo planavimas ir prieinamumas kiekvienam asmeniui, suteikiant kuo palankiausias galimybes ir sąlygas, mokinių užimtumui. Mokinių užimtumui vasaros metu, taip pat popamokinėje veikloje ir renginiuose kurie vykdomi per metus. Siekiama kiekvienam asmeniui suteikti kuo palankiausias galimybes ir sąlygas, mokinių užimtumui vasaros metu, taip pat popamokinėje veikloje ir renginiuose kurie vykdomi per mokslo metus. Į efektyvų mokinių užimtumo programos įgyvendinimą stengiamasi įtraukti kaip įmanoma daugiau institucijų, ugdymo įstaigų, organizacijų. Taip pat juridinių ir fizinių asmenų. Vaikų užimtumo projektų finansavimas prisideda prie žalingų įpročių prevencijos, padeda vaikams lavinti socialinius įgūdžius, plečia vaikų pasaulėžiūrą, papildo formalųjį švietimą.</w:t>
                </w:r>
              </w:p>
              <w:p>
                <w:pPr>
                  <w:ind w:firstLine="567"/>
                  <w:rPr>
                    <w:bCs/>
                    <w:szCs w:val="24"/>
                  </w:rPr>
                </w:pPr>
                <w:r>
                  <w:rPr>
                    <w:bCs/>
                    <w:szCs w:val="24"/>
                  </w:rPr>
                  <w:t>Šiam tikslui įgyvendinti iškeliami uždaviniai:</w:t>
                </w:r>
              </w:p>
              <w:p>
                <w:pPr>
                  <w:rPr>
                    <w:sz w:val="10"/>
                    <w:szCs w:val="10"/>
                  </w:rPr>
                </w:pPr>
              </w:p>
              <w:p>
                <w:pPr>
                  <w:jc w:val="both"/>
                  <w:rPr>
                    <w:b/>
                    <w:bCs/>
                    <w:szCs w:val="24"/>
                  </w:rPr>
                </w:pPr>
                <w:r>
                  <w:rPr>
                    <w:b/>
                    <w:bCs/>
                    <w:szCs w:val="24"/>
                  </w:rPr>
                  <w:t>01 uždavinys. Užtikrinti moksleivių užimtumo projektų finansavimą, nediskriminuojant jų amžiaus, socialinės padėties ir lyties pagrindu.</w:t>
                </w:r>
              </w:p>
              <w:p>
                <w:pPr>
                  <w:rPr>
                    <w:sz w:val="10"/>
                    <w:szCs w:val="10"/>
                  </w:rPr>
                </w:pPr>
              </w:p>
              <w:p>
                <w:pPr>
                  <w:jc w:val="both"/>
                  <w:rPr>
                    <w:szCs w:val="24"/>
                    <w:lang w:val="en-US"/>
                  </w:rPr>
                </w:pPr>
                <w:r>
                  <w:rPr>
                    <w:b/>
                    <w:bCs/>
                    <w:iCs/>
                    <w:szCs w:val="24"/>
                    <w:lang w:val="en-US"/>
                  </w:rPr>
                  <w:t xml:space="preserve">01 priemonė. </w:t>
                </w:r>
                <w:r>
                  <w:rPr>
                    <w:bCs/>
                    <w:iCs/>
                    <w:szCs w:val="24"/>
                    <w:lang w:val="en-US"/>
                  </w:rPr>
                  <w:t xml:space="preserve">Moksleivių užimtumo projektų finansavimas. </w:t>
                </w:r>
                <w:r>
                  <w:rPr>
                    <w:szCs w:val="24"/>
                    <w:lang w:val="en-US"/>
                  </w:rPr>
                  <w:t>Šis uždavinys realizuojamas, suteikiant kuo palankesnes galimybes ir sąlygas mokinių užimtumui: vasaros metu, taip pat popamokinėje veikloje ir renginiuose, kurie vykdomi per metus užimant ne mažiau, kaip 40 proc. tos pačios lyties asmenų.</w:t>
                </w:r>
              </w:p>
              <w:p>
                <w:pPr>
                  <w:rPr>
                    <w:sz w:val="10"/>
                    <w:szCs w:val="10"/>
                  </w:rPr>
                </w:pPr>
              </w:p>
              <w:p>
                <w:pPr>
                  <w:jc w:val="both"/>
                  <w:rPr>
                    <w:i/>
                    <w:iCs/>
                    <w:szCs w:val="24"/>
                    <w:u w:val="single"/>
                  </w:rPr>
                </w:pPr>
                <w:r>
                  <w:rPr>
                    <w:i/>
                    <w:iCs/>
                    <w:szCs w:val="24"/>
                    <w:u w:val="single"/>
                  </w:rPr>
                  <w:t>Rezultato vertinimo kriterijai:</w:t>
                </w:r>
              </w:p>
              <w:p>
                <w:pPr>
                  <w:rPr>
                    <w:sz w:val="10"/>
                    <w:szCs w:val="10"/>
                  </w:rPr>
                </w:pPr>
              </w:p>
              <w:p>
                <w:pPr>
                  <w:jc w:val="both"/>
                  <w:rPr>
                    <w:szCs w:val="24"/>
                  </w:rPr>
                </w:pPr>
                <w:r>
                  <w:rPr>
                    <w:szCs w:val="24"/>
                    <w:lang w:val="en-US"/>
                  </w:rPr>
                  <w:t>efektyvų mokinių užimtumo programos įgyvendinimo vykdančios institucijos, įstaigos, organizacijos, kiti fiziniai ir juridiniai asmenys, vnt -13</w:t>
                </w:r>
              </w:p>
              <w:p>
                <w:pPr>
                  <w:rPr>
                    <w:sz w:val="10"/>
                    <w:szCs w:val="10"/>
                  </w:rPr>
                </w:pPr>
              </w:p>
              <w:p>
                <w:pPr>
                  <w:rPr>
                    <w:b/>
                    <w:bCs/>
                    <w:szCs w:val="24"/>
                  </w:rPr>
                </w:pPr>
                <w:r>
                  <w:rPr>
                    <w:b/>
                    <w:bCs/>
                    <w:szCs w:val="24"/>
                  </w:rPr>
                  <w:t>02 uždavinys. Užtikrinti moksleivių konkurencingumą, įtraukiant į darbo rinką.</w:t>
                </w:r>
              </w:p>
              <w:p>
                <w:pPr>
                  <w:rPr>
                    <w:sz w:val="10"/>
                    <w:szCs w:val="10"/>
                  </w:rPr>
                </w:pPr>
              </w:p>
              <w:p>
                <w:pPr>
                  <w:ind w:firstLine="567"/>
                  <w:jc w:val="both"/>
                  <w:rPr>
                    <w:rFonts w:eastAsia="Calibri"/>
                    <w:szCs w:val="24"/>
                  </w:rPr>
                </w:pPr>
                <w:r>
                  <w:rPr>
                    <w:b/>
                    <w:bCs/>
                    <w:szCs w:val="24"/>
                  </w:rPr>
                  <w:t>01 priemonė.</w:t>
                </w:r>
                <w:r>
                  <w:rPr>
                    <w:bCs/>
                    <w:szCs w:val="24"/>
                  </w:rPr>
                  <w:t xml:space="preserve"> </w:t>
                </w:r>
                <w:r>
                  <w:rPr>
                    <w:szCs w:val="24"/>
                    <w:lang w:val="en-US"/>
                  </w:rPr>
                  <w:t>Vairavimo mokymo dalinis kompensavimas. Šia priemone siekiama ugdymo įstaigų, kurių savininkė yra Alytaus rajono savivaldybė, moksleiviams sudaryti sąlygas geriau įsitraukti į konkurencingą darbo rinką, didinant verslumą ir sudarant sąlygas formuotis jauno žmogaus asmenybei. Suteikiama galimybė įsigyti B kategorijos vairuotojo pažymėjimą, kompensuojant dalį jauno žmogaus patiriamų išlaidų. Dalinė kompensacija mokama švietimo įstaigose, kurių savininkė yra Alytaus rajono savivaldybė besimokantiems mokiniams, kurie įgijo vairuotojo pažymėjimą po savivaldybės tarybos sprendimo, numatančio teisę į dalinį vairavimo išlaidų kompensavimą, įsigaliojimo dienos t.y. nuo 2018-12-11. Šią strateginio plano nuostatą detalizuoja savivaldybės administracijos direktoriaus patvirtintas tvarkos aprašas. Prašymai teikiami Alytaus rajono savivaldybės administracijos direktoriui.</w:t>
                </w:r>
              </w:p>
            </w:tc>
          </w:tr>
          <w:tr>
            <w:trPr>
              <w:trHeight w:val="558"/>
            </w:trPr>
            <w:tc>
              <w:tcPr>
                <w:tcW w:w="2802" w:type="dxa"/>
                <w:gridSpan w:val="2"/>
                <w:shd w:val="clear" w:color="auto" w:fill="auto"/>
                <w:vAlign w:val="center"/>
              </w:tcPr>
              <w:p>
                <w:pPr>
                  <w:rPr>
                    <w:b/>
                    <w:szCs w:val="24"/>
                  </w:rPr>
                </w:pPr>
                <w:r>
                  <w:rPr>
                    <w:b/>
                    <w:szCs w:val="24"/>
                  </w:rPr>
                  <w:t>Programos tikslas</w:t>
                </w:r>
              </w:p>
            </w:tc>
            <w:tc>
              <w:tcPr>
                <w:tcW w:w="5386" w:type="dxa"/>
                <w:shd w:val="clear" w:color="auto" w:fill="auto"/>
                <w:vAlign w:val="center"/>
              </w:tcPr>
              <w:p>
                <w:pPr>
                  <w:jc w:val="both"/>
                  <w:rPr>
                    <w:b/>
                    <w:bCs/>
                    <w:szCs w:val="24"/>
                  </w:rPr>
                </w:pPr>
                <w:r>
                  <w:rPr>
                    <w:b/>
                    <w:bCs/>
                    <w:szCs w:val="24"/>
                  </w:rPr>
                  <w:t xml:space="preserve">Efektyvios darbo aplinkos užtikrinimas Švietimo, kultūros ir sporto skyriuje </w:t>
                </w:r>
              </w:p>
            </w:tc>
            <w:tc>
              <w:tcPr>
                <w:tcW w:w="992" w:type="dxa"/>
                <w:shd w:val="clear" w:color="auto" w:fill="auto"/>
                <w:vAlign w:val="center"/>
              </w:tcPr>
              <w:p>
                <w:pPr>
                  <w:jc w:val="center"/>
                  <w:rPr>
                    <w:b/>
                    <w:szCs w:val="24"/>
                  </w:rPr>
                </w:pPr>
                <w:r>
                  <w:rPr>
                    <w:b/>
                    <w:szCs w:val="24"/>
                  </w:rPr>
                  <w:t>Kodas</w:t>
                </w:r>
              </w:p>
            </w:tc>
            <w:tc>
              <w:tcPr>
                <w:tcW w:w="851" w:type="dxa"/>
                <w:shd w:val="clear" w:color="auto" w:fill="auto"/>
                <w:vAlign w:val="center"/>
              </w:tcPr>
              <w:p>
                <w:pPr>
                  <w:jc w:val="center"/>
                  <w:rPr>
                    <w:b/>
                    <w:bCs/>
                    <w:szCs w:val="24"/>
                  </w:rPr>
                </w:pPr>
                <w:r>
                  <w:rPr>
                    <w:b/>
                    <w:bCs/>
                    <w:szCs w:val="24"/>
                  </w:rPr>
                  <w:t>07</w:t>
                </w:r>
              </w:p>
            </w:tc>
          </w:tr>
          <w:tr>
            <w:trPr>
              <w:trHeight w:val="606"/>
            </w:trPr>
            <w:tc>
              <w:tcPr>
                <w:tcW w:w="10031" w:type="dxa"/>
                <w:gridSpan w:val="5"/>
                <w:shd w:val="clear" w:color="auto" w:fill="auto"/>
              </w:tcPr>
              <w:p>
                <w:pPr>
                  <w:rPr>
                    <w:sz w:val="10"/>
                    <w:szCs w:val="10"/>
                  </w:rPr>
                </w:pPr>
              </w:p>
              <w:p>
                <w:pPr>
                  <w:tabs>
                    <w:tab w:val="left" w:pos="0"/>
                    <w:tab w:val="left" w:pos="1620"/>
                    <w:tab w:val="left" w:pos="1800"/>
                  </w:tabs>
                  <w:jc w:val="both"/>
                  <w:rPr>
                    <w:szCs w:val="24"/>
                  </w:rPr>
                </w:pPr>
                <w:r>
                  <w:rPr>
                    <w:b/>
                    <w:bCs/>
                    <w:szCs w:val="24"/>
                  </w:rPr>
                  <w:t xml:space="preserve">Tikslo įgyvendinimo aprašymas: </w:t>
                </w:r>
                <w:r>
                  <w:rPr>
                    <w:szCs w:val="24"/>
                    <w:lang w:val="en-US"/>
                  </w:rPr>
                  <w:t xml:space="preserve">Šiuo tikslu siekiama įgyvendinti švietimo specialistų išlaikymą. Švietimo, kultūros ir sporto skyrius vykdo švietimo politiką rajone, įgyvendina Švietimo įstatymo ir kitų švietimo bei sporto teisės aktų nuostatas. Organizuoja, stebi ir tobulina vaikų, jaunimo ir suaugusiųjų bendrąjį ugdymą, profesinį mokymą, mokinių, turinčių specialiųjų ugdymosi poreikių, ugdymą, ikimokyklinį ir priešmokyklinį  ugdymą,  kitą  neformalųjį  vaikų  švietimą    ir neformalųjį  suaugusiųjų  švietimą, švietimo  pagalbos teikimą, vaikų ir jaunimo užimtumą, savivaldybei pavaldžių sporto įstaigų veiklą. Sudaro sąlygas rajono žmonėms aktyviai dalyvauti kūno kultūros ir sporto veikloje. Padeda ugdyti teigiamą rajono bendruomenės požiūrį į sveikatą, kaip didžiausią vertybę, padeda tenkinti asmenybės poreikius.</w:t>
                </w:r>
              </w:p>
              <w:p>
                <w:pPr>
                  <w:rPr>
                    <w:sz w:val="10"/>
                    <w:szCs w:val="10"/>
                  </w:rPr>
                </w:pPr>
              </w:p>
              <w:p>
                <w:pPr>
                  <w:jc w:val="both"/>
                  <w:rPr>
                    <w:b/>
                    <w:bCs/>
                    <w:szCs w:val="24"/>
                  </w:rPr>
                </w:pPr>
                <w:r>
                  <w:rPr>
                    <w:b/>
                    <w:bCs/>
                    <w:szCs w:val="24"/>
                  </w:rPr>
                  <w:t>01 uždavinys. Sudaryti tinkamas sąlygas darbo aplinkos kūrimui Alytaus rajono savivaldybės skyriui, kuruojančiam švietimą.</w:t>
                </w:r>
              </w:p>
              <w:p>
                <w:pPr>
                  <w:rPr>
                    <w:sz w:val="10"/>
                    <w:szCs w:val="10"/>
                  </w:rPr>
                </w:pPr>
              </w:p>
              <w:p>
                <w:pPr>
                  <w:jc w:val="both"/>
                  <w:rPr>
                    <w:szCs w:val="24"/>
                    <w:lang w:val="en-US"/>
                  </w:rPr>
                </w:pPr>
                <w:r>
                  <w:rPr>
                    <w:b/>
                    <w:szCs w:val="24"/>
                    <w:lang w:val="en-US"/>
                  </w:rPr>
                  <w:t>01 priemonė.</w:t>
                </w:r>
                <w:r>
                  <w:rPr>
                    <w:szCs w:val="24"/>
                    <w:lang w:val="en-US"/>
                  </w:rPr>
                  <w:t xml:space="preserve"> Švietimo darbuotojų  veiklos organizavimas. Realizuojant šį uždavinį siekiama užtikrinti darbuotojams, kuruojantiems švietimą ir sportą normalias darbo sąlygas, aprūpinant reikiamomis priemonėmis, užtikrinant, kad aplinka atitiktų higienos normas. Prie institucijos išlaikymo (valdymo) išlaidų priskiriama: priskaičiuotas darbo užmokestis ir socialinio draudimo įmokos, prekių ir paslaugų naudojimo išlaidos (komunalinės, ryšių paslaugos, transporto išlaikymas, spaudiniai, komandiruotės, kvalifikacijos kėlimas, materialiojo ir nematerialiojo turto nuoma ir kt.), taip pat darbo vietų įkūrimo, administracinių pastatų išlaikymo (įskaitant ir remontą) sąnaudos, darbdavių socialinės pašalpos,  materialiojo ir nematerialiojo turto įsigijimo išlaidos.</w:t>
                </w:r>
              </w:p>
              <w:p>
                <w:pPr>
                  <w:rPr>
                    <w:sz w:val="10"/>
                    <w:szCs w:val="10"/>
                  </w:rPr>
                </w:pPr>
              </w:p>
              <w:p>
                <w:pPr>
                  <w:jc w:val="both"/>
                  <w:rPr>
                    <w:i/>
                    <w:iCs/>
                    <w:szCs w:val="24"/>
                    <w:u w:val="single"/>
                  </w:rPr>
                </w:pPr>
                <w:r>
                  <w:rPr>
                    <w:i/>
                    <w:iCs/>
                    <w:szCs w:val="24"/>
                    <w:u w:val="single"/>
                  </w:rPr>
                  <w:t>Rezultato vertinimo kriterijai:</w:t>
                </w:r>
              </w:p>
              <w:p>
                <w:pPr>
                  <w:rPr>
                    <w:sz w:val="10"/>
                    <w:szCs w:val="10"/>
                  </w:rPr>
                </w:pPr>
              </w:p>
              <w:p>
                <w:pPr>
                  <w:ind w:firstLine="62"/>
                  <w:jc w:val="both"/>
                  <w:rPr>
                    <w:szCs w:val="24"/>
                  </w:rPr>
                </w:pPr>
                <w:r>
                  <w:rPr>
                    <w:szCs w:val="24"/>
                    <w:lang w:val="en-US"/>
                  </w:rPr>
                  <w:t>mokytojų ir kitų pedagoginių darbuotojų skaičius, 210 asmenimis.</w:t>
                </w:r>
              </w:p>
            </w:tc>
          </w:tr>
          <w:tr>
            <w:trPr>
              <w:trHeight w:val="274"/>
            </w:trPr>
            <w:tc>
              <w:tcPr>
                <w:tcW w:w="2436" w:type="dxa"/>
                <w:shd w:val="clear" w:color="auto" w:fill="auto"/>
                <w:vAlign w:val="center"/>
              </w:tcPr>
              <w:p>
                <w:pPr>
                  <w:rPr>
                    <w:b/>
                    <w:sz w:val="22"/>
                    <w:szCs w:val="24"/>
                  </w:rPr>
                </w:pPr>
                <w:r>
                  <w:rPr>
                    <w:b/>
                    <w:szCs w:val="24"/>
                  </w:rPr>
                  <w:t>Programos tikslas</w:t>
                </w:r>
              </w:p>
            </w:tc>
            <w:tc>
              <w:tcPr>
                <w:tcW w:w="5752" w:type="dxa"/>
                <w:gridSpan w:val="2"/>
                <w:shd w:val="clear" w:color="auto" w:fill="auto"/>
                <w:vAlign w:val="center"/>
              </w:tcPr>
              <w:p>
                <w:pPr>
                  <w:jc w:val="both"/>
                  <w:rPr>
                    <w:b/>
                    <w:szCs w:val="24"/>
                  </w:rPr>
                </w:pPr>
                <w:r>
                  <w:rPr>
                    <w:b/>
                    <w:bCs/>
                    <w:szCs w:val="24"/>
                  </w:rPr>
                  <w:t>Mokymosi visą gyvenimą koncepcijos skatinimas ir plėtojimas, didinant suaugusiųjų neformalaus ugdymo galimybių prieinamumą, vadovaujantis lyčių lygybės ir nediskriminavimo principais</w:t>
                </w:r>
              </w:p>
            </w:tc>
            <w:tc>
              <w:tcPr>
                <w:tcW w:w="992" w:type="dxa"/>
                <w:shd w:val="clear" w:color="auto" w:fill="auto"/>
                <w:vAlign w:val="center"/>
              </w:tcPr>
              <w:p>
                <w:pPr>
                  <w:jc w:val="center"/>
                  <w:rPr>
                    <w:b/>
                    <w:szCs w:val="24"/>
                  </w:rPr>
                </w:pPr>
                <w:r>
                  <w:rPr>
                    <w:b/>
                    <w:szCs w:val="24"/>
                  </w:rPr>
                  <w:t>Kodas</w:t>
                </w:r>
              </w:p>
            </w:tc>
            <w:tc>
              <w:tcPr>
                <w:tcW w:w="851" w:type="dxa"/>
                <w:shd w:val="clear" w:color="auto" w:fill="auto"/>
                <w:vAlign w:val="center"/>
              </w:tcPr>
              <w:p>
                <w:pPr>
                  <w:jc w:val="center"/>
                  <w:rPr>
                    <w:b/>
                    <w:bCs/>
                    <w:szCs w:val="24"/>
                  </w:rPr>
                </w:pPr>
                <w:r>
                  <w:rPr>
                    <w:b/>
                    <w:bCs/>
                    <w:szCs w:val="24"/>
                  </w:rPr>
                  <w:t>08</w:t>
                </w:r>
              </w:p>
            </w:tc>
          </w:tr>
          <w:tr>
            <w:trPr>
              <w:trHeight w:val="274"/>
            </w:trPr>
            <w:tc>
              <w:tcPr>
                <w:tcW w:w="10031" w:type="dxa"/>
                <w:gridSpan w:val="5"/>
                <w:shd w:val="clear" w:color="auto" w:fill="auto"/>
                <w:vAlign w:val="center"/>
              </w:tcPr>
              <w:p>
                <w:pPr>
                  <w:tabs>
                    <w:tab w:val="left" w:pos="0"/>
                    <w:tab w:val="left" w:pos="1620"/>
                    <w:tab w:val="left" w:pos="1800"/>
                  </w:tabs>
                  <w:spacing w:line="276" w:lineRule="auto"/>
                  <w:jc w:val="both"/>
                  <w:rPr>
                    <w:szCs w:val="24"/>
                    <w:lang w:val="en-US"/>
                  </w:rPr>
                </w:pPr>
                <w:r>
                  <w:rPr>
                    <w:b/>
                    <w:bCs/>
                    <w:szCs w:val="24"/>
                  </w:rPr>
                  <w:t xml:space="preserve">Tikslo įgyvendinimo aprašymas: </w:t>
                </w:r>
                <w:r>
                  <w:rPr>
                    <w:szCs w:val="24"/>
                    <w:lang w:val="en-US"/>
                  </w:rPr>
                  <w:t>Nuolat kintančio pasaulio kontekste asmeniui šiandien jau nebeužtenka kartą įgytos kvalifikacijos, prisiimto socialinio vaidmens, nepakanka to, kas buvo išmokta mokykloje, žmogus turi gebėti reaguoti į pokyčius, prisitaikyti prie jų, mokytis ir formalioje, ir neformalioje, ir informalioje aplinkoje ir visą savo gyvenimą .Mokymas ir švietimas suteikia žmogui galimybių prisitaikyti prie besikeičiančios aplinkos ir naujų technologijų. Šiuolaikinis gyvenimas teikia daugiau galimybių ir alternatyvų. Žmogui turi būti sudarytos sąlygos nuolat mokytis. Todėl švietimo ir mokymo sistemos turi keistis ir suteikti galimybes žmonėms mokytis ir šviestis visą gyvenimą. Visuomenė turi priprasti ir prisitaikyti prie poreikio nuolat tobulinti žinias – nuolatinis patirties įgijimas ir galimybė asmenims ir organizacijoms nuolat mokytis ir tobulintis yra svarbiausia vertybė ateičiai. Tuo tikslu kokybiško visą gyvenimą trunkančio mokymo ir mokymosi galimybės (prieinamumas) yra būtinos visiems žmonėms, nepaisant jų užsiėmimo ir aplinkybių.</w:t>
                </w:r>
              </w:p>
              <w:p>
                <w:pPr>
                  <w:tabs>
                    <w:tab w:val="left" w:pos="0"/>
                    <w:tab w:val="left" w:pos="1620"/>
                    <w:tab w:val="left" w:pos="1800"/>
                  </w:tabs>
                  <w:spacing w:line="276" w:lineRule="auto"/>
                  <w:jc w:val="both"/>
                  <w:rPr>
                    <w:szCs w:val="24"/>
                    <w:lang w:val="en-US"/>
                  </w:rPr>
                </w:pPr>
                <w:r>
                  <w:rPr>
                    <w:szCs w:val="24"/>
                    <w:lang w:val="en-US"/>
                  </w:rPr>
                  <w:t>Alytaus rajono savivaldybėje trečdalis gyventojų – vyresniojo amžiaus, dažnai jau nebeaktyvūs darbo rinkos atstovai, todėl mokymosi visą gyvenimą koncepcijos plėtojimas įvairiomis priemonėmis, ypač taikant neformalaus suaugusiųjų švietimo priemones, užtikrintų jų didesnį aktyvumą socialiniame gyvenime, galimai paskatintų ilgiau likti darbo rinkoje, didintų savanorystės, patirties sklaidos ir pasitenkinimo gyvenimu (plačiąją prasme) galimybes.</w:t>
                </w:r>
              </w:p>
              <w:p>
                <w:pPr>
                  <w:ind w:firstLine="567"/>
                  <w:jc w:val="both"/>
                  <w:rPr>
                    <w:b/>
                    <w:bCs/>
                    <w:sz w:val="22"/>
                    <w:szCs w:val="24"/>
                  </w:rPr>
                </w:pPr>
                <w:r>
                  <w:rPr>
                    <w:szCs w:val="24"/>
                    <w:lang w:val="en-US"/>
                  </w:rPr>
                  <w:t xml:space="preserve">Siekiant mažinti bet kokias diskriminavimo amžiaus, socialinės padėties ar lyties galimybes, plėtojant suaugusiųjų neformalus ugdymo programas ir jas įgyvendinant bus remiamasi pamatiniais nediskriminavimo amžiaus, socialinės  padėties ir lyties principais ir nuostatomis.</w:t>
                </w:r>
              </w:p>
              <w:p>
                <w:pPr>
                  <w:jc w:val="both"/>
                  <w:rPr>
                    <w:b/>
                    <w:szCs w:val="24"/>
                    <w:lang w:val="en-US"/>
                  </w:rPr>
                </w:pPr>
              </w:p>
              <w:p>
                <w:pPr>
                  <w:jc w:val="both"/>
                  <w:rPr>
                    <w:b/>
                    <w:bCs/>
                    <w:szCs w:val="24"/>
                    <w:lang w:val="en-US"/>
                  </w:rPr>
                </w:pPr>
                <w:r>
                  <w:rPr>
                    <w:b/>
                    <w:szCs w:val="24"/>
                    <w:lang w:val="en-US"/>
                  </w:rPr>
                  <w:t xml:space="preserve">01 priemonė. </w:t>
                </w:r>
                <w:r>
                  <w:rPr>
                    <w:bCs/>
                    <w:szCs w:val="24"/>
                    <w:lang w:val="en-US"/>
                  </w:rPr>
                  <w:t>Plėtoti ir padidinti galimybes gyventojams, nediskriminuojant jų amžiaus, socialinės padėties, gyvenamosios vietos ir lyties pagrindu, gauti socialiai teisingas, tikslingas ir kryptingas neformalaus suaugusiųjų švietimo priemones ir paslaugas.</w:t>
                </w:r>
                <w:r>
                  <w:rPr>
                    <w:szCs w:val="24"/>
                    <w:lang w:val="en-US"/>
                  </w:rPr>
                  <w:t xml:space="preserve"> Mokymosi visą gyvenimą idėja laikytina vienu svarbiausių švietimo tikslų ir laukiamu rezultatu. Žmogus turi nuolat keistis, kad galėtų gyventi prasmingą asmeninį, sėkmingą ir visavertį visuomeninį ir profesinį gyvenimą, turi būti pasirengęs imtis naujos veiklos, gebėti dirbti su nuolat</w:t>
                </w:r>
                <w:r>
                  <w:rPr>
                    <w:b/>
                    <w:bCs/>
                    <w:szCs w:val="24"/>
                    <w:lang w:val="en-US"/>
                  </w:rPr>
                  <w:t xml:space="preserve"> </w:t>
                </w:r>
                <w:r>
                  <w:rPr>
                    <w:szCs w:val="24"/>
                    <w:lang w:val="en-US"/>
                  </w:rPr>
                  <w:t>atsinaujinančia ir gausėjančia informacija. Realizuojant šį uždavinį siekiama užtikrinti neformalaus suaugusiųjų švietimo paslaugas savivaldybės gyventojams taip, kad jie nebūtų diskriminuojami amžiaus, gyvenamosios vietos, socialinės padėties ir lyties atžvilgiu.</w:t>
                </w:r>
              </w:p>
              <w:p>
                <w:pPr>
                  <w:jc w:val="both"/>
                  <w:rPr>
                    <w:szCs w:val="24"/>
                    <w:lang w:val="en-US"/>
                  </w:rPr>
                </w:pPr>
                <w:r>
                  <w:rPr>
                    <w:szCs w:val="24"/>
                    <w:lang w:val="en-US"/>
                  </w:rPr>
                  <w:t>Įgyvendinant uždavinį bus didinamos tikslinės grupės teorinės žinios ir praktiniai įgūdžiai (teoriniai, praktiniai užsiėmimai, užsiėmimų / mokymų ciklai), skatinamas aktyvus socialinis, kultūrinis gyvenimas (išvykos, ekskursijos, šventės), dalyvavimas bendruomeninėje ir savanoriškoje veikloje, kūrybiškumo ir savirealizacijos paieškos bei šių procesų skatinimas.</w:t>
                </w:r>
              </w:p>
            </w:tc>
          </w:tr>
          <w:tr>
            <w:trPr>
              <w:trHeight w:val="274"/>
            </w:trPr>
            <w:tc>
              <w:tcPr>
                <w:tcW w:w="2436" w:type="dxa"/>
                <w:shd w:val="clear" w:color="auto" w:fill="auto"/>
                <w:vAlign w:val="center"/>
              </w:tcPr>
              <w:p>
                <w:pPr>
                  <w:rPr>
                    <w:b/>
                    <w:bCs/>
                    <w:szCs w:val="24"/>
                  </w:rPr>
                </w:pPr>
                <w:r>
                  <w:rPr>
                    <w:b/>
                    <w:szCs w:val="24"/>
                  </w:rPr>
                  <w:t>Programos tikslas</w:t>
                </w:r>
              </w:p>
            </w:tc>
            <w:tc>
              <w:tcPr>
                <w:tcW w:w="5752" w:type="dxa"/>
                <w:gridSpan w:val="2"/>
                <w:shd w:val="clear" w:color="auto" w:fill="auto"/>
                <w:vAlign w:val="center"/>
              </w:tcPr>
              <w:p>
                <w:pPr>
                  <w:jc w:val="both"/>
                  <w:rPr>
                    <w:b/>
                    <w:bCs/>
                    <w:szCs w:val="24"/>
                  </w:rPr>
                </w:pPr>
                <w:r>
                  <w:rPr>
                    <w:b/>
                    <w:szCs w:val="24"/>
                  </w:rPr>
                  <w:t>Remti Lietuvos Respublikos universitetinėse aukštosiose mokyklose, kolegijose studijuojančius asmenis, profesinių mokyklų mokinius</w:t>
                </w:r>
              </w:p>
            </w:tc>
            <w:tc>
              <w:tcPr>
                <w:tcW w:w="992" w:type="dxa"/>
                <w:shd w:val="clear" w:color="auto" w:fill="auto"/>
                <w:vAlign w:val="center"/>
              </w:tcPr>
              <w:p>
                <w:pPr>
                  <w:jc w:val="center"/>
                  <w:rPr>
                    <w:b/>
                    <w:bCs/>
                    <w:szCs w:val="24"/>
                  </w:rPr>
                </w:pPr>
                <w:r>
                  <w:rPr>
                    <w:b/>
                    <w:szCs w:val="24"/>
                  </w:rPr>
                  <w:t>Kodas</w:t>
                </w:r>
              </w:p>
            </w:tc>
            <w:tc>
              <w:tcPr>
                <w:tcW w:w="851" w:type="dxa"/>
                <w:shd w:val="clear" w:color="auto" w:fill="auto"/>
                <w:vAlign w:val="center"/>
              </w:tcPr>
              <w:p>
                <w:pPr>
                  <w:jc w:val="center"/>
                  <w:rPr>
                    <w:b/>
                    <w:bCs/>
                    <w:szCs w:val="24"/>
                  </w:rPr>
                </w:pPr>
                <w:r>
                  <w:rPr>
                    <w:b/>
                    <w:bCs/>
                    <w:szCs w:val="24"/>
                  </w:rPr>
                  <w:t>09</w:t>
                </w:r>
              </w:p>
            </w:tc>
          </w:tr>
          <w:tr>
            <w:trPr>
              <w:trHeight w:val="471"/>
            </w:trPr>
            <w:tc>
              <w:tcPr>
                <w:tcW w:w="10031" w:type="dxa"/>
                <w:gridSpan w:val="5"/>
                <w:shd w:val="clear" w:color="auto" w:fill="auto"/>
              </w:tcPr>
              <w:p>
                <w:pPr>
                  <w:jc w:val="both"/>
                  <w:rPr>
                    <w:szCs w:val="24"/>
                    <w:lang w:eastAsia="lt-LT"/>
                  </w:rPr>
                </w:pPr>
                <w:r>
                  <w:rPr>
                    <w:b/>
                    <w:bCs/>
                    <w:szCs w:val="24"/>
                  </w:rPr>
                  <w:t>Tikslo įgyvendinimo aprašymas:</w:t>
                </w:r>
                <w:r>
                  <w:rPr>
                    <w:b/>
                    <w:bCs/>
                    <w:szCs w:val="24"/>
                    <w:lang w:eastAsia="lt-LT"/>
                  </w:rPr>
                  <w:t xml:space="preserve"> </w:t>
                </w:r>
                <w:r>
                  <w:rPr>
                    <w:bCs/>
                    <w:sz w:val="22"/>
                    <w:szCs w:val="24"/>
                    <w:lang w:eastAsia="lt-LT"/>
                  </w:rPr>
                  <w:t>r</w:t>
                </w:r>
                <w:r>
                  <w:rPr>
                    <w:rFonts w:cs="Tahoma"/>
                    <w:szCs w:val="24"/>
                    <w:lang w:eastAsia="lt-LT"/>
                  </w:rPr>
                  <w:t>emti Lietuvos Respublikos universitetinėse aukštosiose mokyklose, kolegijose pagal pagrindines dieninių studijų programas studijuojančius asmenis, profesinių mokyklų mokinius</w:t>
                </w:r>
                <w:r>
                  <w:rPr>
                    <w:rFonts w:cs="Tahoma"/>
                    <w:szCs w:val="24"/>
                    <w:lang w:val="en-US" w:eastAsia="lt-LT"/>
                  </w:rPr>
                  <w:t>.</w:t>
                </w:r>
              </w:p>
              <w:p>
                <w:pPr>
                  <w:jc w:val="both"/>
                  <w:rPr>
                    <w:szCs w:val="24"/>
                    <w:lang w:eastAsia="lt-LT"/>
                  </w:rPr>
                </w:pPr>
                <w:r>
                  <w:rPr>
                    <w:szCs w:val="24"/>
                    <w:lang w:eastAsia="lt-LT"/>
                  </w:rPr>
                  <w:t>Skiriamos paramos dydis nustatomas bazinės socialinės išmokos (BSI), patvirtintos Lietuvos Respublikos Vyriausybės, galiojančios sprendimo dėl paramos skyrimo priėmimo dieną, dydžiais: universitetų ir kolegijų studentams – iki 1 BSI dydžio per mėnesį, profesinio mokymo įstaigų  mokiniams – iki 0,5 BSI dydžio per mėnesį. Parama skiriama vieneriems mokslo metams (10 mėnesių) vieną kartą per kalendorinius metus.</w:t>
                </w:r>
              </w:p>
              <w:p>
                <w:pPr>
                  <w:jc w:val="both"/>
                  <w:rPr>
                    <w:szCs w:val="24"/>
                    <w:lang w:eastAsia="lt-LT"/>
                  </w:rPr>
                </w:pPr>
                <w:r>
                  <w:rPr>
                    <w:szCs w:val="24"/>
                    <w:lang w:eastAsia="lt-LT"/>
                  </w:rPr>
                  <w:t>Parama gali būti skiriama Alytaus rajono savivaldybėje gyvenamąją vietą deklaravusiems, ne vyresniems kaip 24-erių metų studentams ar profesinių  mokyklų mokiniams,  kurių dviejų semestrų (pusmečių) egzaminų  įvertinimo vidurkis ne mažesnis kaip 8,5 balai. Pirmenybė gauti paramą teikiama aukštesnį balą turintiems studentams ir mokiniams.</w:t>
                </w:r>
              </w:p>
              <w:p>
                <w:pPr>
                  <w:jc w:val="both"/>
                  <w:rPr>
                    <w:szCs w:val="24"/>
                    <w:lang w:eastAsia="lt-LT"/>
                  </w:rPr>
                </w:pPr>
                <w:r>
                  <w:rPr>
                    <w:szCs w:val="24"/>
                    <w:lang w:val="en-US" w:eastAsia="en-GB"/>
                  </w:rPr>
                  <w:t xml:space="preserve">Studentai ir mokiniai turi teisę į paramą, kai šeimos pajamos, tenkančios vienam šeimos nariui per mėnesį, yra ne didesnės kaip Lietuvos Respublikos Vyriausybės patvirtinta minimali mėnesinė alga (MMA) ir jei atitinka bent vieną iš šių sąlygų: yra neįgalūs, yra  iš daugiavaikių šeimų, jei šeimoje yra 2 ir daugiau studentų ar mokinių, yra iš šeimų, kurios turi teisę gauti socialinę pašalpą pagal Lietuvos Respublikos piniginės socialinės paramos nepasiturintiems gyventojams įstatymą, turi tik </w:t>
                </w:r>
                <w:r>
                  <w:rPr>
                    <w:szCs w:val="24"/>
                    <w:lang w:eastAsia="lt-LT"/>
                  </w:rPr>
                  <w:t>vieną  iš  tėvų,  vienas  iš  jų  miręs  ar tėvai  išsituokę, jei abu  ar vienas iš  tėvų yra neįgalūs arba sukakęs  pensinis amžius, jei studentai ar mokiniai sukūrę šeimą (turi vaikų).</w:t>
                </w:r>
              </w:p>
              <w:p>
                <w:pPr>
                  <w:ind w:firstLine="567"/>
                  <w:jc w:val="both"/>
                  <w:rPr>
                    <w:szCs w:val="24"/>
                    <w:lang w:eastAsia="lt-LT"/>
                  </w:rPr>
                </w:pPr>
                <w:r>
                  <w:rPr>
                    <w:szCs w:val="24"/>
                    <w:lang w:eastAsia="lt-LT"/>
                  </w:rPr>
                  <w:t>Įgyvendinat šį tikslą, vykdomas uždavinys.</w:t>
                </w:r>
              </w:p>
              <w:p>
                <w:pPr>
                  <w:rPr>
                    <w:sz w:val="10"/>
                    <w:szCs w:val="10"/>
                  </w:rPr>
                </w:pPr>
              </w:p>
              <w:p>
                <w:pPr>
                  <w:jc w:val="both"/>
                  <w:rPr>
                    <w:b/>
                    <w:szCs w:val="24"/>
                  </w:rPr>
                </w:pPr>
                <w:r>
                  <w:rPr>
                    <w:b/>
                    <w:szCs w:val="24"/>
                  </w:rPr>
                  <w:t xml:space="preserve">01 uždavinys. Teikti paramą asmenims studijuojantiems universitetinėse aukštosiose mokyklose, kolegijose ir besimokantiems profesinėse mokyklose. </w:t>
                </w:r>
              </w:p>
              <w:p>
                <w:pPr>
                  <w:rPr>
                    <w:sz w:val="10"/>
                    <w:szCs w:val="10"/>
                  </w:rPr>
                </w:pPr>
              </w:p>
              <w:p>
                <w:pPr>
                  <w:jc w:val="both"/>
                  <w:rPr>
                    <w:b/>
                    <w:bCs/>
                    <w:szCs w:val="24"/>
                    <w:lang w:eastAsia="lt-LT"/>
                  </w:rPr>
                </w:pPr>
                <w:r>
                  <w:rPr>
                    <w:szCs w:val="24"/>
                  </w:rPr>
                  <w:t>Vienkartinės finansinės paramos mokėjimas atrinktiems studijuojantiems ir besimokantiems asmenims.</w:t>
                </w:r>
              </w:p>
              <w:p>
                <w:pPr>
                  <w:rPr>
                    <w:sz w:val="10"/>
                    <w:szCs w:val="10"/>
                  </w:rPr>
                </w:pPr>
              </w:p>
              <w:p>
                <w:pPr>
                  <w:rPr>
                    <w:rFonts w:cs="Tahoma"/>
                    <w:i/>
                    <w:szCs w:val="24"/>
                    <w:u w:val="single"/>
                  </w:rPr>
                </w:pPr>
                <w:r>
                  <w:rPr>
                    <w:rFonts w:cs="Tahoma"/>
                    <w:i/>
                    <w:szCs w:val="24"/>
                    <w:u w:val="single"/>
                  </w:rPr>
                  <w:t>Rezultato vertinimo kriterijai:</w:t>
                </w:r>
              </w:p>
              <w:p>
                <w:pPr>
                  <w:rPr>
                    <w:sz w:val="10"/>
                    <w:szCs w:val="10"/>
                  </w:rPr>
                </w:pPr>
              </w:p>
              <w:p>
                <w:pPr>
                  <w:rPr>
                    <w:szCs w:val="24"/>
                  </w:rPr>
                </w:pPr>
                <w:r>
                  <w:rPr>
                    <w:szCs w:val="24"/>
                  </w:rPr>
                  <w:t>studentų ir mokinių gavusių paramą skaičius, asmenimis – 25</w:t>
                </w:r>
              </w:p>
            </w:tc>
          </w:tr>
          <w:tr>
            <w:tc>
              <w:tcPr>
                <w:tcW w:w="10031" w:type="dxa"/>
                <w:gridSpan w:val="5"/>
                <w:shd w:val="clear" w:color="auto" w:fill="auto"/>
              </w:tcPr>
              <w:p>
                <w:pPr>
                  <w:rPr>
                    <w:b/>
                    <w:szCs w:val="24"/>
                  </w:rPr>
                </w:pPr>
                <w:r>
                  <w:rPr>
                    <w:b/>
                    <w:szCs w:val="24"/>
                  </w:rPr>
                  <w:t>Numatomas programos įgyvendinimo rezultatas:</w:t>
                </w:r>
              </w:p>
              <w:p>
                <w:pPr>
                  <w:ind w:firstLine="567"/>
                  <w:jc w:val="both"/>
                  <w:rPr>
                    <w:szCs w:val="24"/>
                  </w:rPr>
                </w:pPr>
                <w:r>
                  <w:rPr>
                    <w:szCs w:val="24"/>
                  </w:rPr>
                  <w:t>Užtikrinant švietimo ir sporto paslaugų tiekimą ir plėtrą Alytaus rajono savivaldybės teritorijoje garantuojama mokymo (-si) programų įvairovė ir gerinama ugdymo(si) kokybė. Nuolat kuriama saugi ir sveika mokymosi aplinka.</w:t>
                </w:r>
              </w:p>
              <w:p>
                <w:pPr>
                  <w:ind w:firstLine="567"/>
                  <w:jc w:val="both"/>
                  <w:rPr>
                    <w:szCs w:val="24"/>
                  </w:rPr>
                </w:pPr>
                <w:r>
                  <w:rPr>
                    <w:szCs w:val="24"/>
                  </w:rPr>
                  <w:t>Taip pat Alytaus rajono savivaldybės Studijų rėmimo fondo lėšomis siekiama sudaryti galimybę gabiems, tačiau dėl sunkių materialinių sąlygų negalintiems studijuoti jaunuoliams, siekti mokslo, skiriant jiems paramą.</w:t>
                </w:r>
              </w:p>
            </w:tc>
          </w:tr>
        </w:tbl>
        <w:p>
          <w:pPr>
            <w:rPr>
              <w:szCs w:val="24"/>
            </w:rPr>
          </w:pPr>
        </w:p>
      </w:sdtContent>
    </w:sdt>
    <w:sdt>
      <w:sdtPr>
        <w:alias w:val="lentele"/>
        <w:tag w:val="part_863bd5f17e8548b9af92ace6106423c4"/>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tc>
              <w:tcPr>
                <w:tcW w:w="10031" w:type="dxa"/>
              </w:tcPr>
              <w:p>
                <w:pPr>
                  <w:rPr>
                    <w:b/>
                    <w:bCs/>
                    <w:sz w:val="22"/>
                    <w:szCs w:val="22"/>
                  </w:rPr>
                </w:pPr>
                <w:r>
                  <w:rPr>
                    <w:b/>
                    <w:bCs/>
                    <w:sz w:val="22"/>
                    <w:szCs w:val="22"/>
                  </w:rPr>
                  <w:t xml:space="preserve">Galimi programos vykdymo ir finansavimo variantai: </w:t>
                </w:r>
              </w:p>
              <w:p>
                <w:pPr>
                  <w:rPr>
                    <w:b/>
                    <w:strike/>
                    <w:sz w:val="22"/>
                    <w:szCs w:val="22"/>
                  </w:rPr>
                </w:pPr>
                <w:r>
                  <w:rPr>
                    <w:szCs w:val="24"/>
                  </w:rPr>
                  <w:t>Valstybės ir savivaldybės biudžeto, ES ir iš kitų šaltinių gautos bei specialiosios lėšos.</w:t>
                </w:r>
              </w:p>
            </w:tc>
          </w:tr>
        </w:tbl>
        <w:p>
          <w:pPr>
            <w:rPr>
              <w:b/>
              <w:strike/>
              <w:szCs w:val="22"/>
            </w:rPr>
          </w:pPr>
        </w:p>
      </w:sdtContent>
    </w:sdt>
    <w:sdt>
      <w:sdtPr>
        <w:alias w:val="lentele"/>
        <w:tag w:val="part_96de179014764d3494daab76f9a2bbf6"/>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31"/>
          </w:tblGrid>
          <w:tr>
            <w:tc>
              <w:tcPr>
                <w:tcW w:w="10031" w:type="dxa"/>
              </w:tcPr>
              <w:p>
                <w:pPr>
                  <w:suppressAutoHyphens/>
                  <w:jc w:val="both"/>
                  <w:textAlignment w:val="baseline"/>
                  <w:rPr>
                    <w:szCs w:val="24"/>
                  </w:rPr>
                </w:pPr>
                <w:r>
                  <w:rPr>
                    <w:b/>
                    <w:sz w:val="22"/>
                    <w:szCs w:val="24"/>
                  </w:rPr>
                  <w:t xml:space="preserve">Veiksmai, numatyti Alytaus rajono savivaldybės strateginiame plėtros plane, kurie susiję su vykdoma programa: </w:t>
                </w:r>
                <w:r>
                  <w:rPr>
                    <w:szCs w:val="24"/>
                  </w:rPr>
                  <w:t>2 prioritetas. Sumanios, veiklios, susitelkusios bendruomenės, pažangi, socialiai atsakinga savivalda. 2.3. tikslas. Skatinti integruotą socialinę, ekonominę vietos plėtrą ir įtraukias švietimo paslaugas. 2.3.3. uždavinys. Vystyti gyventojų poreikius atitinkančią švietimo ir mokymo sistemas, užtikrinant švietimo kokybę, rezultatyvumą ir prieinamumą.</w:t>
                </w:r>
                <w:r>
                  <w:rPr>
                    <w:b/>
                    <w:sz w:val="28"/>
                    <w:szCs w:val="28"/>
                  </w:rPr>
                  <w:t xml:space="preserve"> </w:t>
                </w:r>
              </w:p>
            </w:tc>
          </w:tr>
        </w:tbl>
        <w:p>
          <w:pPr>
            <w:rPr>
              <w:szCs w:val="24"/>
            </w:rPr>
          </w:pPr>
        </w:p>
      </w:sdtContent>
    </w:sdt>
    <w:sdt>
      <w:sdtPr>
        <w:alias w:val="lentele"/>
        <w:tag w:val="part_97746f57b98f4348a0c0607092ba976f"/>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trPr>
              <w:trHeight w:val="841"/>
            </w:trPr>
            <w:tc>
              <w:tcPr>
                <w:tcW w:w="10031" w:type="dxa"/>
              </w:tcPr>
              <w:p>
                <w:pPr>
                  <w:jc w:val="both"/>
                  <w:rPr>
                    <w:b/>
                    <w:szCs w:val="24"/>
                  </w:rPr>
                </w:pPr>
                <w:r>
                  <w:rPr>
                    <w:b/>
                    <w:szCs w:val="24"/>
                  </w:rPr>
                  <w:t xml:space="preserve">Susiję įstatymai ir kiti svarbūs teisės aktai: </w:t>
                </w:r>
              </w:p>
              <w:p>
                <w:pPr>
                  <w:ind w:left="357" w:hanging="357"/>
                  <w:jc w:val="both"/>
                  <w:rPr>
                    <w:szCs w:val="24"/>
                  </w:rPr>
                </w:pPr>
                <w:r>
                  <w:rPr>
                    <w:rFonts w:ascii="Courier New" w:hAnsi="Courier New" w:cs="Courier New"/>
                    <w:szCs w:val="24"/>
                  </w:rPr>
                  <w:t>o</w:t>
                  <w:tab/>
                </w:r>
                <w:r>
                  <w:rPr>
                    <w:szCs w:val="24"/>
                  </w:rPr>
                  <w:t xml:space="preserve">Lietuvos Respublikos vietos savivaldos įstatymas; </w:t>
                </w:r>
              </w:p>
              <w:p>
                <w:pPr>
                  <w:ind w:left="357" w:hanging="357"/>
                  <w:jc w:val="both"/>
                  <w:rPr>
                    <w:szCs w:val="24"/>
                  </w:rPr>
                </w:pPr>
                <w:r>
                  <w:rPr>
                    <w:rFonts w:ascii="Courier New" w:hAnsi="Courier New" w:cs="Courier New"/>
                    <w:szCs w:val="24"/>
                  </w:rPr>
                  <w:t>o</w:t>
                  <w:tab/>
                </w:r>
                <w:r>
                  <w:rPr>
                    <w:szCs w:val="24"/>
                  </w:rPr>
                  <w:t xml:space="preserve">Lietuvos Respublikos biudžetinių įstaigų įstatymas; </w:t>
                </w:r>
              </w:p>
              <w:p>
                <w:pPr>
                  <w:ind w:left="357" w:hanging="357"/>
                  <w:jc w:val="both"/>
                  <w:rPr>
                    <w:szCs w:val="24"/>
                  </w:rPr>
                </w:pPr>
                <w:r>
                  <w:rPr>
                    <w:rFonts w:ascii="Courier New" w:hAnsi="Courier New" w:cs="Courier New"/>
                    <w:szCs w:val="24"/>
                  </w:rPr>
                  <w:t>o</w:t>
                  <w:tab/>
                </w:r>
                <w:r>
                  <w:rPr>
                    <w:szCs w:val="24"/>
                  </w:rPr>
                  <w:t xml:space="preserve">Lietuvos Respublikos moterų ir vyrų lygių galimybių įstatymas; </w:t>
                </w:r>
              </w:p>
              <w:p>
                <w:pPr>
                  <w:ind w:left="357" w:hanging="357"/>
                  <w:jc w:val="both"/>
                  <w:rPr>
                    <w:szCs w:val="24"/>
                  </w:rPr>
                </w:pPr>
                <w:r>
                  <w:rPr>
                    <w:rFonts w:ascii="Courier New" w:hAnsi="Courier New" w:cs="Courier New"/>
                    <w:szCs w:val="24"/>
                  </w:rPr>
                  <w:t>o</w:t>
                  <w:tab/>
                </w:r>
                <w:r>
                  <w:rPr>
                    <w:szCs w:val="24"/>
                  </w:rPr>
                  <w:t xml:space="preserve">Lietuvos Respublikos lygių galimybių įstatymas; </w:t>
                </w:r>
              </w:p>
              <w:p>
                <w:pPr>
                  <w:ind w:left="357" w:hanging="357"/>
                  <w:jc w:val="both"/>
                  <w:rPr>
                    <w:szCs w:val="24"/>
                  </w:rPr>
                </w:pPr>
                <w:r>
                  <w:rPr>
                    <w:rFonts w:ascii="Courier New" w:hAnsi="Courier New" w:cs="Courier New"/>
                    <w:szCs w:val="24"/>
                  </w:rPr>
                  <w:t>o</w:t>
                  <w:tab/>
                </w:r>
                <w:r>
                  <w:rPr>
                    <w:szCs w:val="24"/>
                  </w:rPr>
                  <w:t xml:space="preserve">Lietuvos Respublikos švietimo įstatymas; </w:t>
                </w:r>
              </w:p>
              <w:p>
                <w:pPr>
                  <w:ind w:left="357" w:hanging="357"/>
                  <w:jc w:val="both"/>
                  <w:rPr>
                    <w:szCs w:val="24"/>
                  </w:rPr>
                </w:pPr>
                <w:r>
                  <w:rPr>
                    <w:rFonts w:ascii="Courier New" w:hAnsi="Courier New" w:cs="Courier New"/>
                    <w:szCs w:val="24"/>
                  </w:rPr>
                  <w:t>o</w:t>
                  <w:tab/>
                </w:r>
                <w:r>
                  <w:rPr>
                    <w:szCs w:val="24"/>
                    <w:lang w:val="en-US"/>
                  </w:rPr>
                  <w:t>Lietuvos Respublikos specialiojo ugdymo įstatymas;</w:t>
                </w:r>
              </w:p>
              <w:p>
                <w:pPr>
                  <w:ind w:left="357" w:hanging="357"/>
                  <w:jc w:val="both"/>
                  <w:rPr>
                    <w:szCs w:val="24"/>
                  </w:rPr>
                </w:pPr>
                <w:r>
                  <w:rPr>
                    <w:rFonts w:ascii="Courier New" w:hAnsi="Courier New" w:cs="Courier New"/>
                    <w:szCs w:val="24"/>
                  </w:rPr>
                  <w:t>o</w:t>
                  <w:tab/>
                </w:r>
                <w:r>
                  <w:rPr>
                    <w:szCs w:val="24"/>
                  </w:rPr>
                  <w:t xml:space="preserve">Lietuvos Respublikos biudžeto sandaros įstatymas; </w:t>
                </w:r>
              </w:p>
              <w:p>
                <w:pPr>
                  <w:ind w:left="357" w:hanging="357"/>
                  <w:jc w:val="both"/>
                  <w:rPr>
                    <w:szCs w:val="24"/>
                  </w:rPr>
                </w:pPr>
                <w:r>
                  <w:rPr>
                    <w:rFonts w:ascii="Courier New" w:hAnsi="Courier New" w:cs="Courier New"/>
                    <w:szCs w:val="24"/>
                  </w:rPr>
                  <w:t>o</w:t>
                  <w:tab/>
                </w:r>
                <w:r>
                  <w:rPr>
                    <w:szCs w:val="24"/>
                    <w:lang w:eastAsia="lt-LT"/>
                  </w:rPr>
                  <w:t xml:space="preserve">Lietuvos Respublikos sporto įstatymas; </w:t>
                </w:r>
              </w:p>
              <w:p>
                <w:pPr>
                  <w:ind w:left="357" w:hanging="357"/>
                  <w:jc w:val="both"/>
                  <w:rPr>
                    <w:szCs w:val="24"/>
                  </w:rPr>
                </w:pPr>
                <w:r>
                  <w:rPr>
                    <w:rFonts w:ascii="Courier New" w:hAnsi="Courier New" w:cs="Courier New"/>
                    <w:szCs w:val="24"/>
                  </w:rPr>
                  <w:t>o</w:t>
                  <w:tab/>
                </w:r>
                <w:r>
                  <w:rPr>
                    <w:bCs/>
                    <w:szCs w:val="24"/>
                  </w:rPr>
                  <w:t>Vaiko teisių konvencija;</w:t>
                </w:r>
              </w:p>
              <w:p>
                <w:pPr>
                  <w:ind w:left="357" w:hanging="357"/>
                  <w:jc w:val="both"/>
                  <w:rPr>
                    <w:szCs w:val="24"/>
                  </w:rPr>
                </w:pPr>
                <w:r>
                  <w:rPr>
                    <w:rFonts w:ascii="Courier New" w:hAnsi="Courier New" w:cs="Courier New"/>
                    <w:szCs w:val="24"/>
                  </w:rPr>
                  <w:t>o</w:t>
                  <w:tab/>
                </w:r>
                <w:r>
                  <w:rPr>
                    <w:szCs w:val="24"/>
                  </w:rPr>
                  <w:t xml:space="preserve">Valstybinė švietimo 2013–2022 metų strategija, patvirtinta LR Seimo 2013 m. gruodžio 23 d. nutarimu Nr. XII-745 „Dėl Valstybinės švietimo 2013-2022 metų strategijos patvirtinimo“; </w:t>
                </w:r>
              </w:p>
              <w:p>
                <w:pPr>
                  <w:ind w:left="357" w:hanging="357"/>
                  <w:jc w:val="both"/>
                  <w:rPr>
                    <w:szCs w:val="24"/>
                  </w:rPr>
                </w:pPr>
                <w:r>
                  <w:rPr>
                    <w:rFonts w:ascii="Courier New" w:hAnsi="Courier New" w:cs="Courier New"/>
                    <w:szCs w:val="24"/>
                  </w:rPr>
                  <w:t>o</w:t>
                  <w:tab/>
                </w:r>
                <w:r>
                  <w:rPr>
                    <w:szCs w:val="24"/>
                  </w:rPr>
                  <w:t xml:space="preserve">Lietuvos Respublikos Seimo 2012 m. gegužės 15 d.  nutarimas Nr. XI-2015 „Dėl valstybės pažangos strategijos „Lietuvos pažangos strategija „Lietuva 2030“ patvirtinimo“.</w:t>
                </w:r>
              </w:p>
              <w:p>
                <w:pPr>
                  <w:ind w:left="357" w:hanging="357"/>
                  <w:jc w:val="both"/>
                  <w:rPr>
                    <w:szCs w:val="24"/>
                  </w:rPr>
                </w:pPr>
                <w:r>
                  <w:rPr>
                    <w:rFonts w:ascii="Courier New" w:hAnsi="Courier New" w:cs="Courier New"/>
                    <w:szCs w:val="24"/>
                  </w:rPr>
                  <w:t>o</w:t>
                  <w:tab/>
                </w:r>
                <w:r>
                  <w:rPr>
                    <w:szCs w:val="24"/>
                  </w:rPr>
                  <w:t xml:space="preserve">Neformaliojo vaikų švietimo koncepcija, patvirtinta Lietuvos Respublikos švietimo ir mokslo ministro 2005-12-30 įsakymu Nr. ISAK-2695 „Dėl Neformaliojo vaikų švietimo koncepcijos patvirtinimo“; </w:t>
                </w:r>
              </w:p>
              <w:p>
                <w:pPr>
                  <w:ind w:left="357" w:hanging="357"/>
                  <w:jc w:val="both"/>
                  <w:rPr>
                    <w:szCs w:val="24"/>
                  </w:rPr>
                </w:pPr>
                <w:r>
                  <w:rPr>
                    <w:rFonts w:ascii="Courier New" w:hAnsi="Courier New" w:cs="Courier New"/>
                    <w:szCs w:val="24"/>
                  </w:rPr>
                  <w:t>o</w:t>
                  <w:tab/>
                </w:r>
                <w:r>
                  <w:rPr>
                    <w:szCs w:val="24"/>
                  </w:rPr>
                  <w:t xml:space="preserve">Lietuvos Respublikos sveikatos apsaugos ministro 2010 m. balandžio 22 d. įsakymas Nr. V-313 „Dėl Lietuvos higienos normos HN 75:2016 „Ikimokyklinio ir  priešmokyklinio ugdymo programų vykdymo bendrieji sveikatos saugos reikalavimai“ patvirtinimo“;</w:t>
                </w:r>
              </w:p>
              <w:p>
                <w:pPr>
                  <w:ind w:left="357" w:hanging="357"/>
                  <w:jc w:val="both"/>
                  <w:rPr>
                    <w:szCs w:val="24"/>
                  </w:rPr>
                </w:pPr>
                <w:r>
                  <w:rPr>
                    <w:rFonts w:ascii="Courier New" w:hAnsi="Courier New" w:cs="Courier New"/>
                    <w:szCs w:val="24"/>
                  </w:rPr>
                  <w:t>o</w:t>
                  <w:tab/>
                </w:r>
                <w:r>
                  <w:rPr>
                    <w:szCs w:val="24"/>
                  </w:rPr>
                  <w:t>Lietuvos Respublikos sveikatos apsaugos ministro 2011 m. rugpjūčio 10 d. įsakymas Nr. V-773 „Dėl Lietuvos higienos normos HN21:2017 „Mokykla, vykdanti bendrojo ugdymo programas. Bendrieji sveikatos saugos reikalavimai“ patvirtinimo“;</w:t>
                </w:r>
              </w:p>
              <w:p>
                <w:pPr>
                  <w:ind w:left="357" w:hanging="357"/>
                  <w:jc w:val="both"/>
                  <w:rPr>
                    <w:szCs w:val="24"/>
                  </w:rPr>
                </w:pPr>
                <w:r>
                  <w:rPr>
                    <w:rFonts w:ascii="Courier New" w:hAnsi="Courier New" w:cs="Courier New"/>
                    <w:szCs w:val="24"/>
                  </w:rPr>
                  <w:t>o</w:t>
                  <w:tab/>
                </w:r>
                <w:r>
                  <w:rPr>
                    <w:szCs w:val="24"/>
                  </w:rPr>
                  <w:t>Neformaliojo vaikų švietimo koncepcija, patvirtinta Lietuvos Respublikos švietimo ir mokslo ministro 2005 m. gruodžio 30 d. įsakymu Nr. ISAK-2695 „Dėl Neformaliojo vaikų švietimo koncepcijos patvirtinimo“;</w:t>
                </w:r>
              </w:p>
              <w:p>
                <w:pPr>
                  <w:ind w:left="357" w:hanging="357"/>
                  <w:jc w:val="both"/>
                  <w:rPr>
                    <w:szCs w:val="24"/>
                  </w:rPr>
                </w:pPr>
                <w:r>
                  <w:rPr>
                    <w:rFonts w:ascii="Courier New" w:hAnsi="Courier New" w:cs="Courier New"/>
                    <w:szCs w:val="24"/>
                  </w:rPr>
                  <w:t>o</w:t>
                  <w:tab/>
                </w:r>
                <w:r>
                  <w:rPr>
                    <w:szCs w:val="24"/>
                  </w:rPr>
                  <w:t>Alytaus rajono savivaldybės tarybos 2021 m. balandžio 22 d. sprendimas Nr: K-82 „Dėl Alytaus rajono ugdymo įstaigų mokytojų ir pagalbos mokiniui specialistų atestacijos programų tvirtinimo“;</w:t>
                </w:r>
              </w:p>
              <w:p>
                <w:pPr>
                  <w:ind w:left="357" w:hanging="357"/>
                  <w:jc w:val="both"/>
                  <w:rPr>
                    <w:szCs w:val="24"/>
                  </w:rPr>
                </w:pPr>
                <w:r>
                  <w:rPr>
                    <w:rFonts w:ascii="Courier New" w:hAnsi="Courier New" w:cs="Courier New"/>
                    <w:szCs w:val="24"/>
                  </w:rPr>
                  <w:t>o</w:t>
                  <w:tab/>
                </w:r>
                <w:r>
                  <w:rPr>
                    <w:rFonts w:ascii="TimesLT" w:hAnsi="TimesLT"/>
                  </w:rPr>
                  <w:t>Alytaus rajono savivaldybės tarybos 2004 m. kovo 26 d. sprendimas Nr. K-40 „Dėl Alytaus rajono studijų rėmimo fondo nuostatų ir fondo tarybos patvirtinimo</w:t>
                </w:r>
                <w:r>
                  <w:rPr>
                    <w:szCs w:val="24"/>
                  </w:rPr>
                  <w:t xml:space="preserve">“; </w:t>
                </w:r>
              </w:p>
              <w:p>
                <w:pPr>
                  <w:ind w:left="357" w:hanging="357"/>
                  <w:jc w:val="both"/>
                  <w:rPr>
                    <w:szCs w:val="24"/>
                  </w:rPr>
                </w:pPr>
                <w:r>
                  <w:rPr>
                    <w:rFonts w:ascii="Courier New" w:hAnsi="Courier New" w:cs="Courier New"/>
                    <w:szCs w:val="24"/>
                  </w:rPr>
                  <w:t>o</w:t>
                  <w:tab/>
                </w:r>
                <w:r>
                  <w:rPr>
                    <w:szCs w:val="24"/>
                  </w:rPr>
                  <w:t>Alytaus rajono savivaldybės administracijos direktoriaus 2015 m. birželio 5 d. įsakymas Nr. D1-413 „Dėl Alytaus rajono savivaldybės lėšomis remiamų mokinių užimtumo projektų finansavimo tvarkos aprašo patvirtinimo”;</w:t>
                </w:r>
              </w:p>
              <w:p>
                <w:pPr>
                  <w:ind w:left="357" w:hanging="357"/>
                  <w:jc w:val="both"/>
                  <w:rPr>
                    <w:szCs w:val="24"/>
                  </w:rPr>
                </w:pPr>
                <w:r>
                  <w:rPr>
                    <w:rFonts w:ascii="Courier New" w:hAnsi="Courier New" w:cs="Courier New"/>
                    <w:szCs w:val="24"/>
                  </w:rPr>
                  <w:t>o</w:t>
                  <w:tab/>
                </w:r>
                <w:r>
                  <w:rPr>
                    <w:szCs w:val="24"/>
                    <w:lang w:val="en-US"/>
                  </w:rPr>
                  <w:t>Lietuvos Respublikos švietimo, mokslo ir sporto ministro 2020 m. liepos 2 d. įsakymas Nr. V-1006 „Dėl Mokymo nuotoliniu ugdymo proceso organizavimo būdu kriterijų aprašo patvirtinimo“;</w:t>
                </w:r>
              </w:p>
              <w:p>
                <w:pPr>
                  <w:ind w:left="357" w:hanging="357"/>
                  <w:jc w:val="both"/>
                  <w:rPr>
                    <w:szCs w:val="24"/>
                  </w:rPr>
                </w:pPr>
                <w:r>
                  <w:rPr>
                    <w:rFonts w:ascii="Courier New" w:hAnsi="Courier New" w:cs="Courier New"/>
                    <w:szCs w:val="24"/>
                  </w:rPr>
                  <w:t>o</w:t>
                  <w:tab/>
                </w:r>
                <w:r>
                  <w:rPr>
                    <w:szCs w:val="24"/>
                  </w:rPr>
                  <w:t xml:space="preserve">Lietuvos Respublikos </w:t>
                </w:r>
                <w:r>
                  <w:rPr>
                    <w:lang w:eastAsia="ar-SA"/>
                  </w:rPr>
                  <w:t>Vyriausybės 2018 m. liepos 11 d. nutarimas Nr. 679 „Dėl Mokymo lėšų apskaičiavimo, paskirstymo ir panaudojimo tvarkos aprašo patvirtinimo“;</w:t>
                </w:r>
              </w:p>
              <w:p>
                <w:pPr>
                  <w:ind w:left="357" w:hanging="357"/>
                  <w:jc w:val="both"/>
                  <w:rPr>
                    <w:szCs w:val="24"/>
                  </w:rPr>
                </w:pPr>
                <w:r>
                  <w:rPr>
                    <w:rFonts w:ascii="Courier New" w:hAnsi="Courier New" w:cs="Courier New"/>
                    <w:szCs w:val="24"/>
                  </w:rPr>
                  <w:t>o</w:t>
                  <w:tab/>
                </w:r>
                <w:r>
                  <w:rPr>
                    <w:szCs w:val="24"/>
                    <w:lang w:val="en-US"/>
                  </w:rPr>
                  <w:t>Alytaus rajono savivaldybės tarybos 2020 m. vasario 6 d. sprendimas Nr. K-18 „Dėl Alytaus rajono savivaldybės biudžeto lėšomis remiamų sporto rėmimo projektų finansavimo ir atrankos tvarkos aprašo patvirtinimo“</w:t>
                </w:r>
                <w:r>
                  <w:rPr>
                    <w:szCs w:val="24"/>
                    <w:lang w:val="en-US" w:eastAsia="lt-LT"/>
                  </w:rPr>
                  <w:t>;</w:t>
                </w:r>
              </w:p>
              <w:p>
                <w:pPr>
                  <w:ind w:left="357" w:hanging="357"/>
                  <w:jc w:val="both"/>
                  <w:rPr>
                    <w:szCs w:val="24"/>
                  </w:rPr>
                </w:pPr>
                <w:r>
                  <w:rPr>
                    <w:rFonts w:ascii="Courier New" w:hAnsi="Courier New" w:cs="Courier New"/>
                    <w:szCs w:val="24"/>
                  </w:rPr>
                  <w:t>o</w:t>
                  <w:tab/>
                </w:r>
                <w:r>
                  <w:rPr>
                    <w:szCs w:val="24"/>
                  </w:rPr>
                  <w:t>Alytaus rajono savivaldybės 2021-2028 metų strateginės plėtros planas, patvirtintas Alytaus rajono savivaldybės tarybos 2020 m. gruodžio 28 d. sprendimu K-268 „Dėl Alytaus rajono savivaldybės 2021–2028 metų strateginės plėtros plano patvirtinimo“</w:t>
                </w:r>
                <w:r>
                  <w:rPr>
                    <w:szCs w:val="24"/>
                    <w:lang w:eastAsia="lt-LT"/>
                  </w:rPr>
                  <w:t>.</w:t>
                </w:r>
              </w:p>
            </w:tc>
          </w:tr>
          <w:tr>
            <w:tc>
              <w:tcPr>
                <w:tcW w:w="10031" w:type="dxa"/>
              </w:tcPr>
              <w:p>
                <w:pPr>
                  <w:jc w:val="both"/>
                  <w:rPr>
                    <w:b/>
                    <w:szCs w:val="24"/>
                  </w:rPr>
                </w:pPr>
                <w:r>
                  <w:rPr>
                    <w:b/>
                    <w:szCs w:val="24"/>
                  </w:rPr>
                  <w:t>Kita svarbi informacija:</w:t>
                </w:r>
              </w:p>
            </w:tc>
          </w:tr>
        </w:tbl>
        <w:p/>
      </w:sdtContent>
    </w:sdt>
    <w:sdt>
      <w:sdtPr>
        <w:alias w:val="pastraipa"/>
        <w:tag w:val="part_322d4e4b562040bbb109a0f455310ba4"/>
        <w:lock w:val="sdtLocked"/>
        <w:richText/>
      </w:sdtPr>
      <w:sdtContent>
        <w:p>
          <w:pPr>
            <w:jc w:val="center"/>
            <w:rPr>
              <w:szCs w:val="24"/>
            </w:rPr>
          </w:pPr>
          <w:r>
            <w:rPr>
              <w:szCs w:val="24"/>
            </w:rPr>
            <w:t>_________________________________</w:t>
          </w:r>
        </w:p>
      </w:sdtContent>
    </w:sdt>
    <w:sectPr>
      <w:pgSz w:w="12240" w:h="15840"/>
      <w:pgMar w:top="1134" w:right="567"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C1C7BDDE-39E8-4307-9AA5-87312D41B35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178312">
      <w:bodyDiv w:val="1"/>
      <w:marLeft w:val="0"/>
      <w:marRight w:val="0"/>
      <w:marTop w:val="0"/>
      <w:marBottom w:val="0"/>
      <w:divBdr>
        <w:top w:val="none" w:sz="0" w:space="0" w:color="auto"/>
        <w:left w:val="none" w:sz="0" w:space="0" w:color="auto"/>
        <w:bottom w:val="none" w:sz="0" w:space="0" w:color="auto"/>
        <w:right w:val="none" w:sz="0" w:space="0" w:color="auto"/>
      </w:divBdr>
    </w:div>
    <w:div w:id="41053298">
      <w:bodyDiv w:val="1"/>
      <w:marLeft w:val="0"/>
      <w:marRight w:val="0"/>
      <w:marTop w:val="0"/>
      <w:marBottom w:val="0"/>
      <w:divBdr>
        <w:top w:val="none" w:sz="0" w:space="0" w:color="auto"/>
        <w:left w:val="none" w:sz="0" w:space="0" w:color="auto"/>
        <w:bottom w:val="none" w:sz="0" w:space="0" w:color="auto"/>
        <w:right w:val="none" w:sz="0" w:space="0" w:color="auto"/>
      </w:divBdr>
    </w:div>
    <w:div w:id="49041266">
      <w:bodyDiv w:val="1"/>
      <w:marLeft w:val="0"/>
      <w:marRight w:val="0"/>
      <w:marTop w:val="0"/>
      <w:marBottom w:val="0"/>
      <w:divBdr>
        <w:top w:val="none" w:sz="0" w:space="0" w:color="auto"/>
        <w:left w:val="none" w:sz="0" w:space="0" w:color="auto"/>
        <w:bottom w:val="none" w:sz="0" w:space="0" w:color="auto"/>
        <w:right w:val="none" w:sz="0" w:space="0" w:color="auto"/>
      </w:divBdr>
    </w:div>
    <w:div w:id="58868428">
      <w:bodyDiv w:val="1"/>
      <w:marLeft w:val="0"/>
      <w:marRight w:val="0"/>
      <w:marTop w:val="0"/>
      <w:marBottom w:val="0"/>
      <w:divBdr>
        <w:top w:val="none" w:sz="0" w:space="0" w:color="auto"/>
        <w:left w:val="none" w:sz="0" w:space="0" w:color="auto"/>
        <w:bottom w:val="none" w:sz="0" w:space="0" w:color="auto"/>
        <w:right w:val="none" w:sz="0" w:space="0" w:color="auto"/>
      </w:divBdr>
    </w:div>
    <w:div w:id="285888073">
      <w:bodyDiv w:val="1"/>
      <w:marLeft w:val="0"/>
      <w:marRight w:val="0"/>
      <w:marTop w:val="0"/>
      <w:marBottom w:val="0"/>
      <w:divBdr>
        <w:top w:val="none" w:sz="0" w:space="0" w:color="auto"/>
        <w:left w:val="none" w:sz="0" w:space="0" w:color="auto"/>
        <w:bottom w:val="none" w:sz="0" w:space="0" w:color="auto"/>
        <w:right w:val="none" w:sz="0" w:space="0" w:color="auto"/>
      </w:divBdr>
    </w:div>
    <w:div w:id="494952977">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582489576">
      <w:bodyDiv w:val="1"/>
      <w:marLeft w:val="0"/>
      <w:marRight w:val="0"/>
      <w:marTop w:val="0"/>
      <w:marBottom w:val="0"/>
      <w:divBdr>
        <w:top w:val="none" w:sz="0" w:space="0" w:color="auto"/>
        <w:left w:val="none" w:sz="0" w:space="0" w:color="auto"/>
        <w:bottom w:val="none" w:sz="0" w:space="0" w:color="auto"/>
        <w:right w:val="none" w:sz="0" w:space="0" w:color="auto"/>
      </w:divBdr>
    </w:div>
    <w:div w:id="709308467">
      <w:bodyDiv w:val="1"/>
      <w:marLeft w:val="0"/>
      <w:marRight w:val="0"/>
      <w:marTop w:val="0"/>
      <w:marBottom w:val="0"/>
      <w:divBdr>
        <w:top w:val="none" w:sz="0" w:space="0" w:color="auto"/>
        <w:left w:val="none" w:sz="0" w:space="0" w:color="auto"/>
        <w:bottom w:val="none" w:sz="0" w:space="0" w:color="auto"/>
        <w:right w:val="none" w:sz="0" w:space="0" w:color="auto"/>
      </w:divBdr>
    </w:div>
    <w:div w:id="739601087">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50195707">
      <w:bodyDiv w:val="1"/>
      <w:marLeft w:val="0"/>
      <w:marRight w:val="0"/>
      <w:marTop w:val="0"/>
      <w:marBottom w:val="0"/>
      <w:divBdr>
        <w:top w:val="none" w:sz="0" w:space="0" w:color="auto"/>
        <w:left w:val="none" w:sz="0" w:space="0" w:color="auto"/>
        <w:bottom w:val="none" w:sz="0" w:space="0" w:color="auto"/>
        <w:right w:val="none" w:sz="0" w:space="0" w:color="auto"/>
      </w:divBdr>
      <w:divsChild>
        <w:div w:id="1200362932">
          <w:marLeft w:val="0"/>
          <w:marRight w:val="0"/>
          <w:marTop w:val="0"/>
          <w:marBottom w:val="0"/>
          <w:divBdr>
            <w:top w:val="none" w:sz="0" w:space="0" w:color="auto"/>
            <w:left w:val="none" w:sz="0" w:space="0" w:color="auto"/>
            <w:bottom w:val="none" w:sz="0" w:space="0" w:color="auto"/>
            <w:right w:val="none" w:sz="0" w:space="0" w:color="auto"/>
          </w:divBdr>
          <w:divsChild>
            <w:div w:id="1568958997">
              <w:marLeft w:val="0"/>
              <w:marRight w:val="0"/>
              <w:marTop w:val="0"/>
              <w:marBottom w:val="0"/>
              <w:divBdr>
                <w:top w:val="none" w:sz="0" w:space="0" w:color="auto"/>
                <w:left w:val="none" w:sz="0" w:space="0" w:color="auto"/>
                <w:bottom w:val="none" w:sz="0" w:space="0" w:color="auto"/>
                <w:right w:val="none" w:sz="0" w:space="0" w:color="auto"/>
              </w:divBdr>
              <w:divsChild>
                <w:div w:id="1265728683">
                  <w:marLeft w:val="0"/>
                  <w:marRight w:val="0"/>
                  <w:marTop w:val="0"/>
                  <w:marBottom w:val="0"/>
                  <w:divBdr>
                    <w:top w:val="none" w:sz="0" w:space="0" w:color="auto"/>
                    <w:left w:val="none" w:sz="0" w:space="0" w:color="auto"/>
                    <w:bottom w:val="none" w:sz="0" w:space="0" w:color="auto"/>
                    <w:right w:val="none" w:sz="0" w:space="0" w:color="auto"/>
                  </w:divBdr>
                  <w:divsChild>
                    <w:div w:id="61343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7577235">
      <w:bodyDiv w:val="1"/>
      <w:marLeft w:val="0"/>
      <w:marRight w:val="0"/>
      <w:marTop w:val="0"/>
      <w:marBottom w:val="0"/>
      <w:divBdr>
        <w:top w:val="none" w:sz="0" w:space="0" w:color="auto"/>
        <w:left w:val="none" w:sz="0" w:space="0" w:color="auto"/>
        <w:bottom w:val="none" w:sz="0" w:space="0" w:color="auto"/>
        <w:right w:val="none" w:sz="0" w:space="0" w:color="auto"/>
      </w:divBdr>
    </w:div>
    <w:div w:id="865869143">
      <w:bodyDiv w:val="1"/>
      <w:marLeft w:val="0"/>
      <w:marRight w:val="0"/>
      <w:marTop w:val="0"/>
      <w:marBottom w:val="0"/>
      <w:divBdr>
        <w:top w:val="none" w:sz="0" w:space="0" w:color="auto"/>
        <w:left w:val="none" w:sz="0" w:space="0" w:color="auto"/>
        <w:bottom w:val="none" w:sz="0" w:space="0" w:color="auto"/>
        <w:right w:val="none" w:sz="0" w:space="0" w:color="auto"/>
      </w:divBdr>
    </w:div>
    <w:div w:id="932786695">
      <w:bodyDiv w:val="1"/>
      <w:marLeft w:val="0"/>
      <w:marRight w:val="0"/>
      <w:marTop w:val="0"/>
      <w:marBottom w:val="0"/>
      <w:divBdr>
        <w:top w:val="none" w:sz="0" w:space="0" w:color="auto"/>
        <w:left w:val="none" w:sz="0" w:space="0" w:color="auto"/>
        <w:bottom w:val="none" w:sz="0" w:space="0" w:color="auto"/>
        <w:right w:val="none" w:sz="0" w:space="0" w:color="auto"/>
      </w:divBdr>
    </w:div>
    <w:div w:id="995837968">
      <w:bodyDiv w:val="1"/>
      <w:marLeft w:val="0"/>
      <w:marRight w:val="0"/>
      <w:marTop w:val="0"/>
      <w:marBottom w:val="0"/>
      <w:divBdr>
        <w:top w:val="none" w:sz="0" w:space="0" w:color="auto"/>
        <w:left w:val="none" w:sz="0" w:space="0" w:color="auto"/>
        <w:bottom w:val="none" w:sz="0" w:space="0" w:color="auto"/>
        <w:right w:val="none" w:sz="0" w:space="0" w:color="auto"/>
      </w:divBdr>
    </w:div>
    <w:div w:id="1095592241">
      <w:bodyDiv w:val="1"/>
      <w:marLeft w:val="0"/>
      <w:marRight w:val="0"/>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40096239">
      <w:bodyDiv w:val="1"/>
      <w:marLeft w:val="0"/>
      <w:marRight w:val="0"/>
      <w:marTop w:val="0"/>
      <w:marBottom w:val="0"/>
      <w:divBdr>
        <w:top w:val="none" w:sz="0" w:space="0" w:color="auto"/>
        <w:left w:val="none" w:sz="0" w:space="0" w:color="auto"/>
        <w:bottom w:val="none" w:sz="0" w:space="0" w:color="auto"/>
        <w:right w:val="none" w:sz="0" w:space="0" w:color="auto"/>
      </w:divBdr>
    </w:div>
    <w:div w:id="1311902766">
      <w:bodyDiv w:val="1"/>
      <w:marLeft w:val="0"/>
      <w:marRight w:val="0"/>
      <w:marTop w:val="0"/>
      <w:marBottom w:val="0"/>
      <w:divBdr>
        <w:top w:val="none" w:sz="0" w:space="0" w:color="auto"/>
        <w:left w:val="none" w:sz="0" w:space="0" w:color="auto"/>
        <w:bottom w:val="none" w:sz="0" w:space="0" w:color="auto"/>
        <w:right w:val="none" w:sz="0" w:space="0" w:color="auto"/>
      </w:divBdr>
    </w:div>
    <w:div w:id="1376196824">
      <w:bodyDiv w:val="1"/>
      <w:marLeft w:val="0"/>
      <w:marRight w:val="0"/>
      <w:marTop w:val="0"/>
      <w:marBottom w:val="0"/>
      <w:divBdr>
        <w:top w:val="none" w:sz="0" w:space="0" w:color="auto"/>
        <w:left w:val="none" w:sz="0" w:space="0" w:color="auto"/>
        <w:bottom w:val="none" w:sz="0" w:space="0" w:color="auto"/>
        <w:right w:val="none" w:sz="0" w:space="0" w:color="auto"/>
      </w:divBdr>
    </w:div>
    <w:div w:id="1393774494">
      <w:bodyDiv w:val="1"/>
      <w:marLeft w:val="0"/>
      <w:marRight w:val="0"/>
      <w:marTop w:val="0"/>
      <w:marBottom w:val="0"/>
      <w:divBdr>
        <w:top w:val="none" w:sz="0" w:space="0" w:color="auto"/>
        <w:left w:val="none" w:sz="0" w:space="0" w:color="auto"/>
        <w:bottom w:val="none" w:sz="0" w:space="0" w:color="auto"/>
        <w:right w:val="none" w:sz="0" w:space="0" w:color="auto"/>
      </w:divBdr>
    </w:div>
    <w:div w:id="1476293031">
      <w:bodyDiv w:val="1"/>
      <w:marLeft w:val="0"/>
      <w:marRight w:val="0"/>
      <w:marTop w:val="0"/>
      <w:marBottom w:val="0"/>
      <w:divBdr>
        <w:top w:val="none" w:sz="0" w:space="0" w:color="auto"/>
        <w:left w:val="none" w:sz="0" w:space="0" w:color="auto"/>
        <w:bottom w:val="none" w:sz="0" w:space="0" w:color="auto"/>
        <w:right w:val="none" w:sz="0" w:space="0" w:color="auto"/>
      </w:divBdr>
    </w:div>
    <w:div w:id="1565143778">
      <w:bodyDiv w:val="1"/>
      <w:marLeft w:val="0"/>
      <w:marRight w:val="0"/>
      <w:marTop w:val="0"/>
      <w:marBottom w:val="0"/>
      <w:divBdr>
        <w:top w:val="none" w:sz="0" w:space="0" w:color="auto"/>
        <w:left w:val="none" w:sz="0" w:space="0" w:color="auto"/>
        <w:bottom w:val="none" w:sz="0" w:space="0" w:color="auto"/>
        <w:right w:val="none" w:sz="0" w:space="0" w:color="auto"/>
      </w:divBdr>
    </w:div>
    <w:div w:id="1597858728">
      <w:bodyDiv w:val="1"/>
      <w:marLeft w:val="0"/>
      <w:marRight w:val="0"/>
      <w:marTop w:val="0"/>
      <w:marBottom w:val="0"/>
      <w:divBdr>
        <w:top w:val="none" w:sz="0" w:space="0" w:color="auto"/>
        <w:left w:val="none" w:sz="0" w:space="0" w:color="auto"/>
        <w:bottom w:val="none" w:sz="0" w:space="0" w:color="auto"/>
        <w:right w:val="none" w:sz="0" w:space="0" w:color="auto"/>
      </w:divBdr>
    </w:div>
    <w:div w:id="1658536273">
      <w:bodyDiv w:val="1"/>
      <w:marLeft w:val="0"/>
      <w:marRight w:val="0"/>
      <w:marTop w:val="0"/>
      <w:marBottom w:val="0"/>
      <w:divBdr>
        <w:top w:val="none" w:sz="0" w:space="0" w:color="auto"/>
        <w:left w:val="none" w:sz="0" w:space="0" w:color="auto"/>
        <w:bottom w:val="none" w:sz="0" w:space="0" w:color="auto"/>
        <w:right w:val="none" w:sz="0" w:space="0" w:color="auto"/>
      </w:divBdr>
    </w:div>
    <w:div w:id="1716197089">
      <w:bodyDiv w:val="1"/>
      <w:marLeft w:val="0"/>
      <w:marRight w:val="0"/>
      <w:marTop w:val="0"/>
      <w:marBottom w:val="0"/>
      <w:divBdr>
        <w:top w:val="none" w:sz="0" w:space="0" w:color="auto"/>
        <w:left w:val="none" w:sz="0" w:space="0" w:color="auto"/>
        <w:bottom w:val="none" w:sz="0" w:space="0" w:color="auto"/>
        <w:right w:val="none" w:sz="0" w:space="0" w:color="auto"/>
      </w:divBdr>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909878875">
      <w:bodyDiv w:val="1"/>
      <w:marLeft w:val="0"/>
      <w:marRight w:val="0"/>
      <w:marTop w:val="0"/>
      <w:marBottom w:val="0"/>
      <w:divBdr>
        <w:top w:val="none" w:sz="0" w:space="0" w:color="auto"/>
        <w:left w:val="none" w:sz="0" w:space="0" w:color="auto"/>
        <w:bottom w:val="none" w:sz="0" w:space="0" w:color="auto"/>
        <w:right w:val="none" w:sz="0" w:space="0" w:color="auto"/>
      </w:divBdr>
    </w:div>
    <w:div w:id="1999723732">
      <w:bodyDiv w:val="1"/>
      <w:marLeft w:val="0"/>
      <w:marRight w:val="0"/>
      <w:marTop w:val="0"/>
      <w:marBottom w:val="0"/>
      <w:divBdr>
        <w:top w:val="none" w:sz="0" w:space="0" w:color="auto"/>
        <w:left w:val="none" w:sz="0" w:space="0" w:color="auto"/>
        <w:bottom w:val="none" w:sz="0" w:space="0" w:color="auto"/>
        <w:right w:val="none" w:sz="0" w:space="0" w:color="auto"/>
      </w:divBdr>
    </w:div>
    <w:div w:id="2027712514">
      <w:bodyDiv w:val="1"/>
      <w:marLeft w:val="0"/>
      <w:marRight w:val="0"/>
      <w:marTop w:val="0"/>
      <w:marBottom w:val="0"/>
      <w:divBdr>
        <w:top w:val="none" w:sz="0" w:space="0" w:color="auto"/>
        <w:left w:val="none" w:sz="0" w:space="0" w:color="auto"/>
        <w:bottom w:val="none" w:sz="0" w:space="0" w:color="auto"/>
        <w:right w:val="none" w:sz="0" w:space="0" w:color="auto"/>
      </w:divBdr>
    </w:div>
    <w:div w:id="2051419009">
      <w:bodyDiv w:val="1"/>
      <w:marLeft w:val="0"/>
      <w:marRight w:val="0"/>
      <w:marTop w:val="0"/>
      <w:marBottom w:val="0"/>
      <w:divBdr>
        <w:top w:val="none" w:sz="0" w:space="0" w:color="auto"/>
        <w:left w:val="none" w:sz="0" w:space="0" w:color="auto"/>
        <w:bottom w:val="none" w:sz="0" w:space="0" w:color="auto"/>
        <w:right w:val="none" w:sz="0" w:space="0" w:color="auto"/>
      </w:divBdr>
    </w:div>
    <w:div w:id="2121099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4dcece014c024a45bf9d7032cbe57b60" PartId="5dff558de5a34cf686a1cb6c32236afd">
    <Part Type="forma" Nr="1" Abbr="1 frm." Title="ŠVIETIMO, SPORTO PASLAUGŲ TIEKIMO IR PLĖTROS SAVIVALDYBĖS TERITORIJOJE" DocPartId="d11271dcc7374a1f99f51c061508df11" PartId="1baab96af3164db3be3de2f0c355a726"/>
  </Part>
  <Part Type="lentele" Title="PROGRAMOS APRAŠYMAS" DocPartId="d5dd34fb6af14925a19ca45922fd0f8d" PartId="3b1881ee5b6542ce9a5778f35131ae25"/>
  <Part Type="lentele" DocPartId="c85719e3834741f7bff38c0d2eb88a83" PartId="e577f5a6e20b46e29fbbddf1ef4448f7"/>
  <Part Type="lentele" DocPartId="260dc700c8314721ba044283fc8b8a1f" PartId="863bd5f17e8548b9af92ace6106423c4"/>
  <Part Type="lentele" DocPartId="feb72023d2ab4268a599d95e2d61b5d1" PartId="96de179014764d3494daab76f9a2bbf6"/>
  <Part Type="lentele" DocPartId="92a9d6f6c1c24c04b429a607edd35fa6" PartId="97746f57b98f4348a0c0607092ba976f"/>
  <Part Type="pastraipa" DocPartId="735ad82fbfa9416792c0944dcafdf764" PartId="322d4e4b562040bbb109a0f455310ba4"/>
</Parts>
</file>

<file path=customXml/itemProps1.xml><?xml version="1.0" encoding="utf-8"?>
<ds:datastoreItem xmlns:ds="http://schemas.openxmlformats.org/officeDocument/2006/customXml" ds:itemID="{C072061B-D178-4547-920B-62BCF739F97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4008</Words>
  <Characters>30066</Characters>
  <Application>Microsoft Office Word</Application>
  <DocSecurity>4</DocSecurity>
  <Lines>509</Lines>
  <Paragraphs>210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33864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2022-02-22T11:31:00Z</dcterms:created>
  <dc:creator>r.dirsiene</dc:creator>
  <lastModifiedBy>adlibuser</lastModifiedBy>
  <lastPrinted>2022-02-02T09:32:00Z</lastPrinted>
  <dcterms:modified xsi:type="dcterms:W3CDTF">2022-02-22T11:31:00Z</dcterms:modified>
  <revision>2</revision>
  <dc:title/>
</coreProperties>
</file>