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f0857305d764681a2235349211f3da4"/>
        <w:lock w:val="sdtLocked"/>
        <w:richText/>
      </w:sdtPr>
      <w:sdtContent>
        <w:p>
          <w:pPr>
            <w:tabs>
              <w:tab w:val="center" w:pos="4320"/>
              <w:tab w:val="right" w:pos="8640"/>
            </w:tabs>
            <w:rPr>
              <w:rFonts w:ascii="TimesLT" w:hAnsi="TimesLT"/>
              <w:lang w:val="en-GB"/>
            </w:rPr>
          </w:pPr>
        </w:p>
        <w:p>
          <w:pPr>
            <w:tabs>
              <w:tab w:val="left" w:pos="8647"/>
            </w:tabs>
            <w:ind w:right="141" w:firstLine="4378"/>
            <w:jc w:val="center"/>
            <w:rPr>
              <w:b/>
              <w:bCs/>
              <w:szCs w:val="24"/>
            </w:rPr>
          </w:pPr>
        </w:p>
        <w:tbl>
          <w:tblPr>
            <w:tblW w:w="0" w:type="auto"/>
            <w:tblLook w:val="04A0" w:firstRow="1" w:lastRow="0" w:firstColumn="1" w:lastColumn="0" w:noHBand="0" w:noVBand="1"/>
          </w:tblPr>
          <w:tblGrid>
            <w:gridCol w:w="4536"/>
          </w:tblGrid>
          <w:tr>
            <w:trPr>
              <w:trHeight w:val="851"/>
            </w:trPr>
            <w:tc>
              <w:tcPr>
                <w:tcW w:w="4536" w:type="dxa"/>
                <w:shd w:val="clear" w:color="auto" w:fill="auto"/>
              </w:tcPr>
              <w:p>
                <w:pPr>
                  <w:ind w:right="141"/>
                  <w:rPr>
                    <w:rFonts w:ascii="TimesLT" w:hAnsi="TimesLT"/>
                    <w:bCs/>
                  </w:rPr>
                </w:pPr>
                <w:r>
                  <w:rPr>
                    <w:rFonts w:ascii="TimesLT" w:hAnsi="TimesLT"/>
                    <w:bCs/>
                  </w:rPr>
                  <w:t xml:space="preserve">PATVIRTINTA                                                    Alytaus rajono savivaldybės tarybos                                                                           2022 m. vasario 17 d. sprendimu Nr. K-1                                                                             </w:t>
                </w:r>
              </w:p>
            </w:tc>
          </w:tr>
        </w:tbl>
        <w:p>
          <w:pPr>
            <w:tabs>
              <w:tab w:val="left" w:pos="8647"/>
            </w:tabs>
            <w:ind w:right="141" w:firstLine="5060"/>
            <w:jc w:val="center"/>
            <w:rPr>
              <w:b/>
              <w:bCs/>
              <w:szCs w:val="24"/>
            </w:rPr>
          </w:pPr>
        </w:p>
        <w:p>
          <w:pPr>
            <w:tabs>
              <w:tab w:val="left" w:pos="8647"/>
            </w:tabs>
            <w:ind w:right="141" w:firstLine="720"/>
            <w:jc w:val="center"/>
            <w:rPr>
              <w:b/>
              <w:bCs/>
              <w:szCs w:val="24"/>
            </w:rPr>
          </w:pPr>
        </w:p>
        <w:p>
          <w:pPr>
            <w:tabs>
              <w:tab w:val="left" w:pos="8647"/>
            </w:tabs>
            <w:ind w:right="141" w:firstLine="720"/>
            <w:jc w:val="center"/>
            <w:rPr>
              <w:bCs/>
              <w:szCs w:val="24"/>
            </w:rPr>
          </w:pPr>
        </w:p>
      </w:sdtContent>
    </w:sdt>
    <w:sdt>
      <w:sdtPr>
        <w:alias w:val="1 frm."/>
        <w:tag w:val="part_59f752bda6ed4abca16e6cf48a3592b0"/>
        <w:lock w:val="sdtLocked"/>
        <w:richText/>
      </w:sdtPr>
      <w:sdtContent>
        <w:p>
          <w:pPr>
            <w:tabs>
              <w:tab w:val="left" w:pos="8647"/>
            </w:tabs>
            <w:ind w:right="141" w:firstLine="720"/>
            <w:jc w:val="right"/>
            <w:rPr>
              <w:bCs/>
              <w:szCs w:val="24"/>
            </w:rPr>
          </w:pPr>
          <w:r>
            <w:rPr>
              <w:bCs/>
              <w:szCs w:val="24"/>
            </w:rPr>
            <w:t>1 priedas</w:t>
          </w:r>
        </w:p>
        <w:p>
          <w:pPr>
            <w:ind w:right="141"/>
            <w:jc w:val="right"/>
            <w:rPr>
              <w:bCs/>
              <w:szCs w:val="24"/>
            </w:rPr>
          </w:pPr>
          <w:r>
            <w:rPr>
              <w:bCs/>
              <w:szCs w:val="24"/>
            </w:rPr>
            <w:t>1 b forma</w:t>
          </w:r>
        </w:p>
        <w:p>
          <w:pPr>
            <w:rPr>
              <w:sz w:val="10"/>
              <w:szCs w:val="10"/>
            </w:rPr>
          </w:pPr>
        </w:p>
        <w:p>
          <w:pPr>
            <w:jc w:val="center"/>
            <w:rPr>
              <w:b/>
              <w:bCs/>
              <w:szCs w:val="24"/>
            </w:rPr>
          </w:pPr>
          <w:sdt>
            <w:sdtPr>
              <w:alias w:val="Pavadinimas"/>
              <w:tag w:val="title_59f752bda6ed4abca16e6cf48a3592b0"/>
              <w:lock w:val="sdtLocked"/>
              <w:richText/>
            </w:sdtPr>
            <w:sdtContent>
              <w:r>
                <w:rPr>
                  <w:b/>
                  <w:iCs/>
                  <w:caps/>
                  <w:szCs w:val="24"/>
                </w:rPr>
                <w:t>Urbanistinės plėtros ir strategijos formavimo</w:t>
              </w:r>
            </w:sdtContent>
          </w:sdt>
        </w:p>
        <w:p>
          <w:pPr>
            <w:rPr>
              <w:sz w:val="10"/>
              <w:szCs w:val="10"/>
            </w:rPr>
          </w:pPr>
        </w:p>
        <w:sdt>
          <w:sdtPr>
            <w:alias w:val="lentele"/>
            <w:tag w:val="part_54b02b2f2ac0450193da0289f0d70540"/>
            <w:lock w:val="sdtLocked"/>
            <w:richText/>
          </w:sdtPr>
          <w:sdtContent>
            <w:p>
              <w:pPr>
                <w:jc w:val="center"/>
                <w:rPr>
                  <w:b/>
                  <w:bCs/>
                  <w:szCs w:val="24"/>
                </w:rPr>
              </w:pPr>
              <w:sdt>
                <w:sdtPr>
                  <w:alias w:val="Pavadinimas"/>
                  <w:tag w:val="title_54b02b2f2ac0450193da0289f0d70540"/>
                  <w:lock w:val="sdtLocked"/>
                  <w:richText/>
                </w:sdtPr>
                <w:sdtContent>
                  <w:r>
                    <w:rPr>
                      <w:b/>
                      <w:bCs/>
                      <w:szCs w:val="24"/>
                    </w:rPr>
                    <w:t>PROGRAMOS APRAŠYMAS</w:t>
                  </w:r>
                </w:sdtContent>
              </w:sdt>
            </w:p>
            <w:p>
              <w:pPr>
                <w:rPr>
                  <w:sz w:val="10"/>
                  <w:szCs w:val="10"/>
                </w:rPr>
              </w:pPr>
            </w:p>
            <w:p>
              <w:pPr>
                <w:tabs>
                  <w:tab w:val="left" w:pos="1247"/>
                </w:tabs>
                <w:ind w:firstLine="720"/>
                <w:jc w:val="both"/>
                <w:rPr>
                  <w:bCs/>
                  <w:szCs w:val="24"/>
                </w:rPr>
              </w:pPr>
            </w:p>
            <w:p>
              <w:pPr>
                <w:rPr>
                  <w:sz w:val="10"/>
                  <w:szCs w:val="10"/>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085"/>
                <w:gridCol w:w="6560"/>
              </w:tblGrid>
              <w:tr>
                <w:tc>
                  <w:tcPr>
                    <w:tcW w:w="3085" w:type="dxa"/>
                    <w:vAlign w:val="center"/>
                  </w:tcPr>
                  <w:p>
                    <w:pPr>
                      <w:keepNext/>
                      <w:spacing w:line="360" w:lineRule="auto"/>
                      <w:rPr>
                        <w:b/>
                        <w:bCs/>
                        <w:szCs w:val="24"/>
                      </w:rPr>
                    </w:pPr>
                    <w:r>
                      <w:rPr>
                        <w:b/>
                        <w:bCs/>
                        <w:szCs w:val="24"/>
                      </w:rPr>
                      <w:t>Biudžetiniai metai</w:t>
                    </w:r>
                  </w:p>
                </w:tc>
                <w:tc>
                  <w:tcPr>
                    <w:tcW w:w="6560" w:type="dxa"/>
                    <w:vAlign w:val="center"/>
                  </w:tcPr>
                  <w:p>
                    <w:pPr>
                      <w:rPr>
                        <w:b/>
                        <w:szCs w:val="24"/>
                      </w:rPr>
                    </w:pPr>
                    <w:r>
                      <w:rPr>
                        <w:b/>
                        <w:szCs w:val="24"/>
                      </w:rPr>
                      <w:t>2022 metai</w:t>
                    </w:r>
                  </w:p>
                </w:tc>
              </w:tr>
              <w:tr>
                <w:tc>
                  <w:tcPr>
                    <w:tcW w:w="3085" w:type="dxa"/>
                    <w:vAlign w:val="center"/>
                  </w:tcPr>
                  <w:p>
                    <w:pPr>
                      <w:keepNext/>
                      <w:spacing w:line="360" w:lineRule="auto"/>
                      <w:rPr>
                        <w:b/>
                        <w:bCs/>
                        <w:szCs w:val="24"/>
                      </w:rPr>
                    </w:pPr>
                    <w:r>
                      <w:rPr>
                        <w:b/>
                        <w:bCs/>
                        <w:szCs w:val="24"/>
                      </w:rPr>
                      <w:t xml:space="preserve">Asignavimų valdytojas </w:t>
                    </w:r>
                  </w:p>
                  <w:p>
                    <w:pPr>
                      <w:keepNext/>
                      <w:spacing w:line="360" w:lineRule="auto"/>
                      <w:rPr>
                        <w:b/>
                        <w:bCs/>
                        <w:szCs w:val="24"/>
                      </w:rPr>
                    </w:pPr>
                    <w:r>
                      <w:rPr>
                        <w:b/>
                        <w:bCs/>
                        <w:szCs w:val="24"/>
                      </w:rPr>
                      <w:t>(-ai), kodas (-ai)</w:t>
                    </w:r>
                  </w:p>
                </w:tc>
                <w:tc>
                  <w:tcPr>
                    <w:tcW w:w="6560" w:type="dxa"/>
                    <w:vAlign w:val="center"/>
                  </w:tcPr>
                  <w:p>
                    <w:pPr>
                      <w:rPr>
                        <w:b/>
                        <w:szCs w:val="24"/>
                      </w:rPr>
                    </w:pPr>
                    <w:r>
                      <w:rPr>
                        <w:b/>
                        <w:szCs w:val="24"/>
                      </w:rPr>
                      <w:t>Alytaus rajono savivaldybės administracijos direktorius, 188718528</w:t>
                    </w:r>
                  </w:p>
                </w:tc>
              </w:tr>
              <w:tr>
                <w:tc>
                  <w:tcPr>
                    <w:tcW w:w="3085" w:type="dxa"/>
                    <w:vAlign w:val="center"/>
                  </w:tcPr>
                  <w:p>
                    <w:pPr>
                      <w:keepNext/>
                      <w:spacing w:line="360" w:lineRule="auto"/>
                      <w:rPr>
                        <w:b/>
                        <w:bCs/>
                        <w:szCs w:val="24"/>
                      </w:rPr>
                    </w:pPr>
                    <w:r>
                      <w:rPr>
                        <w:b/>
                        <w:bCs/>
                        <w:szCs w:val="24"/>
                      </w:rPr>
                      <w:t>Vykdytojas (-ai), kodas (-ai)</w:t>
                    </w:r>
                  </w:p>
                </w:tc>
                <w:tc>
                  <w:tcPr>
                    <w:tcW w:w="6560" w:type="dxa"/>
                    <w:vAlign w:val="center"/>
                  </w:tcPr>
                  <w:p>
                    <w:pPr>
                      <w:rPr>
                        <w:bCs/>
                        <w:szCs w:val="24"/>
                      </w:rPr>
                    </w:pPr>
                    <w:r>
                      <w:rPr>
                        <w:b/>
                        <w:szCs w:val="24"/>
                      </w:rPr>
                      <w:t>Komunalinio ūkio ir architektūros skyrius, A1</w:t>
                    </w:r>
                  </w:p>
                </w:tc>
              </w:tr>
            </w:tbl>
            <w:p>
              <w:pPr>
                <w:jc w:val="center"/>
                <w:rPr>
                  <w:b/>
                  <w:strike/>
                  <w:szCs w:val="24"/>
                </w:rPr>
              </w:pPr>
            </w:p>
          </w:sdtContent>
        </w:sdt>
        <w:sdt>
          <w:sdtPr>
            <w:alias w:val="lentele"/>
            <w:tag w:val="part_89211a1d23be40a3900fed17b0f6c738"/>
            <w:lock w:val="sdtLocked"/>
            <w:richText/>
          </w:sdtPr>
          <w:sdtContent>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085"/>
                <w:gridCol w:w="4940"/>
                <w:gridCol w:w="900"/>
                <w:gridCol w:w="720"/>
              </w:tblGrid>
              <w:tr>
                <w:trPr>
                  <w:trHeight w:val="341"/>
                </w:trPr>
                <w:tc>
                  <w:tcPr>
                    <w:tcW w:w="3085" w:type="dxa"/>
                  </w:tcPr>
                  <w:p>
                    <w:pPr>
                      <w:keepNext/>
                      <w:tabs>
                        <w:tab w:val="left" w:pos="0"/>
                        <w:tab w:val="left" w:pos="180"/>
                      </w:tabs>
                      <w:outlineLvl w:val="2"/>
                      <w:rPr>
                        <w:b/>
                        <w:bCs/>
                        <w:szCs w:val="24"/>
                      </w:rPr>
                    </w:pPr>
                    <w:r>
                      <w:rPr>
                        <w:b/>
                        <w:bCs/>
                        <w:szCs w:val="24"/>
                      </w:rPr>
                      <w:t>Programos pavadinimas</w:t>
                    </w:r>
                  </w:p>
                </w:tc>
                <w:tc>
                  <w:tcPr>
                    <w:tcW w:w="4940" w:type="dxa"/>
                  </w:tcPr>
                  <w:p>
                    <w:pPr>
                      <w:jc w:val="both"/>
                      <w:rPr>
                        <w:b/>
                        <w:bCs/>
                        <w:strike/>
                        <w:szCs w:val="24"/>
                      </w:rPr>
                    </w:pPr>
                    <w:r>
                      <w:rPr>
                        <w:b/>
                        <w:bCs/>
                        <w:szCs w:val="24"/>
                      </w:rPr>
                      <w:t>Urbanistinės plėtros ir strategijos formavimas</w:t>
                    </w:r>
                  </w:p>
                </w:tc>
                <w:tc>
                  <w:tcPr>
                    <w:tcW w:w="900" w:type="dxa"/>
                  </w:tcPr>
                  <w:p>
                    <w:pPr>
                      <w:keepNext/>
                      <w:jc w:val="both"/>
                      <w:outlineLvl w:val="3"/>
                      <w:rPr>
                        <w:b/>
                        <w:bCs/>
                        <w:szCs w:val="24"/>
                      </w:rPr>
                    </w:pPr>
                    <w:r>
                      <w:rPr>
                        <w:b/>
                        <w:bCs/>
                        <w:szCs w:val="24"/>
                        <w:lang w:eastAsia="lt-LT"/>
                      </w:rPr>
                      <w:t>Kodas</w:t>
                    </w:r>
                  </w:p>
                </w:tc>
                <w:tc>
                  <w:tcPr>
                    <w:tcW w:w="720" w:type="dxa"/>
                  </w:tcPr>
                  <w:p>
                    <w:pPr>
                      <w:jc w:val="center"/>
                      <w:rPr>
                        <w:b/>
                        <w:szCs w:val="24"/>
                      </w:rPr>
                    </w:pPr>
                    <w:r>
                      <w:rPr>
                        <w:b/>
                        <w:szCs w:val="24"/>
                      </w:rPr>
                      <w:t>03</w:t>
                    </w:r>
                  </w:p>
                </w:tc>
              </w:tr>
            </w:tbl>
            <w:p>
              <w:pPr>
                <w:jc w:val="center"/>
                <w:rPr>
                  <w:b/>
                  <w:strike/>
                  <w:szCs w:val="24"/>
                </w:rPr>
              </w:pPr>
            </w:p>
          </w:sdtContent>
        </w:sdt>
        <w:sdt>
          <w:sdtPr>
            <w:alias w:val="lentele"/>
            <w:tag w:val="part_c901ce3fcaf744a293693cd2eb1ab8b5"/>
            <w:lock w:val="sdtLocked"/>
            <w:richText/>
          </w:sdtPr>
          <w:sdtContent>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085"/>
                <w:gridCol w:w="4940"/>
                <w:gridCol w:w="900"/>
                <w:gridCol w:w="720"/>
              </w:tblGrid>
              <w:tr>
                <w:trPr>
                  <w:cantSplit/>
                </w:trPr>
                <w:tc>
                  <w:tcPr>
                    <w:tcW w:w="3085" w:type="dxa"/>
                    <w:tcBorders>
                      <w:bottom w:val="nil"/>
                    </w:tcBorders>
                    <w:vAlign w:val="center"/>
                  </w:tcPr>
                  <w:p>
                    <w:pPr>
                      <w:rPr>
                        <w:b/>
                        <w:szCs w:val="24"/>
                      </w:rPr>
                    </w:pPr>
                    <w:r>
                      <w:rPr>
                        <w:b/>
                        <w:szCs w:val="24"/>
                      </w:rPr>
                      <w:t>Programos parengimo argumentai</w:t>
                    </w:r>
                  </w:p>
                </w:tc>
                <w:tc>
                  <w:tcPr>
                    <w:tcW w:w="6560" w:type="dxa"/>
                    <w:gridSpan w:val="3"/>
                    <w:tcBorders>
                      <w:bottom w:val="nil"/>
                    </w:tcBorders>
                  </w:tcPr>
                  <w:p>
                    <w:pPr>
                      <w:ind w:firstLine="567"/>
                      <w:jc w:val="both"/>
                      <w:rPr>
                        <w:szCs w:val="24"/>
                      </w:rPr>
                    </w:pPr>
                    <w:r>
                      <w:rPr>
                        <w:szCs w:val="24"/>
                      </w:rPr>
                      <w:t>Programa ilgalaikė. Ji parengta siekiant racionaliai planuoti teritorijas urbanistinei ir infrastruktūros plėtrai, padidinti miestuose bei kaimo teritorijose viešųjų erdvių patrauklumą, plėsti bei modernizuoti rekreacinės infrastruktūros objektus ir statinius.</w:t>
                    </w:r>
                  </w:p>
                  <w:p>
                    <w:pPr>
                      <w:ind w:firstLine="567"/>
                      <w:jc w:val="both"/>
                      <w:rPr>
                        <w:b/>
                        <w:strike/>
                        <w:szCs w:val="24"/>
                      </w:rPr>
                    </w:pPr>
                    <w:r>
                      <w:rPr>
                        <w:szCs w:val="24"/>
                      </w:rPr>
                      <w:t xml:space="preserve">Vykdant programą, įgyvendinamos Lietuvos Respublikos Vietos savivaldos įstatymu deleguotos funkcijos: teritorijų planavimas, savivaldybės teritorijos ir miestų bendrųjų planų sprendinių bei reikalavimų įgyvendinimas. Užtikrinamas tinkamas ir savalaikis bendrųjų, specialiųjų ir detaliųjų planų rengimui reikalingų sąlygų parengimas,  statybas leidžiančių dokumentų išdavimas, seniūnijų, kaimų bei gyvenviečių ribų nustatymas bei savalaikis  dokumentų parengimas žemės sklypų įteisinimui savivaldybei valstybės deleguotoms funkcijoms vykdyti. Viena iš valstybinių (valstybės perduotų savivaldybėms) funkcijų yra savivaldybės erdvinių duomenų rinkinio tvarkymas (SEDR). Duomenys bus naudojami planuojant teritorijas ir administruojant savivaldybės teritorijoje esančius inžinerinius tinklus. Ši programa yra susijusi  su visomis kitomis Savivaldybės programomis – laiku parengti teritorijų planavimo dokumentai bei žemės sklypų įteisinimai suteikia galimybes tolimesnei rajono plėtrai įgyvendinti.</w:t>
                    </w:r>
                  </w:p>
                </w:tc>
              </w:tr>
              <w:tr>
                <w:trPr>
                  <w:cantSplit/>
                </w:trPr>
                <w:tc>
                  <w:tcPr>
                    <w:tcW w:w="3085" w:type="dxa"/>
                    <w:vAlign w:val="center"/>
                  </w:tcPr>
                  <w:p>
                    <w:pPr>
                      <w:rPr>
                        <w:b/>
                        <w:szCs w:val="24"/>
                      </w:rPr>
                    </w:pPr>
                    <w:r>
                      <w:rPr>
                        <w:b/>
                        <w:szCs w:val="24"/>
                      </w:rPr>
                      <w:t>Ilgalaikis prioritetas</w:t>
                    </w:r>
                  </w:p>
                  <w:p>
                    <w:pPr>
                      <w:rPr>
                        <w:b/>
                        <w:szCs w:val="24"/>
                      </w:rPr>
                    </w:pPr>
                    <w:r>
                      <w:rPr>
                        <w:b/>
                        <w:szCs w:val="24"/>
                      </w:rPr>
                      <w:t>(pagal Alytaus rajono savivaldybės strateginį plėtros planą)</w:t>
                    </w:r>
                  </w:p>
                </w:tc>
                <w:tc>
                  <w:tcPr>
                    <w:tcW w:w="4940" w:type="dxa"/>
                    <w:vAlign w:val="center"/>
                  </w:tcPr>
                  <w:p>
                    <w:pPr>
                      <w:jc w:val="both"/>
                      <w:outlineLvl w:val="4"/>
                      <w:rPr>
                        <w:b/>
                        <w:bCs/>
                        <w:iCs/>
                        <w:szCs w:val="24"/>
                      </w:rPr>
                    </w:pPr>
                    <w:r>
                      <w:rPr>
                        <w:b/>
                        <w:bCs/>
                        <w:iCs/>
                        <w:szCs w:val="24"/>
                      </w:rPr>
                      <w:t>Patogus, svetingas, žalias rajonas</w:t>
                    </w:r>
                  </w:p>
                </w:tc>
                <w:tc>
                  <w:tcPr>
                    <w:tcW w:w="900" w:type="dxa"/>
                    <w:vAlign w:val="center"/>
                  </w:tcPr>
                  <w:p>
                    <w:pPr>
                      <w:outlineLvl w:val="4"/>
                      <w:rPr>
                        <w:b/>
                        <w:bCs/>
                        <w:iCs/>
                        <w:szCs w:val="24"/>
                      </w:rPr>
                    </w:pPr>
                    <w:r>
                      <w:rPr>
                        <w:b/>
                        <w:iCs/>
                        <w:szCs w:val="24"/>
                        <w:lang w:eastAsia="lt-LT"/>
                      </w:rPr>
                      <w:t>Kodas</w:t>
                    </w:r>
                  </w:p>
                </w:tc>
                <w:tc>
                  <w:tcPr>
                    <w:tcW w:w="720" w:type="dxa"/>
                    <w:vAlign w:val="center"/>
                  </w:tcPr>
                  <w:p>
                    <w:pPr>
                      <w:outlineLvl w:val="4"/>
                      <w:rPr>
                        <w:b/>
                        <w:bCs/>
                        <w:iCs/>
                        <w:szCs w:val="24"/>
                      </w:rPr>
                    </w:pPr>
                    <w:r>
                      <w:rPr>
                        <w:b/>
                        <w:bCs/>
                        <w:iCs/>
                        <w:szCs w:val="24"/>
                      </w:rPr>
                      <w:t>03</w:t>
                    </w:r>
                  </w:p>
                </w:tc>
              </w:tr>
              <w:tr>
                <w:trPr>
                  <w:cantSplit/>
                </w:trPr>
                <w:tc>
                  <w:tcPr>
                    <w:tcW w:w="3085" w:type="dxa"/>
                    <w:vAlign w:val="center"/>
                  </w:tcPr>
                  <w:p>
                    <w:pPr>
                      <w:rPr>
                        <w:b/>
                        <w:szCs w:val="24"/>
                      </w:rPr>
                    </w:pPr>
                    <w:r>
                      <w:rPr>
                        <w:b/>
                        <w:szCs w:val="24"/>
                      </w:rPr>
                      <w:t>Šia programa įgyvendinamas savivaldybės strateginis tikslas:</w:t>
                    </w:r>
                  </w:p>
                </w:tc>
                <w:tc>
                  <w:tcPr>
                    <w:tcW w:w="4940" w:type="dxa"/>
                    <w:vAlign w:val="center"/>
                  </w:tcPr>
                  <w:p>
                    <w:pPr>
                      <w:jc w:val="both"/>
                      <w:rPr>
                        <w:b/>
                        <w:bCs/>
                        <w:strike/>
                        <w:szCs w:val="24"/>
                      </w:rPr>
                    </w:pPr>
                    <w:r>
                      <w:rPr>
                        <w:rFonts w:ascii="TimesLT" w:hAnsi="TimesLT" w:cs="Calibri"/>
                        <w:b/>
                        <w:bCs/>
                        <w:color w:val="000000"/>
                        <w:lang w:eastAsia="lt-LT"/>
                      </w:rPr>
                      <w:t>UŽTIKRINTI SUBALANSUOTĄ IR TVARIĄ ARS TERITORINĘ PLĖTRĄ IR RAIDĄ</w:t>
                    </w:r>
                  </w:p>
                </w:tc>
                <w:tc>
                  <w:tcPr>
                    <w:tcW w:w="900" w:type="dxa"/>
                    <w:vAlign w:val="center"/>
                  </w:tcPr>
                  <w:p>
                    <w:pPr>
                      <w:keepNext/>
                      <w:outlineLvl w:val="3"/>
                      <w:rPr>
                        <w:b/>
                        <w:bCs/>
                        <w:szCs w:val="24"/>
                      </w:rPr>
                    </w:pPr>
                    <w:r>
                      <w:rPr>
                        <w:b/>
                        <w:bCs/>
                        <w:szCs w:val="24"/>
                        <w:lang w:eastAsia="lt-LT"/>
                      </w:rPr>
                      <w:t>Kodas</w:t>
                    </w:r>
                  </w:p>
                </w:tc>
                <w:tc>
                  <w:tcPr>
                    <w:tcW w:w="720" w:type="dxa"/>
                    <w:vAlign w:val="center"/>
                  </w:tcPr>
                  <w:p>
                    <w:pPr>
                      <w:rPr>
                        <w:b/>
                        <w:szCs w:val="24"/>
                      </w:rPr>
                    </w:pPr>
                    <w:r>
                      <w:rPr>
                        <w:b/>
                        <w:szCs w:val="24"/>
                      </w:rPr>
                      <w:t>04</w:t>
                    </w:r>
                  </w:p>
                </w:tc>
              </w:tr>
              <w:tr>
                <w:trPr>
                  <w:cantSplit/>
                </w:trPr>
                <w:tc>
                  <w:tcPr>
                    <w:tcW w:w="3085" w:type="dxa"/>
                    <w:vAlign w:val="center"/>
                  </w:tcPr>
                  <w:p>
                    <w:pPr>
                      <w:keepNext/>
                      <w:spacing w:line="360" w:lineRule="auto"/>
                      <w:rPr>
                        <w:b/>
                        <w:bCs/>
                        <w:szCs w:val="24"/>
                      </w:rPr>
                    </w:pPr>
                    <w:r>
                      <w:rPr>
                        <w:b/>
                        <w:bCs/>
                        <w:szCs w:val="24"/>
                      </w:rPr>
                      <w:t>Programos tikslas</w:t>
                    </w:r>
                  </w:p>
                </w:tc>
                <w:tc>
                  <w:tcPr>
                    <w:tcW w:w="4940" w:type="dxa"/>
                    <w:vAlign w:val="center"/>
                  </w:tcPr>
                  <w:p>
                    <w:pPr>
                      <w:jc w:val="both"/>
                      <w:rPr>
                        <w:b/>
                        <w:strike/>
                        <w:szCs w:val="24"/>
                      </w:rPr>
                    </w:pPr>
                    <w:r>
                      <w:rPr>
                        <w:b/>
                        <w:szCs w:val="24"/>
                      </w:rPr>
                      <w:t xml:space="preserve">Užtikrinti gerą teritorijų planavimą,  tinkamą žemės sklypų formavimą ir pertvarkymą, prisidėti prie turizmo ir kitų paslaugų plėtojimo</w:t>
                    </w:r>
                  </w:p>
                </w:tc>
                <w:tc>
                  <w:tcPr>
                    <w:tcW w:w="900" w:type="dxa"/>
                    <w:vAlign w:val="center"/>
                  </w:tcPr>
                  <w:p>
                    <w:pPr>
                      <w:keepNext/>
                      <w:spacing w:line="360" w:lineRule="auto"/>
                      <w:rPr>
                        <w:b/>
                        <w:bCs/>
                        <w:szCs w:val="24"/>
                      </w:rPr>
                    </w:pPr>
                    <w:r>
                      <w:rPr>
                        <w:b/>
                        <w:bCs/>
                        <w:szCs w:val="24"/>
                      </w:rPr>
                      <w:t>Kodas</w:t>
                    </w:r>
                  </w:p>
                </w:tc>
                <w:tc>
                  <w:tcPr>
                    <w:tcW w:w="720" w:type="dxa"/>
                    <w:vAlign w:val="center"/>
                  </w:tcPr>
                  <w:p>
                    <w:pPr>
                      <w:rPr>
                        <w:b/>
                        <w:szCs w:val="24"/>
                      </w:rPr>
                    </w:pPr>
                    <w:r>
                      <w:rPr>
                        <w:b/>
                        <w:szCs w:val="24"/>
                      </w:rPr>
                      <w:t>01</w:t>
                    </w:r>
                  </w:p>
                </w:tc>
              </w:tr>
              <w:tr>
                <w:trPr>
                  <w:cantSplit/>
                </w:trPr>
                <w:tc>
                  <w:tcPr>
                    <w:tcW w:w="9645" w:type="dxa"/>
                    <w:gridSpan w:val="4"/>
                    <w:vAlign w:val="center"/>
                  </w:tcPr>
                  <w:p>
                    <w:pPr>
                      <w:rPr>
                        <w:sz w:val="10"/>
                        <w:szCs w:val="10"/>
                      </w:rPr>
                    </w:pPr>
                  </w:p>
                  <w:p>
                    <w:pPr>
                      <w:jc w:val="both"/>
                      <w:rPr>
                        <w:bCs/>
                        <w:szCs w:val="24"/>
                      </w:rPr>
                    </w:pPr>
                    <w:r>
                      <w:rPr>
                        <w:b/>
                        <w:bCs/>
                        <w:szCs w:val="24"/>
                      </w:rPr>
                      <w:t xml:space="preserve">Tikslo įgyvendinimo aprašymas: </w:t>
                    </w:r>
                    <w:r>
                      <w:rPr>
                        <w:bCs/>
                        <w:szCs w:val="24"/>
                      </w:rPr>
                      <w:t>rengti teritorijų planavimo dokumentus, padedančius užtikrinti urbanistinės plėtros ir strategijos formavimą. Siekti darnios urbanistinės plėtros, sukuriant palankias sąlygas tiek gyvenamajai aplinkai, tiek verslo plėtrai, užtikrinant jų tarpusavio sinergiją. Didinti gyvenamosios aplinkos, infrastruktūros, paslaugų patrauklumą ir patogumą gyventojams, tuo pačiu skatinant verslo investicijas, kurios sukurtų naujas darbo vietas rajono gyventojams. Užtikrinti gamtinės aplinkos, kultūros paveldo apsaugą bei suplanuoti teritorijas skirtas pramonės, turizmo ir žemės ūkio plėtrai. Šiam tikslui įgyvendinti iškeliami uždaviniai:</w:t>
                    </w:r>
                  </w:p>
                  <w:p>
                    <w:pPr>
                      <w:rPr>
                        <w:sz w:val="10"/>
                        <w:szCs w:val="10"/>
                      </w:rPr>
                    </w:pPr>
                  </w:p>
                  <w:p>
                    <w:pPr>
                      <w:jc w:val="both"/>
                      <w:rPr>
                        <w:b/>
                        <w:bCs/>
                        <w:szCs w:val="24"/>
                      </w:rPr>
                    </w:pPr>
                    <w:r>
                      <w:rPr>
                        <w:b/>
                        <w:bCs/>
                        <w:szCs w:val="24"/>
                      </w:rPr>
                      <w:t>01 Uždavinys. Organizuoti teritorijų planavimą, pagal poreikį užtikrinti žemės sklypų formavimą ir pertvarkymą.</w:t>
                    </w:r>
                  </w:p>
                  <w:p>
                    <w:pPr>
                      <w:rPr>
                        <w:sz w:val="10"/>
                        <w:szCs w:val="10"/>
                      </w:rPr>
                    </w:pPr>
                  </w:p>
                  <w:p>
                    <w:pPr>
                      <w:jc w:val="both"/>
                      <w:rPr>
                        <w:bCs/>
                        <w:szCs w:val="24"/>
                      </w:rPr>
                    </w:pPr>
                    <w:r>
                      <w:rPr>
                        <w:b/>
                        <w:bCs/>
                        <w:i/>
                        <w:szCs w:val="24"/>
                      </w:rPr>
                      <w:t xml:space="preserve">01 priemonė. Kadastro ir registro duomenų tvarkymas. </w:t>
                    </w:r>
                    <w:r>
                      <w:rPr>
                        <w:bCs/>
                        <w:szCs w:val="24"/>
                      </w:rPr>
                      <w:t xml:space="preserve">Vykdant šią priemonę, pagal poreikį rengiami žemės valdų planai, kadastriniai žemės sklypų matavimai, topografinės nuotraukos, siekiant užtikrinti savivaldybės funkcijoms reikalingų žemės sklypų poreikį. Organizuojamas žemės sklypų pirkimas visuomenės poreikiams tenkinti. Taip pat, kuriamos ir nuolat pildomos ir administruojamos duomenų bazės GIS pagrindu, siekiant užtikrinti patogų duomenų prieinamumą ir informacijos perdavimą tolimesniems darbų etapams. </w:t>
                    </w:r>
                  </w:p>
                  <w:p>
                    <w:pPr>
                      <w:rPr>
                        <w:sz w:val="10"/>
                        <w:szCs w:val="10"/>
                      </w:rPr>
                    </w:pPr>
                  </w:p>
                  <w:p>
                    <w:pPr>
                      <w:jc w:val="both"/>
                      <w:rPr>
                        <w:bCs/>
                        <w:szCs w:val="24"/>
                      </w:rPr>
                    </w:pPr>
                    <w:r>
                      <w:rPr>
                        <w:b/>
                        <w:bCs/>
                        <w:i/>
                        <w:szCs w:val="24"/>
                      </w:rPr>
                      <w:t>02 priemonė. Savivaldybės teritorijos planavimas ir stebėsena</w:t>
                    </w:r>
                    <w:r>
                      <w:rPr>
                        <w:bCs/>
                        <w:szCs w:val="24"/>
                      </w:rPr>
                      <w:t xml:space="preserve">. Vykdant šią priemonę numatoma organizuoti Alytaus rajono savivaldybės teritorijos bendrojo plano sprendinių įgyvendinimo plane numatytų teritorijų planavimo dokumentų rengimą bei atlikti esamų teritorijų planavimo dokumentų stebėseną. 2022 metais numatyta pradėti rengti Alytaus rajono savivaldybės teritorijos vietinės reikšmės kelių tinklo išdėstymo specialųjį planą,  inicijuoti Daugų miesto bendrojo plano keitimo procedūras. Pradėti rengti Simno miesto teritorijos bendąjį planą, baigti vandens tiekimo ir nuotekų tvarkymo infrastruktūros plėtros specialiojo plano rengimą, inicijuoti atsinaujinančių energijos šaltinių specialiojo plano rengimą, siekiant tinkamai įgyvendinti LR savivaldybių infrastruktūros plėtros įstatymą.</w:t>
                    </w:r>
                  </w:p>
                  <w:p>
                    <w:pPr>
                      <w:rPr>
                        <w:sz w:val="10"/>
                        <w:szCs w:val="10"/>
                      </w:rPr>
                    </w:pPr>
                  </w:p>
                  <w:p>
                    <w:pPr>
                      <w:jc w:val="both"/>
                      <w:rPr>
                        <w:bCs/>
                        <w:szCs w:val="24"/>
                      </w:rPr>
                    </w:pPr>
                    <w:r>
                      <w:rPr>
                        <w:b/>
                        <w:bCs/>
                        <w:i/>
                        <w:szCs w:val="24"/>
                      </w:rPr>
                      <w:t xml:space="preserve">03 priemonė. Savivaldybei priskirtos valstybinės žemės ir kito valstybės turto valdymas, naudojimas ir disponavimas juo pasitikėjimo teise. </w:t>
                    </w:r>
                    <w:r>
                      <w:rPr>
                        <w:bCs/>
                        <w:szCs w:val="24"/>
                      </w:rPr>
                      <w:t xml:space="preserve">Vykdant šią priemonę, numatoma esant poreikiui organizuoti valstybinės žemės sklypų valdymo patikėjimo teise organizavimą.  Šiam tikslui, pagal ankstesniais metais vyriausybei teiktą planuojamą patikėjimo teise perimti valdyti žemės sklypų poreikį, yra skirtos valstybės deleguotos lėšos, kurios nėra išnaudotos ir gali būti toliau naudojamos šiam tikslui. Ši priemonė įgyvendinama, organizuojant valstybinės žemės sklypų valdymą patikėjimo teise.</w:t>
                    </w:r>
                  </w:p>
                  <w:p>
                    <w:pPr>
                      <w:rPr>
                        <w:sz w:val="10"/>
                        <w:szCs w:val="10"/>
                      </w:rPr>
                    </w:pPr>
                  </w:p>
                  <w:p>
                    <w:pPr>
                      <w:jc w:val="both"/>
                      <w:rPr>
                        <w:b/>
                        <w:szCs w:val="24"/>
                      </w:rPr>
                    </w:pPr>
                    <w:r>
                      <w:rPr>
                        <w:b/>
                        <w:szCs w:val="24"/>
                      </w:rPr>
                      <w:t xml:space="preserve">02 Uždavinys. Savivaldybės erdvinių duomenų rinkinio (SEDR) sudarymas ir nuolatinis atnaujinimas. </w:t>
                    </w:r>
                  </w:p>
                  <w:p>
                    <w:pPr>
                      <w:rPr>
                        <w:sz w:val="10"/>
                        <w:szCs w:val="10"/>
                      </w:rPr>
                    </w:pPr>
                  </w:p>
                  <w:p>
                    <w:pPr>
                      <w:jc w:val="both"/>
                      <w:rPr>
                        <w:b/>
                        <w:szCs w:val="24"/>
                      </w:rPr>
                    </w:pPr>
                    <w:r>
                      <w:rPr>
                        <w:b/>
                        <w:i/>
                        <w:szCs w:val="24"/>
                      </w:rPr>
                      <w:t xml:space="preserve">01 priemonė. Savivaldybėms priskirtiems geodezijos ir kartografijos darbams (savivaldybių duomenų rinkiniams tvarkyti) organizuoti ir vykdyti. </w:t>
                    </w:r>
                    <w:r>
                      <w:rPr>
                        <w:szCs w:val="24"/>
                      </w:rPr>
                      <w:t>SEDR sudaromas ir atnaujinamas naudojant savivaldybės teritorijos topografinių planų ir inžinerinių tinklų planų erdvinių objektų</w:t>
                    </w:r>
                  </w:p>
                </w:tc>
              </w:tr>
            </w:tbl>
            <w:p>
              <w:pPr>
                <w:rPr>
                  <w:b/>
                  <w:strike/>
                  <w:szCs w:val="24"/>
                </w:rPr>
              </w:pPr>
            </w:p>
          </w:sdtContent>
        </w:sdt>
        <w:sdt>
          <w:sdtPr>
            <w:alias w:val="lentele"/>
            <w:tag w:val="part_c8448d0a5f034dce8ee2b57f30a5a6fe"/>
            <w:lock w:val="sdtLocked"/>
            <w:richText/>
          </w:sdtPr>
          <w:sdtContent>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645"/>
              </w:tblGrid>
              <w:tr>
                <w:trPr>
                  <w:cantSplit/>
                  <w:trHeight w:val="471"/>
                </w:trPr>
                <w:tc>
                  <w:tcPr>
                    <w:tcW w:w="9645" w:type="dxa"/>
                  </w:tcPr>
                  <w:p>
                    <w:pPr>
                      <w:jc w:val="both"/>
                      <w:rPr>
                        <w:szCs w:val="24"/>
                      </w:rPr>
                    </w:pPr>
                    <w:r>
                      <w:rPr>
                        <w:szCs w:val="24"/>
                      </w:rPr>
                      <w:t>rinkinius, pateiktus derinti savivaldybei TIIIS (</w:t>
                    </w:r>
                    <w:r>
                      <w:rPr>
                        <w:color w:val="4D5156"/>
                        <w:szCs w:val="24"/>
                        <w:shd w:val="clear" w:color="auto" w:fill="FFFFFF"/>
                        <w:lang w:val="en-GB"/>
                      </w:rPr>
                      <w:t>Topografijos ir inžinerinės infrastruktūros informacinės sistemos</w:t>
                    </w:r>
                    <w:r>
                      <w:rPr>
                        <w:szCs w:val="24"/>
                      </w:rPr>
                      <w:t>) programoje. Šie duomenys bus naudojami planuojant teritorijas ir administruojant savivaldybės teritorijoje esančius inžinerinius tinklus.</w:t>
                    </w:r>
                  </w:p>
                  <w:p>
                    <w:pPr>
                      <w:rPr>
                        <w:sz w:val="10"/>
                        <w:szCs w:val="10"/>
                      </w:rPr>
                    </w:pPr>
                  </w:p>
                  <w:p>
                    <w:pPr>
                      <w:jc w:val="both"/>
                      <w:rPr>
                        <w:b/>
                        <w:szCs w:val="24"/>
                      </w:rPr>
                    </w:pPr>
                    <w:r>
                      <w:rPr>
                        <w:b/>
                        <w:szCs w:val="24"/>
                      </w:rPr>
                      <w:t xml:space="preserve">03 Uždavinys. Lietuvos Respublikos architektūros įstatymo 14 straipsnyje nurodytų architektūros plėtros krypčių įgyvendinimas. </w:t>
                    </w:r>
                  </w:p>
                  <w:p>
                    <w:pPr>
                      <w:rPr>
                        <w:sz w:val="10"/>
                        <w:szCs w:val="10"/>
                      </w:rPr>
                    </w:pPr>
                  </w:p>
                  <w:p>
                    <w:pPr>
                      <w:jc w:val="both"/>
                      <w:rPr>
                        <w:szCs w:val="24"/>
                      </w:rPr>
                    </w:pPr>
                    <w:r>
                      <w:rPr>
                        <w:b/>
                        <w:i/>
                        <w:szCs w:val="24"/>
                      </w:rPr>
                      <w:t xml:space="preserve">01 priemonė. Architektūriniai konkursai, skirti geriausiai statinio architektūrinei ir urbanistinei idėjai atrinkti. Architektūros kūrybinių dirbtuvių organizavimas. </w:t>
                    </w:r>
                    <w:r>
                      <w:rPr>
                        <w:szCs w:val="24"/>
                      </w:rPr>
                      <w:t>Vykdant priemonę numatoma savivaldybės tarybos sprendimu pripažintiems architektūriniu, urbanistiniu, valstybiniu ar viešojo intereso požiūriu reikšmingų objektų planavimo ar projektavimo atvejais rengti architektūrinius konkursus geriausiai statinio architektūrinei ar urbanistinei idėjai atrinkti, taip pat organizuoti kūrybines dirbtuves įtraukiant visuomenę ir aukštųjų mokyklų studentus. Priemonė įgyvendinama suorganizavus bent vieną architektūrinį konkursą arba aukštojo mokslo įstaigos studentų kūrybines dirbtuves, įtraukiant gyventojus.</w:t>
                    </w:r>
                  </w:p>
                  <w:p>
                    <w:pPr>
                      <w:rPr>
                        <w:sz w:val="10"/>
                        <w:szCs w:val="10"/>
                      </w:rPr>
                    </w:pPr>
                  </w:p>
                  <w:p>
                    <w:pPr>
                      <w:jc w:val="both"/>
                      <w:rPr>
                        <w:szCs w:val="24"/>
                      </w:rPr>
                    </w:pPr>
                    <w:r>
                      <w:rPr>
                        <w:b/>
                        <w:i/>
                        <w:szCs w:val="24"/>
                      </w:rPr>
                      <w:t xml:space="preserve">02 priemonė. Mažosios architektūros ir viešųjų erdvių įrengimas ir priežiūra. </w:t>
                    </w:r>
                    <w:r>
                      <w:rPr>
                        <w:szCs w:val="24"/>
                      </w:rPr>
                      <w:t>Priemonė įgyvendinama viešose vietose įrengiant mažosios architektūros objektus – skulptūras, suoliukus, kitus objektus, bei vykdant objektų priežiūrą (kai yra poreikis).</w:t>
                    </w:r>
                  </w:p>
                  <w:p>
                    <w:pPr>
                      <w:rPr>
                        <w:sz w:val="10"/>
                        <w:szCs w:val="10"/>
                      </w:rPr>
                    </w:pPr>
                  </w:p>
                  <w:p>
                    <w:pPr>
                      <w:jc w:val="both"/>
                      <w:rPr>
                        <w:bCs/>
                        <w:i/>
                        <w:szCs w:val="24"/>
                        <w:u w:val="single"/>
                      </w:rPr>
                    </w:pPr>
                    <w:r>
                      <w:rPr>
                        <w:bCs/>
                        <w:i/>
                        <w:szCs w:val="24"/>
                        <w:u w:val="single"/>
                      </w:rPr>
                      <w:t>Rezultato vertinimo kriterijus</w:t>
                    </w:r>
                    <w:r>
                      <w:rPr>
                        <w:bCs/>
                        <w:i/>
                        <w:szCs w:val="24"/>
                      </w:rPr>
                      <w:t xml:space="preserve"> – </w:t>
                    </w:r>
                    <w:r>
                      <w:rPr>
                        <w:bCs/>
                        <w:szCs w:val="24"/>
                      </w:rPr>
                      <w:t>Komunalinio ūkio ir architektūros skyriaus veiklos užtikrinimas, 95 proc</w:t>
                    </w:r>
                    <w:r>
                      <w:rPr>
                        <w:bCs/>
                        <w:i/>
                        <w:szCs w:val="24"/>
                      </w:rPr>
                      <w:t>.</w:t>
                    </w:r>
                  </w:p>
                </w:tc>
              </w:tr>
            </w:tbl>
            <w:p>
              <w:pPr>
                <w:ind w:firstLine="720"/>
                <w:jc w:val="both"/>
                <w:rPr>
                  <w:szCs w:val="24"/>
                </w:rPr>
              </w:pPr>
            </w:p>
          </w:sdtContent>
        </w:sdt>
        <w:sdt>
          <w:sdtPr>
            <w:alias w:val="lentele"/>
            <w:tag w:val="part_fa0a1c050c6545348b0ba7fde68ba33f"/>
            <w:lock w:val="sdtLocked"/>
            <w:richText/>
          </w:sdt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29"/>
              </w:tblGrid>
              <w:tr>
                <w:tc>
                  <w:tcPr>
                    <w:tcW w:w="9648" w:type="dxa"/>
                  </w:tcPr>
                  <w:p>
                    <w:pPr>
                      <w:jc w:val="both"/>
                      <w:rPr>
                        <w:b/>
                        <w:szCs w:val="24"/>
                      </w:rPr>
                    </w:pPr>
                    <w:r>
                      <w:rPr>
                        <w:b/>
                        <w:szCs w:val="24"/>
                      </w:rPr>
                      <w:t xml:space="preserve">Numatomas programos įgyvendinimo rezultatas: </w:t>
                    </w:r>
                    <w:r>
                      <w:rPr>
                        <w:szCs w:val="24"/>
                      </w:rPr>
                      <w:t>įvykdžius programos reikalavimus, gerės rajono infrastruktūra, didės privataus kapitalo grąža, gerės Alytaus rajono teritorijos įvaizdis. Rajonas taps patogesnis ir jaukesnis čia gyvenantiems žmonėms bei rajono svečiams.</w:t>
                    </w:r>
                  </w:p>
                </w:tc>
              </w:tr>
              <w:tr>
                <w:tc>
                  <w:tcPr>
                    <w:tcW w:w="9648" w:type="dxa"/>
                    <w:tcBorders>
                      <w:left w:val="nil"/>
                      <w:right w:val="nil"/>
                    </w:tcBorders>
                  </w:tcPr>
                  <w:p>
                    <w:pPr>
                      <w:jc w:val="both"/>
                      <w:rPr>
                        <w:b/>
                        <w:szCs w:val="24"/>
                      </w:rPr>
                    </w:pPr>
                  </w:p>
                </w:tc>
              </w:tr>
              <w:tr>
                <w:tblPrEx>
                  <w:tblLook w:val="00A0" w:firstRow="1" w:lastRow="0" w:firstColumn="1" w:lastColumn="0" w:noHBand="0" w:noVBand="0"/>
                </w:tblPrEx>
                <w:tc>
                  <w:tcPr>
                    <w:tcW w:w="9648" w:type="dxa"/>
                  </w:tcPr>
                  <w:p>
                    <w:pPr>
                      <w:jc w:val="both"/>
                      <w:rPr>
                        <w:b/>
                        <w:bCs/>
                        <w:szCs w:val="24"/>
                      </w:rPr>
                    </w:pPr>
                    <w:r>
                      <w:rPr>
                        <w:b/>
                        <w:bCs/>
                        <w:szCs w:val="24"/>
                      </w:rPr>
                      <w:t xml:space="preserve">Galimi programos vykdymo ir finansavimo variantai: </w:t>
                    </w:r>
                    <w:r>
                      <w:rPr>
                        <w:szCs w:val="24"/>
                      </w:rPr>
                      <w:t>savivaldybės biudžetas ir valstybės biudžetas.</w:t>
                    </w:r>
                  </w:p>
                </w:tc>
              </w:tr>
              <w:tr>
                <w:tblPrEx>
                  <w:tblLook w:val="00A0" w:firstRow="1" w:lastRow="0" w:firstColumn="1" w:lastColumn="0" w:noHBand="0" w:noVBand="0"/>
                </w:tblPrEx>
                <w:tc>
                  <w:tcPr>
                    <w:tcW w:w="9648" w:type="dxa"/>
                    <w:tcBorders>
                      <w:left w:val="nil"/>
                      <w:right w:val="nil"/>
                    </w:tcBorders>
                  </w:tcPr>
                  <w:p>
                    <w:pPr>
                      <w:jc w:val="both"/>
                      <w:rPr>
                        <w:b/>
                        <w:bCs/>
                        <w:szCs w:val="24"/>
                      </w:rPr>
                    </w:pPr>
                  </w:p>
                </w:tc>
              </w:tr>
              <w:tr>
                <w:tblPrEx>
                  <w:tblLook w:val="00A0" w:firstRow="1" w:lastRow="0" w:firstColumn="1" w:lastColumn="0" w:noHBand="0" w:noVBand="0"/>
                </w:tblPrEx>
                <w:tc>
                  <w:tcPr>
                    <w:tcW w:w="9648" w:type="dxa"/>
                  </w:tcPr>
                  <w:p>
                    <w:pPr>
                      <w:jc w:val="both"/>
                      <w:rPr>
                        <w:b/>
                        <w:szCs w:val="24"/>
                      </w:rPr>
                    </w:pPr>
                    <w:r>
                      <w:rPr>
                        <w:b/>
                        <w:szCs w:val="24"/>
                      </w:rPr>
                      <w:t xml:space="preserve">Veiksmai, numatyti Alytaus rajono savivaldybės strateginiame plėtros plane, kurie susiję su vykdoma programa: </w:t>
                    </w:r>
                    <w:r>
                      <w:rPr>
                        <w:szCs w:val="24"/>
                      </w:rPr>
                      <w:t xml:space="preserve">3 prioritetas. Patogus, svetingas, žalias rajonas  3.4. Užtikrinti subalansuotą ir tvarią ARS teritorinę plėtrą ir raidą; 3.4.1. uždavinys. Vystyti kokybiškos ir darnios architektūros plėtrą. 3.4.2. uždavinys. Užtikrinti tvarų ir darnų teritorijos vystymą</w:t>
                    </w:r>
                  </w:p>
                </w:tc>
              </w:tr>
              <w:tr>
                <w:tblPrEx>
                  <w:tblLook w:val="00A0" w:firstRow="1" w:lastRow="0" w:firstColumn="1" w:lastColumn="0" w:noHBand="0" w:noVBand="0"/>
                </w:tblPrEx>
                <w:tc>
                  <w:tcPr>
                    <w:tcW w:w="9648" w:type="dxa"/>
                    <w:tcBorders>
                      <w:left w:val="nil"/>
                      <w:right w:val="nil"/>
                    </w:tcBorders>
                  </w:tcPr>
                  <w:p>
                    <w:pPr>
                      <w:jc w:val="both"/>
                      <w:rPr>
                        <w:b/>
                        <w:szCs w:val="24"/>
                      </w:rPr>
                    </w:pPr>
                  </w:p>
                </w:tc>
              </w:tr>
              <w:tr>
                <w:tblPrEx>
                  <w:tblLook w:val="00A0" w:firstRow="1" w:lastRow="0" w:firstColumn="1" w:lastColumn="0" w:noHBand="0" w:noVBand="0"/>
                </w:tblPrEx>
                <w:tc>
                  <w:tcPr>
                    <w:tcW w:w="9648" w:type="dxa"/>
                  </w:tcPr>
                  <w:p>
                    <w:pPr>
                      <w:jc w:val="both"/>
                      <w:rPr>
                        <w:b/>
                        <w:szCs w:val="24"/>
                      </w:rPr>
                    </w:pPr>
                    <w:r>
                      <w:rPr>
                        <w:b/>
                        <w:szCs w:val="24"/>
                      </w:rPr>
                      <w:t xml:space="preserve">Susiję įstatymai ir kiti svarbūs teisės aktai: </w:t>
                    </w:r>
                  </w:p>
                  <w:p>
                    <w:pPr>
                      <w:ind w:left="357" w:hanging="357"/>
                      <w:jc w:val="both"/>
                      <w:rPr>
                        <w:b/>
                        <w:bCs/>
                        <w:szCs w:val="24"/>
                      </w:rPr>
                    </w:pPr>
                    <w:r>
                      <w:rPr>
                        <w:rFonts w:ascii="Courier New" w:hAnsi="Courier New" w:cs="Courier New"/>
                        <w:bCs/>
                        <w:szCs w:val="24"/>
                      </w:rPr>
                      <w:t>o</w:t>
                      <w:tab/>
                    </w:r>
                    <w:r>
                      <w:rPr>
                        <w:szCs w:val="24"/>
                      </w:rPr>
                      <w:t xml:space="preserve">Lietuvos Respublikos žemės įstatymas; </w:t>
                    </w:r>
                  </w:p>
                  <w:p>
                    <w:pPr>
                      <w:ind w:left="357" w:hanging="357"/>
                      <w:jc w:val="both"/>
                      <w:rPr>
                        <w:b/>
                        <w:bCs/>
                        <w:szCs w:val="24"/>
                      </w:rPr>
                    </w:pPr>
                    <w:r>
                      <w:rPr>
                        <w:rFonts w:ascii="Courier New" w:hAnsi="Courier New" w:cs="Courier New"/>
                        <w:bCs/>
                        <w:szCs w:val="24"/>
                      </w:rPr>
                      <w:t>o</w:t>
                      <w:tab/>
                    </w:r>
                    <w:r>
                      <w:rPr>
                        <w:szCs w:val="24"/>
                      </w:rPr>
                      <w:t xml:space="preserve">Lietuvos Respublikos teritorijų planavimo įstatymas; </w:t>
                    </w:r>
                  </w:p>
                  <w:p>
                    <w:pPr>
                      <w:ind w:left="357" w:hanging="357"/>
                      <w:jc w:val="both"/>
                      <w:rPr>
                        <w:b/>
                        <w:bCs/>
                        <w:szCs w:val="24"/>
                      </w:rPr>
                    </w:pPr>
                    <w:r>
                      <w:rPr>
                        <w:rFonts w:ascii="Courier New" w:hAnsi="Courier New" w:cs="Courier New"/>
                        <w:bCs/>
                        <w:szCs w:val="24"/>
                      </w:rPr>
                      <w:t>o</w:t>
                      <w:tab/>
                    </w:r>
                    <w:r>
                      <w:rPr>
                        <w:szCs w:val="24"/>
                      </w:rPr>
                      <w:t>Lietuvos Respublikos vietos savivaldos įstatymas;</w:t>
                    </w:r>
                  </w:p>
                  <w:p>
                    <w:pPr>
                      <w:ind w:left="357" w:hanging="357"/>
                      <w:jc w:val="both"/>
                      <w:rPr>
                        <w:b/>
                        <w:bCs/>
                        <w:szCs w:val="24"/>
                      </w:rPr>
                    </w:pPr>
                    <w:r>
                      <w:rPr>
                        <w:rFonts w:ascii="Courier New" w:hAnsi="Courier New" w:cs="Courier New"/>
                        <w:bCs/>
                        <w:szCs w:val="24"/>
                      </w:rPr>
                      <w:t>o</w:t>
                      <w:tab/>
                    </w:r>
                    <w:r>
                      <w:rPr>
                        <w:szCs w:val="24"/>
                      </w:rPr>
                      <w:t>Lietuvos Respublikos architektūros įstatymas;</w:t>
                    </w:r>
                  </w:p>
                  <w:p>
                    <w:pPr>
                      <w:ind w:left="357" w:hanging="357"/>
                      <w:jc w:val="both"/>
                      <w:rPr>
                        <w:b/>
                        <w:bCs/>
                        <w:szCs w:val="24"/>
                      </w:rPr>
                    </w:pPr>
                    <w:r>
                      <w:rPr>
                        <w:rFonts w:ascii="Courier New" w:hAnsi="Courier New" w:cs="Courier New"/>
                        <w:bCs/>
                        <w:szCs w:val="24"/>
                      </w:rPr>
                      <w:t>o</w:t>
                      <w:tab/>
                    </w:r>
                    <w:r>
                      <w:rPr>
                        <w:szCs w:val="24"/>
                      </w:rPr>
                      <w:t xml:space="preserve">Lietuvos Respublikos žemės ūkio ministro 2017 m. lapkričio 23 d. įsakymas Nr. 3D-754 „Dėl Topografinių planų ir inžinerinių tinklų planų derinimo tvarkos aprašo patvirtinimo“; </w:t>
                    </w:r>
                  </w:p>
                  <w:p>
                    <w:pPr>
                      <w:ind w:left="357" w:hanging="357"/>
                      <w:jc w:val="both"/>
                      <w:rPr>
                        <w:bCs/>
                        <w:szCs w:val="24"/>
                      </w:rPr>
                    </w:pPr>
                    <w:r>
                      <w:rPr>
                        <w:rFonts w:ascii="Courier New" w:hAnsi="Courier New" w:cs="Courier New"/>
                        <w:bCs/>
                        <w:szCs w:val="24"/>
                      </w:rPr>
                      <w:t>o</w:t>
                      <w:tab/>
                    </w:r>
                    <w:r>
                      <w:rPr>
                        <w:bCs/>
                        <w:szCs w:val="24"/>
                      </w:rPr>
                      <w:t>Lietuvos Respublikos savivaldybių infrastruktūros plėtros įstatymas;</w:t>
                    </w:r>
                  </w:p>
                  <w:p>
                    <w:pPr>
                      <w:ind w:left="357" w:hanging="357"/>
                      <w:jc w:val="both"/>
                      <w:rPr>
                        <w:bCs/>
                        <w:szCs w:val="24"/>
                      </w:rPr>
                    </w:pPr>
                    <w:r>
                      <w:rPr>
                        <w:rFonts w:ascii="Courier New" w:hAnsi="Courier New" w:cs="Courier New"/>
                        <w:bCs/>
                        <w:szCs w:val="24"/>
                      </w:rPr>
                      <w:t>o</w:t>
                      <w:tab/>
                    </w:r>
                    <w:r>
                      <w:rPr>
                        <w:bCs/>
                        <w:szCs w:val="24"/>
                      </w:rPr>
                      <w:t>Lietuvos Respublikos planuojamos ūkinės veiklos poveikio aplinkai vertinimo įstatymas;</w:t>
                    </w:r>
                  </w:p>
                  <w:p>
                    <w:pPr>
                      <w:ind w:left="357" w:hanging="357"/>
                      <w:jc w:val="both"/>
                      <w:rPr>
                        <w:bCs/>
                        <w:szCs w:val="24"/>
                      </w:rPr>
                    </w:pPr>
                    <w:r>
                      <w:rPr>
                        <w:rFonts w:ascii="Courier New" w:hAnsi="Courier New" w:cs="Courier New"/>
                        <w:bCs/>
                        <w:szCs w:val="24"/>
                      </w:rPr>
                      <w:t>o</w:t>
                      <w:tab/>
                    </w:r>
                    <w:r>
                      <w:rPr>
                        <w:bCs/>
                        <w:szCs w:val="24"/>
                      </w:rPr>
                      <w:t>Lietuvos Respublikos ūkininko ūkio įstatymas;</w:t>
                    </w:r>
                  </w:p>
                  <w:p>
                    <w:pPr>
                      <w:ind w:left="357" w:hanging="357"/>
                      <w:jc w:val="both"/>
                      <w:rPr>
                        <w:bCs/>
                        <w:szCs w:val="24"/>
                      </w:rPr>
                    </w:pPr>
                    <w:r>
                      <w:rPr>
                        <w:rFonts w:ascii="Courier New" w:hAnsi="Courier New" w:cs="Courier New"/>
                        <w:bCs/>
                        <w:szCs w:val="24"/>
                      </w:rPr>
                      <w:t>o</w:t>
                      <w:tab/>
                    </w:r>
                    <w:r>
                      <w:rPr>
                        <w:bCs/>
                        <w:szCs w:val="24"/>
                      </w:rPr>
                      <w:t>Lietuvos Respublikos miškų įstatymas;</w:t>
                    </w:r>
                  </w:p>
                  <w:p>
                    <w:pPr>
                      <w:ind w:left="357" w:hanging="357"/>
                      <w:jc w:val="both"/>
                      <w:rPr>
                        <w:bCs/>
                        <w:szCs w:val="24"/>
                      </w:rPr>
                    </w:pPr>
                    <w:r>
                      <w:rPr>
                        <w:rFonts w:ascii="Courier New" w:hAnsi="Courier New" w:cs="Courier New"/>
                        <w:bCs/>
                        <w:szCs w:val="24"/>
                      </w:rPr>
                      <w:t>o</w:t>
                      <w:tab/>
                    </w:r>
                    <w:r>
                      <w:rPr>
                        <w:bCs/>
                        <w:szCs w:val="24"/>
                      </w:rPr>
                      <w:t>Lietuvos Respublikos saugomų teritorijų įstatymas;</w:t>
                    </w:r>
                  </w:p>
                  <w:p>
                    <w:pPr>
                      <w:ind w:left="357" w:hanging="357"/>
                      <w:jc w:val="both"/>
                      <w:rPr>
                        <w:b/>
                        <w:bCs/>
                        <w:szCs w:val="24"/>
                      </w:rPr>
                    </w:pPr>
                    <w:r>
                      <w:rPr>
                        <w:rFonts w:ascii="Courier New" w:hAnsi="Courier New" w:cs="Courier New"/>
                        <w:bCs/>
                        <w:szCs w:val="24"/>
                      </w:rPr>
                      <w:t>o</w:t>
                      <w:tab/>
                    </w:r>
                    <w:r>
                      <w:rPr>
                        <w:szCs w:val="24"/>
                      </w:rPr>
                      <w:t>kiti teisės aktai.</w:t>
                    </w:r>
                  </w:p>
                </w:tc>
              </w:tr>
            </w:tbl>
            <w:p/>
          </w:sdtContent>
        </w:sdt>
        <w:sdt>
          <w:sdtPr>
            <w:alias w:val="skirsnis"/>
            <w:tag w:val="part_b43f8b38f8e84b0e861120793c2f4cc7"/>
            <w:lock w:val="sdtLocked"/>
            <w:richText/>
          </w:sdtPr>
          <w:sdtContent>
            <w:p>
              <w:pPr>
                <w:jc w:val="center"/>
                <w:rPr>
                  <w:szCs w:val="24"/>
                </w:rPr>
              </w:pPr>
              <w:sdt>
                <w:sdtPr>
                  <w:alias w:val="Pavadinimas"/>
                  <w:tag w:val="title_b43f8b38f8e84b0e861120793c2f4cc7"/>
                  <w:lock w:val="sdtLocked"/>
                  <w:richText/>
                </w:sdtPr>
                <w:sdtContent>
                  <w:r>
                    <w:rPr>
                      <w:b/>
                      <w:bCs/>
                      <w:szCs w:val="24"/>
                    </w:rPr>
                    <w:t>__________________________</w:t>
                  </w:r>
                </w:sdtContent>
              </w:sdt>
            </w:p>
          </w:sdtContent>
        </w:sdt>
      </w:sdtContent>
    </w:sdt>
    <w:sectPr>
      <w:headerReference w:type="even" r:id="rId7"/>
      <w:headerReference w:type="default" r:id="rId8"/>
      <w:footerReference w:type="even" r:id="rId9"/>
      <w:footerReference w:type="default" r:id="rId10"/>
      <w:headerReference w:type="first" r:id="rId11"/>
      <w:footerReference w:type="first" r:id="rId12"/>
      <w:type w:val="nextColumn"/>
      <w:pgSz w:w="11907" w:h="16839" w:code="9"/>
      <w:pgMar w:top="1134" w:right="567" w:bottom="1134" w:left="1701" w:header="0" w:footer="403" w:gutter="0"/>
      <w:cols w:space="708"/>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GB"/>
        </w:rPr>
      </w:pPr>
      <w:r>
        <w:rPr>
          <w:rFonts w:ascii="TimesLT" w:hAnsi="TimesLT"/>
          <w:lang w:val="en-GB"/>
        </w:rPr>
        <w:separator/>
      </w:r>
    </w:p>
  </w:endnote>
  <w:endnote w:type="continuationSeparator" w:id="0">
    <w:p>
      <w:pPr>
        <w:rPr>
          <w:rFonts w:ascii="TimesLT" w:hAnsi="TimesLT"/>
          <w:lang w:val="en-GB"/>
        </w:rPr>
      </w:pPr>
      <w:r>
        <w:rPr>
          <w:rFonts w:ascii="TimesLT" w:hAnsi="TimesLT"/>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00000287" w:usb1="00000000" w:usb2="00000000" w:usb3="00000000" w:csb0="0000009F" w:csb1="00000000"/>
  </w:font>
  <w:font w:name="Calibri">
    <w:panose1 w:val="020F0502020204030204"/>
    <w:charset w:val="BA"/>
    <w:family w:val="swiss"/>
    <w:pitch w:val="variable"/>
    <w:sig w:usb0="E4002EFF" w:usb1="C000247B"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rPr>
        <w:rFonts w:ascii="TimesLT" w:hAnsi="TimesLT"/>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rPr>
        <w:rFonts w:ascii="TimesLT" w:hAnsi="TimesLT"/>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jc w:val="right"/>
      <w:rPr>
        <w:rFonts w:ascii="TimesLT" w:hAnsi="TimesLT"/>
        <w:sz w:val="20"/>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GB"/>
        </w:rPr>
      </w:pPr>
      <w:r>
        <w:rPr>
          <w:rFonts w:ascii="TimesLT" w:hAnsi="TimesLT"/>
          <w:lang w:val="en-GB"/>
        </w:rPr>
        <w:separator/>
      </w:r>
    </w:p>
  </w:footnote>
  <w:footnote w:type="continuationSeparator" w:id="0">
    <w:p>
      <w:pPr>
        <w:rPr>
          <w:rFonts w:ascii="TimesLT" w:hAnsi="TimesLT"/>
          <w:lang w:val="en-GB"/>
        </w:rPr>
      </w:pPr>
      <w:r>
        <w:rPr>
          <w:rFonts w:ascii="TimesLT" w:hAnsi="TimesLT"/>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pacing w:before="120" w:after="120"/>
      <w:rPr>
        <w:rFonts w:ascii="TimesLT" w:hAnsi="TimesLT"/>
        <w:b/>
        <w:lang w:val="en-GB"/>
      </w:rPr>
    </w:pPr>
    <w:r>
      <w:rPr>
        <w:rFonts w:ascii="TimesLT" w:hAnsi="TimesLT"/>
        <w:b/>
        <w:lang w:val="en-GB"/>
      </w:rPr>
      <w:fldChar w:fldCharType="begin"/>
    </w:r>
    <w:r>
      <w:rPr>
        <w:rFonts w:ascii="TimesLT" w:hAnsi="TimesLT"/>
        <w:b/>
        <w:lang w:val="en-GB"/>
      </w:rPr>
      <w:instrText xml:space="preserve">PAGE  </w:instrText>
    </w:r>
    <w:r>
      <w:rPr>
        <w:rFonts w:ascii="TimesLT" w:hAnsi="TimesLT"/>
        <w:b/>
        <w:lang w:val="en-GB"/>
      </w:rPr>
      <w:fldChar w:fldCharType="separate"/>
    </w:r>
    <w:r>
      <w:rPr>
        <w:rFonts w:ascii="TimesLT" w:hAnsi="TimesLT"/>
        <w:b/>
        <w:lang w:val="en-GB"/>
      </w:rPr>
      <w:t>1</w:t>
    </w:r>
    <w:r>
      <w:rPr>
        <w:rFonts w:ascii="TimesLT" w:hAnsi="TimesLT"/>
        <w:b/>
        <w:lang w:val="en-GB"/>
      </w:rPr>
      <w:fldChar w:fldCharType="end"/>
    </w:r>
  </w:p>
  <w:p>
    <w:pPr>
      <w:spacing w:before="120" w:after="120"/>
      <w:ind w:right="360"/>
      <w:rPr>
        <w:rFonts w:ascii="TimesLT" w:hAnsi="TimesLT"/>
        <w:b/>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rPr>
        <w:rFonts w:ascii="TimesLT" w:hAnsi="TimesLT"/>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rPr>
        <w:rFonts w:ascii="TimesLT" w:hAnsi="TimesLT"/>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intFractionalCharacterWidth/>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rawingGridHorizontalSpacing w:val="120"/>
  <w:displayHorizontalDrawingGridEvery w:val="0"/>
  <w:displayVerticalDrawingGridEvery w:val="0"/>
  <w:doNotShadeFormData/>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69A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chartTrackingRefBased/>
  <w15:docId w15:val="{262E1EB4-06E6-48E2-892E-ACECF337A02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00098070">
      <w:bodyDiv w:val="1"/>
      <w:marLeft w:val="0"/>
      <w:marRight w:val="0"/>
      <w:marTop w:val="0"/>
      <w:marBottom w:val="0"/>
      <w:divBdr>
        <w:top w:val="none" w:sz="0" w:space="0" w:color="auto"/>
        <w:left w:val="none" w:sz="0" w:space="0" w:color="auto"/>
        <w:bottom w:val="none" w:sz="0" w:space="0" w:color="auto"/>
        <w:right w:val="none" w:sz="0" w:space="0" w:color="auto"/>
      </w:divBdr>
    </w:div>
    <w:div w:id="324363722">
      <w:bodyDiv w:val="1"/>
      <w:marLeft w:val="0"/>
      <w:marRight w:val="0"/>
      <w:marTop w:val="0"/>
      <w:marBottom w:val="0"/>
      <w:divBdr>
        <w:top w:val="none" w:sz="0" w:space="0" w:color="auto"/>
        <w:left w:val="none" w:sz="0" w:space="0" w:color="auto"/>
        <w:bottom w:val="none" w:sz="0" w:space="0" w:color="auto"/>
        <w:right w:val="none" w:sz="0" w:space="0" w:color="auto"/>
      </w:divBdr>
    </w:div>
    <w:div w:id="1204715476">
      <w:bodyDiv w:val="1"/>
      <w:marLeft w:val="0"/>
      <w:marRight w:val="0"/>
      <w:marTop w:val="0"/>
      <w:marBottom w:val="0"/>
      <w:divBdr>
        <w:top w:val="none" w:sz="0" w:space="0" w:color="auto"/>
        <w:left w:val="none" w:sz="0" w:space="0" w:color="auto"/>
        <w:bottom w:val="none" w:sz="0" w:space="0" w:color="auto"/>
        <w:right w:val="none" w:sz="0" w:space="0" w:color="auto"/>
      </w:divBdr>
      <w:divsChild>
        <w:div w:id="628630416">
          <w:marLeft w:val="0"/>
          <w:marRight w:val="0"/>
          <w:marTop w:val="0"/>
          <w:marBottom w:val="0"/>
          <w:divBdr>
            <w:top w:val="none" w:sz="0" w:space="0" w:color="auto"/>
            <w:left w:val="none" w:sz="0" w:space="0" w:color="auto"/>
            <w:bottom w:val="none" w:sz="0" w:space="0" w:color="auto"/>
            <w:right w:val="none" w:sz="0" w:space="0" w:color="auto"/>
          </w:divBdr>
        </w:div>
      </w:divsChild>
    </w:div>
    <w:div w:id="1255286030">
      <w:marLeft w:val="0"/>
      <w:marRight w:val="0"/>
      <w:marTop w:val="0"/>
      <w:marBottom w:val="0"/>
      <w:divBdr>
        <w:top w:val="none" w:sz="0" w:space="0" w:color="auto"/>
        <w:left w:val="none" w:sz="0" w:space="0" w:color="auto"/>
        <w:bottom w:val="none" w:sz="0" w:space="0" w:color="auto"/>
        <w:right w:val="none" w:sz="0" w:space="0" w:color="auto"/>
      </w:divBdr>
    </w:div>
    <w:div w:id="1255286031">
      <w:marLeft w:val="0"/>
      <w:marRight w:val="0"/>
      <w:marTop w:val="0"/>
      <w:marBottom w:val="0"/>
      <w:divBdr>
        <w:top w:val="none" w:sz="0" w:space="0" w:color="auto"/>
        <w:left w:val="none" w:sz="0" w:space="0" w:color="auto"/>
        <w:bottom w:val="none" w:sz="0" w:space="0" w:color="auto"/>
        <w:right w:val="none" w:sz="0" w:space="0" w:color="auto"/>
      </w:divBdr>
    </w:div>
    <w:div w:id="1255286032">
      <w:marLeft w:val="0"/>
      <w:marRight w:val="0"/>
      <w:marTop w:val="0"/>
      <w:marBottom w:val="0"/>
      <w:divBdr>
        <w:top w:val="none" w:sz="0" w:space="0" w:color="auto"/>
        <w:left w:val="none" w:sz="0" w:space="0" w:color="auto"/>
        <w:bottom w:val="none" w:sz="0" w:space="0" w:color="auto"/>
        <w:right w:val="none" w:sz="0" w:space="0" w:color="auto"/>
      </w:divBdr>
    </w:div>
    <w:div w:id="1255286033">
      <w:marLeft w:val="0"/>
      <w:marRight w:val="0"/>
      <w:marTop w:val="0"/>
      <w:marBottom w:val="0"/>
      <w:divBdr>
        <w:top w:val="none" w:sz="0" w:space="0" w:color="auto"/>
        <w:left w:val="none" w:sz="0" w:space="0" w:color="auto"/>
        <w:bottom w:val="none" w:sz="0" w:space="0" w:color="auto"/>
        <w:right w:val="none" w:sz="0" w:space="0" w:color="auto"/>
      </w:divBdr>
    </w:div>
    <w:div w:id="1255286034">
      <w:marLeft w:val="0"/>
      <w:marRight w:val="0"/>
      <w:marTop w:val="0"/>
      <w:marBottom w:val="0"/>
      <w:divBdr>
        <w:top w:val="none" w:sz="0" w:space="0" w:color="auto"/>
        <w:left w:val="none" w:sz="0" w:space="0" w:color="auto"/>
        <w:bottom w:val="none" w:sz="0" w:space="0" w:color="auto"/>
        <w:right w:val="none" w:sz="0" w:space="0" w:color="auto"/>
      </w:divBdr>
    </w:div>
    <w:div w:id="1255286035">
      <w:marLeft w:val="0"/>
      <w:marRight w:val="0"/>
      <w:marTop w:val="0"/>
      <w:marBottom w:val="0"/>
      <w:divBdr>
        <w:top w:val="none" w:sz="0" w:space="0" w:color="auto"/>
        <w:left w:val="none" w:sz="0" w:space="0" w:color="auto"/>
        <w:bottom w:val="none" w:sz="0" w:space="0" w:color="auto"/>
        <w:right w:val="none" w:sz="0" w:space="0" w:color="auto"/>
      </w:divBdr>
    </w:div>
    <w:div w:id="1255286036">
      <w:marLeft w:val="0"/>
      <w:marRight w:val="0"/>
      <w:marTop w:val="0"/>
      <w:marBottom w:val="0"/>
      <w:divBdr>
        <w:top w:val="none" w:sz="0" w:space="0" w:color="auto"/>
        <w:left w:val="none" w:sz="0" w:space="0" w:color="auto"/>
        <w:bottom w:val="none" w:sz="0" w:space="0" w:color="auto"/>
        <w:right w:val="none" w:sz="0" w:space="0" w:color="auto"/>
      </w:divBdr>
    </w:div>
    <w:div w:id="1255286037">
      <w:marLeft w:val="0"/>
      <w:marRight w:val="0"/>
      <w:marTop w:val="0"/>
      <w:marBottom w:val="0"/>
      <w:divBdr>
        <w:top w:val="none" w:sz="0" w:space="0" w:color="auto"/>
        <w:left w:val="none" w:sz="0" w:space="0" w:color="auto"/>
        <w:bottom w:val="none" w:sz="0" w:space="0" w:color="auto"/>
        <w:right w:val="none" w:sz="0" w:space="0" w:color="auto"/>
      </w:divBdr>
    </w:div>
    <w:div w:id="1255286038">
      <w:marLeft w:val="0"/>
      <w:marRight w:val="0"/>
      <w:marTop w:val="0"/>
      <w:marBottom w:val="0"/>
      <w:divBdr>
        <w:top w:val="none" w:sz="0" w:space="0" w:color="auto"/>
        <w:left w:val="none" w:sz="0" w:space="0" w:color="auto"/>
        <w:bottom w:val="none" w:sz="0" w:space="0" w:color="auto"/>
        <w:right w:val="none" w:sz="0" w:space="0" w:color="auto"/>
      </w:divBdr>
    </w:div>
    <w:div w:id="1255286039">
      <w:marLeft w:val="0"/>
      <w:marRight w:val="0"/>
      <w:marTop w:val="0"/>
      <w:marBottom w:val="0"/>
      <w:divBdr>
        <w:top w:val="none" w:sz="0" w:space="0" w:color="auto"/>
        <w:left w:val="none" w:sz="0" w:space="0" w:color="auto"/>
        <w:bottom w:val="none" w:sz="0" w:space="0" w:color="auto"/>
        <w:right w:val="none" w:sz="0" w:space="0" w:color="auto"/>
      </w:divBdr>
    </w:div>
    <w:div w:id="1255286040">
      <w:marLeft w:val="0"/>
      <w:marRight w:val="0"/>
      <w:marTop w:val="0"/>
      <w:marBottom w:val="0"/>
      <w:divBdr>
        <w:top w:val="none" w:sz="0" w:space="0" w:color="auto"/>
        <w:left w:val="none" w:sz="0" w:space="0" w:color="auto"/>
        <w:bottom w:val="none" w:sz="0" w:space="0" w:color="auto"/>
        <w:right w:val="none" w:sz="0" w:space="0" w:color="auto"/>
      </w:divBdr>
    </w:div>
    <w:div w:id="1409159147">
      <w:bodyDiv w:val="1"/>
      <w:marLeft w:val="0"/>
      <w:marRight w:val="0"/>
      <w:marTop w:val="0"/>
      <w:marBottom w:val="0"/>
      <w:divBdr>
        <w:top w:val="none" w:sz="0" w:space="0" w:color="auto"/>
        <w:left w:val="none" w:sz="0" w:space="0" w:color="auto"/>
        <w:bottom w:val="none" w:sz="0" w:space="0" w:color="auto"/>
        <w:right w:val="none" w:sz="0" w:space="0" w:color="auto"/>
      </w:divBdr>
    </w:div>
    <w:div w:id="1416053743">
      <w:bodyDiv w:val="1"/>
      <w:marLeft w:val="225"/>
      <w:marRight w:val="225"/>
      <w:marTop w:val="0"/>
      <w:marBottom w:val="0"/>
      <w:divBdr>
        <w:top w:val="none" w:sz="0" w:space="0" w:color="auto"/>
        <w:left w:val="none" w:sz="0" w:space="0" w:color="auto"/>
        <w:bottom w:val="none" w:sz="0" w:space="0" w:color="auto"/>
        <w:right w:val="none" w:sz="0" w:space="0" w:color="auto"/>
      </w:divBdr>
      <w:divsChild>
        <w:div w:id="712115513">
          <w:marLeft w:val="0"/>
          <w:marRight w:val="0"/>
          <w:marTop w:val="0"/>
          <w:marBottom w:val="0"/>
          <w:divBdr>
            <w:top w:val="none" w:sz="0" w:space="0" w:color="auto"/>
            <w:left w:val="none" w:sz="0" w:space="0" w:color="auto"/>
            <w:bottom w:val="none" w:sz="0" w:space="0" w:color="auto"/>
            <w:right w:val="none" w:sz="0" w:space="0" w:color="auto"/>
          </w:divBdr>
        </w:div>
      </w:divsChild>
    </w:div>
    <w:div w:id="2026855814">
      <w:bodyDiv w:val="1"/>
      <w:marLeft w:val="0"/>
      <w:marRight w:val="0"/>
      <w:marTop w:val="0"/>
      <w:marBottom w:val="0"/>
      <w:divBdr>
        <w:top w:val="none" w:sz="0" w:space="0" w:color="auto"/>
        <w:left w:val="none" w:sz="0" w:space="0" w:color="auto"/>
        <w:bottom w:val="none" w:sz="0" w:space="0" w:color="auto"/>
        <w:right w:val="none" w:sz="0" w:space="0" w:color="auto"/>
      </w:divBdr>
    </w:div>
    <w:div w:id="21077318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arts xmlns="http://lrs.lt/TAIS/DocParts">
  <Part Type="pagrindine" DocPartId="4cbb8efef2c74fc7ac667b23d589f1ea" PartId="cf0857305d764681a2235349211f3da4"/>
  <Part Type="forma" Nr="1" Abbr="1 frm." Title="URBANISTINĖS PLĖTROS IR STRATEGIJOS FORMAVIMO" DocPartId="e794efadb5d54c8ca2efb5df7ce70349" PartId="59f752bda6ed4abca16e6cf48a3592b0">
    <Part Type="lentele" Title="PROGRAMOS APRAŠYMAS" DocPartId="d03c323853ed45e0bff5cedf0427e19a" PartId="54b02b2f2ac0450193da0289f0d70540"/>
    <Part Type="lentele" DocPartId="b0a5ba0eaaa749f6804d0dec8a6d6ed0" PartId="89211a1d23be40a3900fed17b0f6c738"/>
    <Part Type="lentele" DocPartId="00bacfe2f2144db6bad7f85a0db3a2bd" PartId="c901ce3fcaf744a293693cd2eb1ab8b5"/>
    <Part Type="lentele" DocPartId="fe673c5cfc564ad1a68fee0b78c3c5d3" PartId="c8448d0a5f034dce8ee2b57f30a5a6fe"/>
    <Part Type="lentele" DocPartId="288a40004c8f4d28895b0f835d85aeda" PartId="fa0a1c050c6545348b0ba7fde68ba33f"/>
    <Part Type="skirsnis" Title="__________________________" DocPartId="4255f60330db44b0a3dfcb460364ef15" PartId="b43f8b38f8e84b0e861120793c2f4cc7"/>
  </Part>
</Parts>
</file>

<file path=customXml/itemProps1.xml><?xml version="1.0" encoding="utf-8"?>
<ds:datastoreItem xmlns:ds="http://schemas.openxmlformats.org/officeDocument/2006/customXml" ds:itemID="{995BDC5E-96F9-4827-9251-E77F21A3AF91}">
  <ds:schemaRefs>
    <ds:schemaRef ds:uri="http://schemas.openxmlformats.org/officeDocument/2006/bibliography"/>
  </ds:schemaRefs>
</ds:datastoreItem>
</file>

<file path=customXml/itemProps2.xml><?xml version="1.0" encoding="utf-8"?>
<ds:datastoreItem xmlns:ds="http://schemas.openxmlformats.org/officeDocument/2006/customXml" ds:itemID="{5E0D0F05-ACA9-4157-A104-29B4AB0B770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959</Words>
  <Characters>7464</Characters>
  <Application>Microsoft Office Word</Application>
  <DocSecurity>4</DocSecurity>
  <Lines>162</Lines>
  <Paragraphs>69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Savivaldybe</Company>
  <LinksUpToDate>false</LinksUpToDate>
  <CharactersWithSpaces>8354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2022-02-22T11:31:00Z</dcterms:created>
  <dc:creator>Robertas Zubrus</dc:creator>
  <lastModifiedBy>adlibuser</lastModifiedBy>
  <lastPrinted>2020-02-10T14:37:00Z</lastPrinted>
  <dcterms:modified xsi:type="dcterms:W3CDTF">2022-02-22T11:31:00Z</dcterms:modified>
  <revision>2</revision>
  <dc:title/>
</coreProperties>
</file>