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2de5680c520545458e091b02850b2fa7"/>
        <w:id w:val="-1809390221"/>
        <w:lock w:val="sdtLocked"/>
      </w:sdtPr>
      <w:sdtContent>
        <w:p w14:paraId="37766ADC" w14:textId="77777777" w:rsidR="00D17062" w:rsidRDefault="00000000">
          <w:pPr>
            <w:tabs>
              <w:tab w:val="center" w:pos="4986"/>
              <w:tab w:val="right" w:pos="9972"/>
            </w:tabs>
            <w:rPr>
              <w:szCs w:val="24"/>
              <w:lang w:val="en-GB"/>
            </w:rPr>
          </w:pPr>
        </w:p>
      </w:sdtContent>
    </w:sdt>
    <w:sdt>
      <w:sdtPr>
        <w:alias w:val="patvirtinta"/>
        <w:tag w:val="part_e7dfcf83bae94cccaaa2f018c51326e6"/>
        <w:id w:val="-946700044"/>
        <w:lock w:val="sdtLocked"/>
      </w:sdtPr>
      <w:sdtContent>
        <w:p w14:paraId="6EA4C4B4" w14:textId="67EA82BF" w:rsidR="00D17062" w:rsidRDefault="00DF4315">
          <w:pPr>
            <w:keepLines/>
            <w:suppressAutoHyphens/>
            <w:ind w:left="9360" w:right="-887" w:firstLine="720"/>
            <w:textAlignment w:val="center"/>
            <w:rPr>
              <w:caps/>
              <w:color w:val="000000"/>
            </w:rPr>
          </w:pPr>
          <w:r>
            <w:rPr>
              <w:bCs/>
              <w:caps/>
              <w:szCs w:val="24"/>
              <w:lang w:val="en-GB" w:eastAsia="lt-LT"/>
            </w:rPr>
            <w:t>Patvirtinta</w:t>
          </w:r>
        </w:p>
        <w:p w14:paraId="421B1B16" w14:textId="5D0FC395" w:rsidR="00D17062" w:rsidRDefault="00DF4315">
          <w:pPr>
            <w:keepLines/>
            <w:suppressAutoHyphens/>
            <w:ind w:left="10080"/>
            <w:jc w:val="both"/>
            <w:rPr>
              <w:szCs w:val="24"/>
            </w:rPr>
          </w:pPr>
          <w:r>
            <w:rPr>
              <w:caps/>
              <w:color w:val="000000"/>
            </w:rPr>
            <w:t>L</w:t>
          </w:r>
          <w:r>
            <w:rPr>
              <w:color w:val="000000"/>
              <w:shd w:val="clear" w:color="auto" w:fill="FFFFFF"/>
            </w:rPr>
            <w:t xml:space="preserve">ietuvos Respublikos švietimo, mokslo ir sporto ministro 2019 m. liepos 17 d. įsakymu Nr. V-835 </w:t>
          </w:r>
          <w:r>
            <w:rPr>
              <w:caps/>
              <w:szCs w:val="24"/>
            </w:rPr>
            <w:t>(</w:t>
          </w:r>
          <w:r>
            <w:rPr>
              <w:szCs w:val="24"/>
            </w:rPr>
            <w:t xml:space="preserve">Lietuvos Respublikos švietimo, mokslo ir sporto ministro 2023 m. rugpjūčio </w:t>
          </w:r>
          <w:r>
            <w:rPr>
              <w:szCs w:val="24"/>
              <w:lang w:val="en-US"/>
            </w:rPr>
            <w:t>17</w:t>
          </w:r>
          <w:r>
            <w:rPr>
              <w:szCs w:val="24"/>
            </w:rPr>
            <w:t xml:space="preserve"> d. įsakymo Nr. </w:t>
          </w:r>
          <w:r>
            <w:t>V-1071</w:t>
          </w:r>
          <w:r>
            <w:rPr>
              <w:szCs w:val="24"/>
            </w:rPr>
            <w:t xml:space="preserve"> redakcija)</w:t>
          </w:r>
        </w:p>
        <w:p w14:paraId="36FC7310" w14:textId="77777777" w:rsidR="00D17062" w:rsidRDefault="00D17062">
          <w:pPr>
            <w:keepLines/>
            <w:suppressAutoHyphens/>
            <w:ind w:left="10206" w:right="-887"/>
            <w:textAlignment w:val="center"/>
            <w:rPr>
              <w:bCs/>
              <w:caps/>
              <w:szCs w:val="24"/>
              <w:lang w:val="en-GB" w:eastAsia="lt-LT"/>
            </w:rPr>
          </w:pPr>
        </w:p>
        <w:p w14:paraId="443DAFFF" w14:textId="77777777" w:rsidR="00D17062" w:rsidRDefault="00000000">
          <w:pPr>
            <w:keepLines/>
            <w:suppressAutoHyphens/>
            <w:overflowPunct w:val="0"/>
            <w:spacing w:line="283" w:lineRule="auto"/>
            <w:jc w:val="center"/>
            <w:textAlignment w:val="baseline"/>
            <w:rPr>
              <w:b/>
              <w:caps/>
            </w:rPr>
          </w:pPr>
          <w:sdt>
            <w:sdtPr>
              <w:alias w:val="Pavadinimas"/>
              <w:tag w:val="title_e7dfcf83bae94cccaaa2f018c51326e6"/>
              <w:id w:val="-893277111"/>
              <w:lock w:val="sdtLocked"/>
            </w:sdtPr>
            <w:sdtContent>
              <w:r w:rsidR="00DF4315">
                <w:rPr>
                  <w:b/>
                  <w:caps/>
                </w:rPr>
                <w:t>STUDIJŲ Krypties studijų vertinamosios sritys ir rodikliai</w:t>
              </w:r>
            </w:sdtContent>
          </w:sdt>
        </w:p>
        <w:p w14:paraId="0D95A966" w14:textId="77777777" w:rsidR="00D17062" w:rsidRDefault="00D17062">
          <w:pPr>
            <w:keepLines/>
            <w:tabs>
              <w:tab w:val="left" w:pos="1304"/>
              <w:tab w:val="left" w:pos="1457"/>
              <w:tab w:val="left" w:pos="1604"/>
              <w:tab w:val="left" w:pos="1757"/>
            </w:tabs>
            <w:suppressAutoHyphens/>
            <w:overflowPunct w:val="0"/>
            <w:spacing w:line="283" w:lineRule="auto"/>
            <w:textAlignment w:val="baseline"/>
          </w:pPr>
        </w:p>
        <w:tbl>
          <w:tblPr>
            <w:tblW w:w="0" w:type="auto"/>
            <w:tblCellMar>
              <w:left w:w="10" w:type="dxa"/>
              <w:right w:w="10" w:type="dxa"/>
            </w:tblCellMar>
            <w:tblLook w:val="04A0" w:firstRow="1" w:lastRow="0" w:firstColumn="1" w:lastColumn="0" w:noHBand="0" w:noVBand="1"/>
          </w:tblPr>
          <w:tblGrid>
            <w:gridCol w:w="2363"/>
            <w:gridCol w:w="2661"/>
            <w:gridCol w:w="9000"/>
          </w:tblGrid>
          <w:tr w:rsidR="00D17062" w14:paraId="14275174" w14:textId="77777777">
            <w:tc>
              <w:tcPr>
                <w:tcW w:w="0" w:type="auto"/>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419066C7" w14:textId="77777777" w:rsidR="00D17062" w:rsidRDefault="00DF4315">
                <w:pPr>
                  <w:overflowPunct w:val="0"/>
                  <w:jc w:val="center"/>
                  <w:textAlignment w:val="baseline"/>
                  <w:rPr>
                    <w:rFonts w:ascii="HelveticaLT" w:hAnsi="HelveticaLT"/>
                    <w:b/>
                    <w:bCs/>
                    <w:iCs/>
                    <w:sz w:val="20"/>
                  </w:rPr>
                </w:pPr>
                <w:r>
                  <w:rPr>
                    <w:b/>
                    <w:bCs/>
                    <w:iCs/>
                  </w:rPr>
                  <w:t>Vertinamoji sritis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Pr>
              <w:p w14:paraId="5BC3A706" w14:textId="77777777" w:rsidR="00D17062" w:rsidRDefault="00DF4315">
                <w:pPr>
                  <w:overflowPunct w:val="0"/>
                  <w:jc w:val="center"/>
                  <w:textAlignment w:val="baseline"/>
                  <w:rPr>
                    <w:b/>
                    <w:bCs/>
                    <w:iCs/>
                  </w:rPr>
                </w:pPr>
                <w:r>
                  <w:rPr>
                    <w:b/>
                    <w:bCs/>
                    <w:iCs/>
                  </w:rPr>
                  <w:t>Tikslai</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7BEB7D00" w14:textId="77777777" w:rsidR="00D17062" w:rsidRDefault="00DF4315">
                <w:pPr>
                  <w:overflowPunct w:val="0"/>
                  <w:jc w:val="center"/>
                  <w:textAlignment w:val="baseline"/>
                  <w:rPr>
                    <w:rFonts w:ascii="HelveticaLT" w:hAnsi="HelveticaLT"/>
                    <w:b/>
                    <w:bCs/>
                    <w:iCs/>
                    <w:sz w:val="20"/>
                  </w:rPr>
                </w:pPr>
                <w:r>
                  <w:rPr>
                    <w:b/>
                    <w:bCs/>
                    <w:iCs/>
                  </w:rPr>
                  <w:t>Rodikliai</w:t>
                </w:r>
              </w:p>
            </w:tc>
          </w:tr>
          <w:tr w:rsidR="00D17062" w14:paraId="0B92FE19" w14:textId="77777777">
            <w:tc>
              <w:tcPr>
                <w:tcW w:w="0" w:type="auto"/>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436C8AB5" w14:textId="685FD93A" w:rsidR="00D17062" w:rsidRDefault="00DF4315">
                <w:pPr>
                  <w:overflowPunct w:val="0"/>
                  <w:textAlignment w:val="baseline"/>
                  <w:rPr>
                    <w:rFonts w:ascii="HelveticaLT" w:hAnsi="HelveticaLT"/>
                    <w:bCs/>
                    <w:sz w:val="20"/>
                  </w:rPr>
                </w:pPr>
                <w:r>
                  <w:rPr>
                    <w:bCs/>
                  </w:rPr>
                  <w:t>1. Studijų tikslai, rezultatai ir turinys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Pr>
              <w:p w14:paraId="36122B1B" w14:textId="3BD4BFE6" w:rsidR="00D17062" w:rsidRDefault="00DF4315">
                <w:pPr>
                  <w:overflowPunct w:val="0"/>
                  <w:jc w:val="both"/>
                  <w:textAlignment w:val="baseline"/>
                  <w:rPr>
                    <w:bCs/>
                  </w:rPr>
                </w:pPr>
                <w:r>
                  <w:rPr>
                    <w:bCs/>
                  </w:rPr>
                  <w:t xml:space="preserve">1.1. Studijų krypties (toliau – Kryptis) studijos pagrįstos šalies ūkio ir visuomenės poreikiais bei institucijos strategija. </w:t>
                </w:r>
              </w:p>
              <w:p w14:paraId="720C6D1E" w14:textId="77777777" w:rsidR="00D17062" w:rsidRDefault="00D17062">
                <w:pPr>
                  <w:overflowPunct w:val="0"/>
                  <w:jc w:val="both"/>
                  <w:textAlignment w:val="baseline"/>
                  <w:rPr>
                    <w:bCs/>
                  </w:rPr>
                </w:pPr>
              </w:p>
              <w:p w14:paraId="61C30E95" w14:textId="77777777" w:rsidR="00D17062" w:rsidRDefault="00D17062">
                <w:pPr>
                  <w:overflowPunct w:val="0"/>
                  <w:jc w:val="both"/>
                  <w:textAlignment w:val="baseline"/>
                  <w:rPr>
                    <w:bCs/>
                  </w:rPr>
                </w:pPr>
              </w:p>
              <w:p w14:paraId="1E0C519F" w14:textId="77777777" w:rsidR="00D17062" w:rsidRDefault="00D17062">
                <w:pPr>
                  <w:overflowPunct w:val="0"/>
                  <w:jc w:val="both"/>
                  <w:textAlignment w:val="baseline"/>
                  <w:rPr>
                    <w:bCs/>
                  </w:rPr>
                </w:pPr>
              </w:p>
              <w:p w14:paraId="45EBF1AA" w14:textId="77777777" w:rsidR="00D17062" w:rsidRDefault="00D17062">
                <w:pPr>
                  <w:overflowPunct w:val="0"/>
                  <w:jc w:val="both"/>
                  <w:textAlignment w:val="baseline"/>
                  <w:rPr>
                    <w:bCs/>
                  </w:rPr>
                </w:pPr>
              </w:p>
              <w:p w14:paraId="0EF3BABB" w14:textId="77777777" w:rsidR="00D17062" w:rsidRDefault="00D17062">
                <w:pPr>
                  <w:overflowPunct w:val="0"/>
                  <w:jc w:val="both"/>
                  <w:textAlignment w:val="baseline"/>
                  <w:rPr>
                    <w:bCs/>
                  </w:rPr>
                </w:pPr>
              </w:p>
              <w:p w14:paraId="13135F8B" w14:textId="2DA0734C" w:rsidR="00D17062" w:rsidRDefault="00DF4315">
                <w:pPr>
                  <w:overflowPunct w:val="0"/>
                  <w:jc w:val="both"/>
                  <w:textAlignment w:val="baseline"/>
                  <w:rPr>
                    <w:bCs/>
                  </w:rPr>
                </w:pPr>
                <w:r>
                  <w:rPr>
                    <w:bCs/>
                  </w:rPr>
                  <w:t>1.2. Krypties studijos atitinka teisės aktų, reglamentuojančių studijų programų rengimą ir vykdymą, reikalavimus, programų struktūra, turinys, mokymo(si) ir vertinimo metodai sudaro sąlygas studentams pasiekti studijų tikslus ir rezultatus.</w:t>
                </w:r>
              </w:p>
              <w:p w14:paraId="6945232C" w14:textId="77777777" w:rsidR="00D17062" w:rsidRDefault="00D17062">
                <w:pPr>
                  <w:overflowPunct w:val="0"/>
                  <w:jc w:val="both"/>
                  <w:textAlignment w:val="baseline"/>
                  <w:rPr>
                    <w:bCs/>
                  </w:rPr>
                </w:pPr>
              </w:p>
              <w:p w14:paraId="1C633A5C" w14:textId="77777777" w:rsidR="00D17062" w:rsidRDefault="00D17062">
                <w:pPr>
                  <w:overflowPunct w:val="0"/>
                  <w:jc w:val="both"/>
                  <w:textAlignment w:val="baseline"/>
                  <w:rPr>
                    <w:bCs/>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25C29A10" w14:textId="77777777" w:rsidR="00D17062" w:rsidRDefault="00DF4315">
                <w:pPr>
                  <w:overflowPunct w:val="0"/>
                  <w:jc w:val="both"/>
                  <w:textAlignment w:val="baseline"/>
                  <w:rPr>
                    <w:bCs/>
                  </w:rPr>
                </w:pPr>
                <w:r>
                  <w:rPr>
                    <w:bCs/>
                  </w:rPr>
                  <w:t>1.1.1.</w:t>
                </w:r>
                <w:r>
                  <w:rPr>
                    <w:bCs/>
                    <w:szCs w:val="24"/>
                  </w:rPr>
                  <w:t xml:space="preserve"> Studijų krypties (toliau – kryptis) </w:t>
                </w:r>
                <w:r>
                  <w:rPr>
                    <w:bCs/>
                    <w:color w:val="000000"/>
                  </w:rPr>
                  <w:t xml:space="preserve">ir pakopos </w:t>
                </w:r>
                <w:r>
                  <w:rPr>
                    <w:bCs/>
                    <w:szCs w:val="24"/>
                  </w:rPr>
                  <w:t>studijų programų</w:t>
                </w:r>
                <w:r>
                  <w:rPr>
                    <w:bCs/>
                  </w:rPr>
                  <w:t xml:space="preserve"> tikslų ir studijų rezultatų atitikties visuomenės ir (ar) darbo rinkos poreikiams (</w:t>
                </w:r>
                <w:r>
                  <w:rPr>
                    <w:bCs/>
                    <w:color w:val="000000"/>
                  </w:rPr>
                  <w:t>egzilio sąlygomis veikiančiai</w:t>
                </w:r>
                <w:r>
                  <w:rPr>
                    <w:bCs/>
                  </w:rPr>
                  <w:t xml:space="preserve"> aukštajai mokyklai netaikoma) įvertinimas.</w:t>
                </w:r>
              </w:p>
              <w:p w14:paraId="359D2BF5" w14:textId="77777777" w:rsidR="00D17062" w:rsidRDefault="00DF4315">
                <w:pPr>
                  <w:overflowPunct w:val="0"/>
                  <w:jc w:val="both"/>
                  <w:textAlignment w:val="baseline"/>
                  <w:rPr>
                    <w:bCs/>
                    <w:szCs w:val="24"/>
                  </w:rPr>
                </w:pPr>
                <w:r>
                  <w:rPr>
                    <w:bCs/>
                    <w:szCs w:val="24"/>
                  </w:rPr>
                  <w:t xml:space="preserve">1.1.2. Krypties </w:t>
                </w:r>
                <w:r>
                  <w:rPr>
                    <w:bCs/>
                    <w:color w:val="000000"/>
                  </w:rPr>
                  <w:t xml:space="preserve">ir pakopos </w:t>
                </w:r>
                <w:r>
                  <w:rPr>
                    <w:bCs/>
                    <w:szCs w:val="24"/>
                  </w:rPr>
                  <w:t>studijų programų tikslų ir studijų rezultatų atitikties institucijos misijai, veiklos tikslams ir strategijai įvertinimas.</w:t>
                </w:r>
              </w:p>
              <w:p w14:paraId="69AC2F2B" w14:textId="77777777" w:rsidR="00D17062" w:rsidRDefault="00D17062">
                <w:pPr>
                  <w:overflowPunct w:val="0"/>
                  <w:jc w:val="both"/>
                  <w:textAlignment w:val="baseline"/>
                  <w:rPr>
                    <w:bCs/>
                    <w:szCs w:val="24"/>
                  </w:rPr>
                </w:pPr>
              </w:p>
              <w:p w14:paraId="0D9A644F" w14:textId="31D02E93" w:rsidR="00D17062" w:rsidRDefault="00DF4315">
                <w:pPr>
                  <w:overflowPunct w:val="0"/>
                  <w:jc w:val="both"/>
                  <w:textAlignment w:val="baseline"/>
                  <w:rPr>
                    <w:bCs/>
                    <w:color w:val="000000"/>
                  </w:rPr>
                </w:pPr>
                <w:r>
                  <w:rPr>
                    <w:bCs/>
                    <w:szCs w:val="24"/>
                  </w:rPr>
                  <w:t xml:space="preserve">1.2.1. </w:t>
                </w:r>
                <w:r>
                  <w:rPr>
                    <w:bCs/>
                    <w:color w:val="000000"/>
                  </w:rPr>
                  <w:t>Krypties ir pakopos studijų programų atitikties teisės aktų, reglamentuojančių studijų programų rengimą ir vykdymą. reikalavimams įvertinimas.</w:t>
                </w:r>
              </w:p>
              <w:p w14:paraId="7706DC73" w14:textId="77777777" w:rsidR="00D17062" w:rsidRDefault="00DF4315">
                <w:pPr>
                  <w:overflowPunct w:val="0"/>
                  <w:jc w:val="both"/>
                  <w:textAlignment w:val="baseline"/>
                  <w:rPr>
                    <w:bCs/>
                    <w:iCs/>
                    <w:szCs w:val="24"/>
                  </w:rPr>
                </w:pPr>
                <w:r>
                  <w:rPr>
                    <w:bCs/>
                    <w:iCs/>
                    <w:szCs w:val="24"/>
                  </w:rPr>
                  <w:t xml:space="preserve">1.2.2. </w:t>
                </w:r>
                <w:r>
                  <w:rPr>
                    <w:bCs/>
                    <w:szCs w:val="24"/>
                  </w:rPr>
                  <w:t xml:space="preserve">Krypties </w:t>
                </w:r>
                <w:r>
                  <w:rPr>
                    <w:bCs/>
                    <w:color w:val="000000"/>
                  </w:rPr>
                  <w:t xml:space="preserve">ir pakopos </w:t>
                </w:r>
                <w:r>
                  <w:rPr>
                    <w:bCs/>
                    <w:szCs w:val="24"/>
                  </w:rPr>
                  <w:t>studijų</w:t>
                </w:r>
                <w:r>
                  <w:rPr>
                    <w:bCs/>
                    <w:iCs/>
                    <w:szCs w:val="24"/>
                  </w:rPr>
                  <w:t xml:space="preserve"> programų studijų tikslų, studijų rezultatų, mokymo(si) ir vertinimo metodų suderinamumo įvertinimas.</w:t>
                </w:r>
              </w:p>
              <w:p w14:paraId="5D4418FE" w14:textId="77777777" w:rsidR="00D17062" w:rsidRDefault="00DF4315">
                <w:pPr>
                  <w:overflowPunct w:val="0"/>
                  <w:jc w:val="both"/>
                  <w:textAlignment w:val="baseline"/>
                  <w:rPr>
                    <w:rFonts w:eastAsia="Calibri"/>
                    <w:bCs/>
                    <w:iCs/>
                    <w:szCs w:val="24"/>
                  </w:rPr>
                </w:pPr>
                <w:r>
                  <w:rPr>
                    <w:rFonts w:eastAsia="Calibri"/>
                    <w:bCs/>
                    <w:iCs/>
                    <w:szCs w:val="24"/>
                  </w:rPr>
                  <w:t xml:space="preserve">1.2.3. </w:t>
                </w:r>
                <w:r>
                  <w:rPr>
                    <w:bCs/>
                    <w:szCs w:val="24"/>
                  </w:rPr>
                  <w:t xml:space="preserve">Krypties </w:t>
                </w:r>
                <w:r>
                  <w:rPr>
                    <w:bCs/>
                    <w:color w:val="000000"/>
                  </w:rPr>
                  <w:t xml:space="preserve">ir pakopos </w:t>
                </w:r>
                <w:r>
                  <w:rPr>
                    <w:bCs/>
                    <w:szCs w:val="24"/>
                  </w:rPr>
                  <w:t>studijų</w:t>
                </w:r>
                <w:r>
                  <w:rPr>
                    <w:rFonts w:eastAsia="Calibri"/>
                    <w:bCs/>
                    <w:iCs/>
                    <w:szCs w:val="24"/>
                  </w:rPr>
                  <w:t xml:space="preserve"> programų dalykų (modulių) visumos, užtikrinančios studento nuoseklų kompetencijų ugdymą(si), įvertinimas.</w:t>
                </w:r>
              </w:p>
              <w:p w14:paraId="187FB3CC" w14:textId="77777777" w:rsidR="00D17062" w:rsidRDefault="00DF4315">
                <w:pPr>
                  <w:overflowPunct w:val="0"/>
                  <w:jc w:val="both"/>
                  <w:textAlignment w:val="baseline"/>
                  <w:rPr>
                    <w:bCs/>
                    <w:szCs w:val="24"/>
                  </w:rPr>
                </w:pPr>
                <w:r>
                  <w:rPr>
                    <w:bCs/>
                    <w:szCs w:val="24"/>
                  </w:rPr>
                  <w:t>1.2.4. Galimybių studijuojantiesiems individualizuoti krypties studijų programų struktūrą atsižvelgiant į asmeninius mokymosi tikslus bei numatytus studijų rezultatus įvertinimas.</w:t>
                </w:r>
              </w:p>
              <w:p w14:paraId="7A46DCD6" w14:textId="401EAF11" w:rsidR="00D17062" w:rsidRDefault="00DF4315">
                <w:pPr>
                  <w:overflowPunct w:val="0"/>
                  <w:jc w:val="both"/>
                  <w:textAlignment w:val="baseline"/>
                  <w:rPr>
                    <w:bCs/>
                    <w:szCs w:val="24"/>
                  </w:rPr>
                </w:pPr>
                <w:r>
                  <w:rPr>
                    <w:bCs/>
                    <w:szCs w:val="24"/>
                  </w:rPr>
                  <w:t>1.2.5. Baigiamųjų darbų (trumposios pakopos studijų atveju – taikomųjų projektų, jeigu jie vykdomi) atitikties krypties ir pakopos reikalavimams įvertinimas (ketinamų vykdyti studijų programų atveju netaikoma).</w:t>
                </w:r>
              </w:p>
            </w:tc>
          </w:tr>
          <w:tr w:rsidR="00D17062" w14:paraId="7C4F92C1" w14:textId="77777777">
            <w:tc>
              <w:tcPr>
                <w:tcW w:w="0" w:type="auto"/>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212ABE68" w14:textId="3A21ACD9" w:rsidR="00D17062" w:rsidRDefault="00DF4315">
                <w:pPr>
                  <w:overflowPunct w:val="0"/>
                  <w:textAlignment w:val="baseline"/>
                  <w:rPr>
                    <w:rFonts w:ascii="HelveticaLT" w:hAnsi="HelveticaLT"/>
                    <w:bCs/>
                    <w:sz w:val="20"/>
                  </w:rPr>
                </w:pPr>
                <w:r>
                  <w:rPr>
                    <w:bCs/>
                  </w:rPr>
                  <w:lastRenderedPageBreak/>
                  <w:t xml:space="preserve">2. </w:t>
                </w:r>
                <w:r w:rsidR="002747A8" w:rsidRPr="002747A8">
                  <w:rPr>
                    <w:bCs/>
                  </w:rPr>
                  <w:t>Mokslo (meno) ir studijų veiklos sąsajos (trumposios pakopos studijų atveju netaikoma)</w:t>
                </w:r>
              </w:p>
            </w:tc>
            <w:tc>
              <w:tcPr>
                <w:tcW w:w="0" w:type="auto"/>
                <w:tcBorders>
                  <w:top w:val="single" w:sz="4" w:space="0" w:color="000000"/>
                  <w:left w:val="single" w:sz="4" w:space="0" w:color="000000"/>
                  <w:bottom w:val="single" w:sz="4" w:space="0" w:color="000000"/>
                  <w:right w:val="single" w:sz="4" w:space="0" w:color="000000"/>
                </w:tcBorders>
                <w:shd w:val="clear" w:color="auto" w:fill="FFFFFF"/>
              </w:tcPr>
              <w:p w14:paraId="22430A4C" w14:textId="77777777" w:rsidR="002747A8" w:rsidRPr="002747A8" w:rsidRDefault="002747A8" w:rsidP="002747A8">
                <w:pPr>
                  <w:overflowPunct w:val="0"/>
                  <w:jc w:val="both"/>
                  <w:textAlignment w:val="baseline"/>
                  <w:rPr>
                    <w:bCs/>
                  </w:rPr>
                </w:pPr>
                <w:r w:rsidRPr="002747A8">
                  <w:rPr>
                    <w:bCs/>
                  </w:rPr>
                  <w:t>2.1. Krypties studijos integruoja naujausius mokslo (meno) ir (ar) technologijų pasiekimus ir jose sudaromos sąlygos studentų gebėjimų vykdyti mokslo (meno) veiklą ugdymui.</w:t>
                </w:r>
              </w:p>
              <w:p w14:paraId="01C64BA1" w14:textId="5F3BA852" w:rsidR="00D17062" w:rsidRDefault="00D17062">
                <w:pPr>
                  <w:overflowPunct w:val="0"/>
                  <w:jc w:val="both"/>
                  <w:textAlignment w:val="baseline"/>
                  <w:rPr>
                    <w:bCs/>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2637FB13" w14:textId="77777777" w:rsidR="002747A8" w:rsidRPr="002747A8" w:rsidRDefault="002747A8" w:rsidP="002747A8">
                <w:pPr>
                  <w:overflowPunct w:val="0"/>
                  <w:jc w:val="both"/>
                  <w:textAlignment w:val="baseline"/>
                  <w:rPr>
                    <w:bCs/>
                  </w:rPr>
                </w:pPr>
                <w:r w:rsidRPr="002747A8">
                  <w:rPr>
                    <w:bCs/>
                  </w:rPr>
                  <w:t>2.1.1. Aukštosios mokyklos vykdomos mokslo (meno) veiklos lygio pakankamumo su studijų kryptimi susijusioje mokslo (meno) kryptyje įvertinimas. Tarpkryptinių studijų krypties atveju įvertinamas mokslo (meno) veiklos lygio pakankamumas su integruotomis studijų kryptimis susijusiose mokslo (meno) kryptyse, kurios nurodomos studijų programos apraše ir savianalizėje.</w:t>
                </w:r>
              </w:p>
              <w:p w14:paraId="4CA7CABD" w14:textId="77777777" w:rsidR="002747A8" w:rsidRPr="002747A8" w:rsidRDefault="002747A8" w:rsidP="002747A8">
                <w:pPr>
                  <w:overflowPunct w:val="0"/>
                  <w:jc w:val="both"/>
                  <w:textAlignment w:val="baseline"/>
                  <w:rPr>
                    <w:bCs/>
                  </w:rPr>
                </w:pPr>
                <w:r w:rsidRPr="002747A8">
                  <w:rPr>
                    <w:bCs/>
                  </w:rPr>
                  <w:t>2.1.2. Studijų turinio susiejimo su naujausiais mokslo, meno ir technologijų pasiekimais įvertinimas.</w:t>
                </w:r>
              </w:p>
              <w:p w14:paraId="2F12B8FD" w14:textId="3C19CA20" w:rsidR="00D17062" w:rsidRDefault="002747A8" w:rsidP="002747A8">
                <w:pPr>
                  <w:overflowPunct w:val="0"/>
                  <w:jc w:val="both"/>
                  <w:textAlignment w:val="baseline"/>
                  <w:rPr>
                    <w:bCs/>
                    <w:sz w:val="18"/>
                  </w:rPr>
                </w:pPr>
                <w:r w:rsidRPr="002747A8">
                  <w:rPr>
                    <w:bCs/>
                  </w:rPr>
                  <w:t>2.1.3. Sąlygų studentams įsitraukti į mokslinę (taikomąją mokslo, meno) veiklą, atitinkančią studijų pakopą, sudarymo įvertinimas (ketinamų vykdyti studijų programų atveju netaikoma).</w:t>
                </w:r>
              </w:p>
            </w:tc>
          </w:tr>
          <w:tr w:rsidR="00D17062" w14:paraId="55A96FB8" w14:textId="77777777">
            <w:tc>
              <w:tcPr>
                <w:tcW w:w="0" w:type="auto"/>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13BDF5F2" w14:textId="77777777" w:rsidR="00D17062" w:rsidRDefault="00DF4315">
                <w:pPr>
                  <w:overflowPunct w:val="0"/>
                  <w:textAlignment w:val="baseline"/>
                  <w:rPr>
                    <w:rFonts w:ascii="HelveticaLT" w:hAnsi="HelveticaLT"/>
                    <w:bCs/>
                    <w:sz w:val="20"/>
                  </w:rPr>
                </w:pPr>
                <w:r>
                  <w:rPr>
                    <w:bCs/>
                  </w:rPr>
                  <w:t>3. Studentų priėmimas ir parama</w:t>
                </w:r>
              </w:p>
            </w:tc>
            <w:tc>
              <w:tcPr>
                <w:tcW w:w="0" w:type="auto"/>
                <w:tcBorders>
                  <w:top w:val="single" w:sz="4" w:space="0" w:color="000000"/>
                  <w:left w:val="single" w:sz="4" w:space="0" w:color="000000"/>
                  <w:bottom w:val="single" w:sz="4" w:space="0" w:color="000000"/>
                  <w:right w:val="single" w:sz="4" w:space="0" w:color="000000"/>
                </w:tcBorders>
                <w:shd w:val="clear" w:color="auto" w:fill="FFFFFF"/>
              </w:tcPr>
              <w:p w14:paraId="7990F3E4" w14:textId="77777777" w:rsidR="00D17062" w:rsidRDefault="00DF4315">
                <w:pPr>
                  <w:overflowPunct w:val="0"/>
                  <w:jc w:val="both"/>
                  <w:textAlignment w:val="baseline"/>
                  <w:rPr>
                    <w:bCs/>
                  </w:rPr>
                </w:pPr>
                <w:r>
                  <w:rPr>
                    <w:bCs/>
                  </w:rPr>
                  <w:t>3.1. Studentų atrankos ir priėmimo procesas dera su krypties studijų tikslais ir studijų rezultatais.</w:t>
                </w:r>
              </w:p>
              <w:p w14:paraId="48E96DC2" w14:textId="77777777" w:rsidR="00D17062" w:rsidRDefault="00D17062">
                <w:pPr>
                  <w:overflowPunct w:val="0"/>
                  <w:jc w:val="both"/>
                  <w:textAlignment w:val="baseline"/>
                  <w:rPr>
                    <w:bCs/>
                  </w:rPr>
                </w:pPr>
              </w:p>
              <w:p w14:paraId="4E33148E" w14:textId="77777777" w:rsidR="00D17062" w:rsidRDefault="00D17062">
                <w:pPr>
                  <w:overflowPunct w:val="0"/>
                  <w:jc w:val="both"/>
                  <w:textAlignment w:val="baseline"/>
                  <w:rPr>
                    <w:bCs/>
                  </w:rPr>
                </w:pPr>
              </w:p>
              <w:p w14:paraId="0EE8FC8A" w14:textId="77777777" w:rsidR="00D17062" w:rsidRDefault="00D17062">
                <w:pPr>
                  <w:overflowPunct w:val="0"/>
                  <w:jc w:val="both"/>
                  <w:textAlignment w:val="baseline"/>
                  <w:rPr>
                    <w:bCs/>
                  </w:rPr>
                </w:pPr>
              </w:p>
              <w:p w14:paraId="06726512" w14:textId="77777777" w:rsidR="00D17062" w:rsidRDefault="00D17062">
                <w:pPr>
                  <w:overflowPunct w:val="0"/>
                  <w:jc w:val="both"/>
                  <w:textAlignment w:val="baseline"/>
                  <w:rPr>
                    <w:bCs/>
                  </w:rPr>
                </w:pPr>
              </w:p>
              <w:p w14:paraId="19177B86" w14:textId="77777777" w:rsidR="00D17062" w:rsidRDefault="00D17062">
                <w:pPr>
                  <w:overflowPunct w:val="0"/>
                  <w:jc w:val="both"/>
                  <w:textAlignment w:val="baseline"/>
                  <w:rPr>
                    <w:bCs/>
                  </w:rPr>
                </w:pPr>
              </w:p>
              <w:p w14:paraId="795D1DAF" w14:textId="77777777" w:rsidR="00D17062" w:rsidRDefault="00D17062">
                <w:pPr>
                  <w:overflowPunct w:val="0"/>
                  <w:jc w:val="both"/>
                  <w:textAlignment w:val="baseline"/>
                  <w:rPr>
                    <w:bCs/>
                  </w:rPr>
                </w:pPr>
              </w:p>
              <w:p w14:paraId="730F6486" w14:textId="77777777" w:rsidR="00D17062" w:rsidRDefault="00D17062">
                <w:pPr>
                  <w:overflowPunct w:val="0"/>
                  <w:jc w:val="both"/>
                  <w:textAlignment w:val="baseline"/>
                  <w:rPr>
                    <w:bCs/>
                  </w:rPr>
                </w:pPr>
              </w:p>
              <w:p w14:paraId="3E24961A" w14:textId="77777777" w:rsidR="00D17062" w:rsidRDefault="00DF4315">
                <w:pPr>
                  <w:overflowPunct w:val="0"/>
                  <w:jc w:val="both"/>
                  <w:textAlignment w:val="baseline"/>
                  <w:rPr>
                    <w:bCs/>
                  </w:rPr>
                </w:pPr>
                <w:r>
                  <w:rPr>
                    <w:bCs/>
                  </w:rPr>
                  <w:t>3.2. Studijų kryptyje veikia efektyvi paramos studijuojantiems sistema, įgalinanti juos pasiekti maksimalią mokymosi pažangą.</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1C9F2922" w14:textId="77777777" w:rsidR="00D17062" w:rsidRDefault="00DF4315">
                <w:pPr>
                  <w:overflowPunct w:val="0"/>
                  <w:jc w:val="both"/>
                  <w:textAlignment w:val="baseline"/>
                  <w:rPr>
                    <w:bCs/>
                    <w:szCs w:val="24"/>
                  </w:rPr>
                </w:pPr>
                <w:r>
                  <w:rPr>
                    <w:bCs/>
                    <w:szCs w:val="24"/>
                  </w:rPr>
                  <w:t>3.1.1. Studentų atrankos ir priėmimo kriterijų ir  proceso tinkamumo ir viešumo įvertinimas.</w:t>
                </w:r>
              </w:p>
              <w:p w14:paraId="20F9ADFB" w14:textId="2848ED4F" w:rsidR="00D17062" w:rsidRDefault="00DF4315">
                <w:pPr>
                  <w:overflowPunct w:val="0"/>
                  <w:jc w:val="both"/>
                  <w:textAlignment w:val="baseline"/>
                  <w:rPr>
                    <w:bCs/>
                    <w:color w:val="000000"/>
                    <w:szCs w:val="24"/>
                  </w:rPr>
                </w:pPr>
                <w:r>
                  <w:rPr>
                    <w:bCs/>
                    <w:color w:val="000000"/>
                    <w:szCs w:val="24"/>
                  </w:rPr>
                  <w:t>3.1.2. Išsilavinimo ir kvalifikacijos, įgytų pagal užsienio valstybių ir tarptautinių organizacijų švietimo programas, pripažinimo, dalinių studijų aukštosiose mokyklose rezultatų įskaitymo ir formaliojo ir neformaliojo švietimo, savišvietos būdu įgytų kompetencijų, susijusių su aukštuoju mokslu, vertinimo ir pripažinimo taikymo įvertinimas.</w:t>
                </w:r>
              </w:p>
              <w:p w14:paraId="45252F7B" w14:textId="77777777" w:rsidR="00D17062" w:rsidRDefault="00D17062">
                <w:pPr>
                  <w:tabs>
                    <w:tab w:val="left" w:pos="619"/>
                  </w:tabs>
                  <w:overflowPunct w:val="0"/>
                  <w:jc w:val="both"/>
                  <w:textAlignment w:val="baseline"/>
                  <w:rPr>
                    <w:bCs/>
                    <w:color w:val="000000"/>
                    <w:szCs w:val="24"/>
                  </w:rPr>
                </w:pPr>
              </w:p>
              <w:p w14:paraId="3E9B6809" w14:textId="77777777" w:rsidR="00D17062" w:rsidRDefault="00DF4315">
                <w:pPr>
                  <w:tabs>
                    <w:tab w:val="left" w:pos="619"/>
                  </w:tabs>
                  <w:overflowPunct w:val="0"/>
                  <w:jc w:val="both"/>
                  <w:textAlignment w:val="baseline"/>
                  <w:rPr>
                    <w:bCs/>
                    <w:color w:val="000000"/>
                    <w:szCs w:val="24"/>
                  </w:rPr>
                </w:pPr>
                <w:r>
                  <w:rPr>
                    <w:bCs/>
                    <w:color w:val="000000"/>
                    <w:szCs w:val="24"/>
                  </w:rPr>
                  <w:t>3.2.1. Sąlygų studijuojančiųjų akademiniam judumui užtikrinti įvertinimas (ketinamoms vykdyti studijų programoms netaikoma).</w:t>
                </w:r>
              </w:p>
              <w:p w14:paraId="6AF2FFC0" w14:textId="77777777" w:rsidR="00D17062" w:rsidRDefault="00DF4315">
                <w:pPr>
                  <w:overflowPunct w:val="0"/>
                  <w:jc w:val="both"/>
                  <w:textAlignment w:val="baseline"/>
                  <w:rPr>
                    <w:bCs/>
                    <w:color w:val="000000"/>
                    <w:szCs w:val="24"/>
                  </w:rPr>
                </w:pPr>
                <w:r>
                  <w:rPr>
                    <w:bCs/>
                    <w:color w:val="000000"/>
                    <w:szCs w:val="24"/>
                  </w:rPr>
                  <w:t>3.2.2.  Krypties studentams teikiamos akademinės, finansinės, socialinės, psichologinės ir asmeninės paramos tinkamumo, pakankamumo ir veiksmingumo įvertinimas.</w:t>
                </w:r>
              </w:p>
              <w:p w14:paraId="4CF10714" w14:textId="5336BDB8" w:rsidR="00D17062" w:rsidRDefault="00DF4315">
                <w:pPr>
                  <w:tabs>
                    <w:tab w:val="left" w:pos="619"/>
                  </w:tabs>
                  <w:overflowPunct w:val="0"/>
                  <w:jc w:val="both"/>
                  <w:textAlignment w:val="baseline"/>
                  <w:rPr>
                    <w:bCs/>
                    <w:color w:val="000000"/>
                    <w:szCs w:val="24"/>
                  </w:rPr>
                </w:pPr>
                <w:r>
                  <w:rPr>
                    <w:bCs/>
                    <w:color w:val="000000"/>
                    <w:szCs w:val="24"/>
                  </w:rPr>
                  <w:t>3.2.3. Informacijos apie studijas ir studentų konsultavimo pakankamumo įvertinimas.</w:t>
                </w:r>
              </w:p>
            </w:tc>
          </w:tr>
          <w:tr w:rsidR="00D17062" w14:paraId="79745595" w14:textId="77777777">
            <w:tc>
              <w:tcPr>
                <w:tcW w:w="0" w:type="auto"/>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602FBD6F" w14:textId="77777777" w:rsidR="00D17062" w:rsidRDefault="00DF4315">
                <w:pPr>
                  <w:overflowPunct w:val="0"/>
                  <w:textAlignment w:val="baseline"/>
                  <w:rPr>
                    <w:rFonts w:ascii="HelveticaLT" w:hAnsi="HelveticaLT"/>
                    <w:bCs/>
                    <w:sz w:val="20"/>
                  </w:rPr>
                </w:pPr>
                <w:r>
                  <w:rPr>
                    <w:bCs/>
                  </w:rPr>
                  <w:t>4. Studijavimas, studijų pasiekimai ir absolventų užimtumas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Pr>
              <w:p w14:paraId="22833221" w14:textId="77777777" w:rsidR="00D17062" w:rsidRDefault="00DF4315">
                <w:pPr>
                  <w:overflowPunct w:val="0"/>
                  <w:jc w:val="both"/>
                  <w:textAlignment w:val="baseline"/>
                  <w:rPr>
                    <w:bCs/>
                  </w:rPr>
                </w:pPr>
                <w:r>
                  <w:rPr>
                    <w:bCs/>
                  </w:rPr>
                  <w:t>4.1. Krypties studijos parengia studentus savarankiškai profesinei veiklai.</w:t>
                </w:r>
              </w:p>
              <w:p w14:paraId="1E26D78F" w14:textId="77777777" w:rsidR="00D17062" w:rsidRDefault="00D17062">
                <w:pPr>
                  <w:overflowPunct w:val="0"/>
                  <w:jc w:val="both"/>
                  <w:textAlignment w:val="baseline"/>
                  <w:rPr>
                    <w:bCs/>
                  </w:rPr>
                </w:pPr>
              </w:p>
              <w:p w14:paraId="53284BEF" w14:textId="77777777" w:rsidR="00D17062" w:rsidRDefault="00D17062">
                <w:pPr>
                  <w:overflowPunct w:val="0"/>
                  <w:jc w:val="both"/>
                  <w:textAlignment w:val="baseline"/>
                  <w:rPr>
                    <w:bCs/>
                  </w:rPr>
                </w:pPr>
              </w:p>
              <w:p w14:paraId="2ACD4933" w14:textId="77777777" w:rsidR="00D17062" w:rsidRDefault="00D17062">
                <w:pPr>
                  <w:overflowPunct w:val="0"/>
                  <w:jc w:val="both"/>
                  <w:textAlignment w:val="baseline"/>
                  <w:rPr>
                    <w:bCs/>
                  </w:rPr>
                </w:pPr>
              </w:p>
              <w:p w14:paraId="32DFF397" w14:textId="77777777" w:rsidR="00D17062" w:rsidRDefault="00D17062">
                <w:pPr>
                  <w:overflowPunct w:val="0"/>
                  <w:jc w:val="both"/>
                  <w:textAlignment w:val="baseline"/>
                  <w:rPr>
                    <w:bCs/>
                  </w:rPr>
                </w:pPr>
              </w:p>
              <w:p w14:paraId="4BF5F880" w14:textId="77777777" w:rsidR="00D17062" w:rsidRDefault="00DF4315">
                <w:pPr>
                  <w:overflowPunct w:val="0"/>
                  <w:jc w:val="both"/>
                  <w:textAlignment w:val="baseline"/>
                  <w:rPr>
                    <w:bCs/>
                  </w:rPr>
                </w:pPr>
                <w:r>
                  <w:rPr>
                    <w:bCs/>
                  </w:rPr>
                  <w:lastRenderedPageBreak/>
                  <w:t>4.2. Studijų kryptyje veikia efektyvi ir skaidri studentų pasiekimų vertinimo, pažangos stebėsenos ir akademinio sąžiningumo užtikrinimo sistema.</w:t>
                </w:r>
              </w:p>
              <w:p w14:paraId="364B16D3" w14:textId="77777777" w:rsidR="00D17062" w:rsidRDefault="00D17062">
                <w:pPr>
                  <w:overflowPunct w:val="0"/>
                  <w:jc w:val="both"/>
                  <w:textAlignment w:val="baseline"/>
                  <w:rPr>
                    <w:bCs/>
                  </w:rPr>
                </w:pPr>
              </w:p>
              <w:p w14:paraId="79B76BB3" w14:textId="77777777" w:rsidR="00D17062" w:rsidRDefault="00D17062">
                <w:pPr>
                  <w:tabs>
                    <w:tab w:val="left" w:pos="619"/>
                  </w:tabs>
                  <w:overflowPunct w:val="0"/>
                  <w:textAlignment w:val="baseline"/>
                  <w:rPr>
                    <w:bCs/>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0CABA412" w14:textId="6B80FFAE" w:rsidR="00D17062" w:rsidRDefault="00DF4315">
                <w:pPr>
                  <w:tabs>
                    <w:tab w:val="left" w:pos="619"/>
                  </w:tabs>
                  <w:overflowPunct w:val="0"/>
                  <w:jc w:val="both"/>
                  <w:textAlignment w:val="baseline"/>
                  <w:rPr>
                    <w:bCs/>
                  </w:rPr>
                </w:pPr>
                <w:r>
                  <w:rPr>
                    <w:bCs/>
                  </w:rPr>
                  <w:lastRenderedPageBreak/>
                  <w:t xml:space="preserve">4.1.1. </w:t>
                </w:r>
                <w:r>
                  <w:rPr>
                    <w:rFonts w:eastAsia="Calibri"/>
                    <w:bCs/>
                    <w:szCs w:val="24"/>
                  </w:rPr>
                  <w:t>Mokymo ir mokymosi proceso, leidžiančio atsižvelgti į studijuojančiųjų poreikius ir</w:t>
                </w:r>
                <w:r>
                  <w:rPr>
                    <w:bCs/>
                  </w:rPr>
                  <w:t xml:space="preserve"> įgalinančio juos pasiekti numatytus studijų rezultatus</w:t>
                </w:r>
                <w:r>
                  <w:rPr>
                    <w:rFonts w:eastAsia="Calibri"/>
                    <w:bCs/>
                    <w:szCs w:val="24"/>
                  </w:rPr>
                  <w:t>, įvertinimas. </w:t>
                </w:r>
              </w:p>
              <w:p w14:paraId="42479E9B" w14:textId="4DAA6DC7" w:rsidR="00D17062" w:rsidRDefault="00DF4315">
                <w:pPr>
                  <w:tabs>
                    <w:tab w:val="left" w:pos="619"/>
                  </w:tabs>
                  <w:overflowPunct w:val="0"/>
                  <w:jc w:val="both"/>
                  <w:textAlignment w:val="baseline"/>
                  <w:rPr>
                    <w:bCs/>
                    <w:szCs w:val="24"/>
                  </w:rPr>
                </w:pPr>
                <w:r>
                  <w:rPr>
                    <w:bCs/>
                    <w:szCs w:val="24"/>
                  </w:rPr>
                  <w:t>4.1.2. Sąlygų, užtikrinančių galimybes studijuoti socialiai pažeidžiamoms grupėms bei studentams su specialiaisiais poreikiais, įvertinimas.</w:t>
                </w:r>
              </w:p>
              <w:p w14:paraId="509C6C36" w14:textId="77777777" w:rsidR="00D17062" w:rsidRDefault="00DF4315">
                <w:pPr>
                  <w:tabs>
                    <w:tab w:val="left" w:pos="619"/>
                  </w:tabs>
                  <w:overflowPunct w:val="0"/>
                  <w:jc w:val="both"/>
                  <w:textAlignment w:val="baseline"/>
                  <w:rPr>
                    <w:bCs/>
                    <w:iCs/>
                    <w:szCs w:val="24"/>
                  </w:rPr>
                </w:pPr>
                <w:r>
                  <w:rPr>
                    <w:bCs/>
                  </w:rPr>
                  <w:t xml:space="preserve">4.2.1. Vykdomos studentų studijavimo pažangos stebėsenos sistemingumo įvertinimas bei </w:t>
                </w:r>
                <w:r>
                  <w:rPr>
                    <w:bCs/>
                    <w:iCs/>
                    <w:szCs w:val="24"/>
                  </w:rPr>
                  <w:t xml:space="preserve"> studijų metu studentams teikiamo grįžtamojo ryšio, skatinančio pasiektų rezultatų įsivertinimą ir tolimesnį studijų pažangos planavimą, įvertinimas (ketinamoms vykdyti studijų programoms netaikoma). </w:t>
                </w:r>
              </w:p>
              <w:p w14:paraId="1BF02D89" w14:textId="77777777" w:rsidR="00D17062" w:rsidRDefault="00DF4315">
                <w:pPr>
                  <w:tabs>
                    <w:tab w:val="left" w:pos="360"/>
                  </w:tabs>
                  <w:overflowPunct w:val="0"/>
                  <w:jc w:val="both"/>
                  <w:textAlignment w:val="baseline"/>
                  <w:rPr>
                    <w:bCs/>
                    <w:szCs w:val="24"/>
                  </w:rPr>
                </w:pPr>
                <w:r>
                  <w:rPr>
                    <w:bCs/>
                    <w:iCs/>
                    <w:szCs w:val="24"/>
                  </w:rPr>
                  <w:lastRenderedPageBreak/>
                  <w:t>4.2.2. Studijų kryptyje vykdomos absolventų užimtumo ir karjeros stebėsenos įvertinimas (ketinamoms vykdyti studijų programoms netaikoma).</w:t>
                </w:r>
              </w:p>
              <w:p w14:paraId="680F930B" w14:textId="77777777" w:rsidR="00D17062" w:rsidRDefault="00DF4315">
                <w:pPr>
                  <w:tabs>
                    <w:tab w:val="left" w:pos="619"/>
                  </w:tabs>
                  <w:overflowPunct w:val="0"/>
                  <w:jc w:val="both"/>
                  <w:textAlignment w:val="baseline"/>
                  <w:rPr>
                    <w:bCs/>
                    <w:color w:val="000000"/>
                  </w:rPr>
                </w:pPr>
                <w:r>
                  <w:rPr>
                    <w:bCs/>
                    <w:color w:val="000000"/>
                  </w:rPr>
                  <w:t>4.2.3. Akademinio sąžiningumo, tolerancijos ir nediskriminavimo užtikrinimo politikos įgyvendinimo įvertinimas.</w:t>
                </w:r>
              </w:p>
              <w:p w14:paraId="7C1CD716" w14:textId="7AC3CC38" w:rsidR="00D17062" w:rsidRDefault="00DF4315">
                <w:pPr>
                  <w:tabs>
                    <w:tab w:val="left" w:pos="360"/>
                  </w:tabs>
                  <w:overflowPunct w:val="0"/>
                  <w:jc w:val="both"/>
                  <w:textAlignment w:val="baseline"/>
                  <w:rPr>
                    <w:bCs/>
                    <w:color w:val="000000"/>
                  </w:rPr>
                </w:pPr>
                <w:r>
                  <w:rPr>
                    <w:bCs/>
                    <w:color w:val="000000"/>
                  </w:rPr>
                  <w:t>4.2.4. Apeliacijų, skundų dėl studijų proceso teikimo ir nagrinėjimo procedūrų taikymo efektyvumo krypties studijose įvertinimas.</w:t>
                </w:r>
              </w:p>
            </w:tc>
          </w:tr>
          <w:tr w:rsidR="00D17062" w14:paraId="141BA04C" w14:textId="77777777">
            <w:tc>
              <w:tcPr>
                <w:tcW w:w="0" w:type="auto"/>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7F043939" w14:textId="77777777" w:rsidR="00D17062" w:rsidRDefault="00DF4315">
                <w:pPr>
                  <w:overflowPunct w:val="0"/>
                  <w:textAlignment w:val="baseline"/>
                  <w:rPr>
                    <w:rFonts w:ascii="HelveticaLT" w:hAnsi="HelveticaLT"/>
                    <w:bCs/>
                    <w:sz w:val="20"/>
                  </w:rPr>
                </w:pPr>
                <w:r>
                  <w:rPr>
                    <w:bCs/>
                  </w:rPr>
                  <w:lastRenderedPageBreak/>
                  <w:t xml:space="preserve">5. Dėstytojai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Pr>
              <w:p w14:paraId="601448E6" w14:textId="77777777" w:rsidR="00D17062" w:rsidRDefault="00DF4315">
                <w:pPr>
                  <w:overflowPunct w:val="0"/>
                  <w:jc w:val="both"/>
                  <w:textAlignment w:val="baseline"/>
                  <w:rPr>
                    <w:bCs/>
                    <w:szCs w:val="24"/>
                  </w:rPr>
                </w:pPr>
                <w:r>
                  <w:rPr>
                    <w:bCs/>
                    <w:iCs/>
                    <w:szCs w:val="24"/>
                  </w:rPr>
                  <w:t>5.1. Krypties studijų akademinis personalas yra tinkamas, siekiant užtikrinti studijų krypties programų studijų rezultatų pasiekimą.</w:t>
                </w:r>
              </w:p>
              <w:p w14:paraId="053D8FE0" w14:textId="77777777" w:rsidR="00D17062" w:rsidRDefault="00D17062">
                <w:pPr>
                  <w:overflowPunct w:val="0"/>
                  <w:jc w:val="both"/>
                  <w:textAlignment w:val="baseline"/>
                  <w:rPr>
                    <w:bCs/>
                    <w:szCs w:val="24"/>
                  </w:rPr>
                </w:pPr>
              </w:p>
              <w:p w14:paraId="48FBAA8D" w14:textId="77777777" w:rsidR="00D17062" w:rsidRDefault="00D17062">
                <w:pPr>
                  <w:overflowPunct w:val="0"/>
                  <w:jc w:val="both"/>
                  <w:textAlignment w:val="baseline"/>
                  <w:rPr>
                    <w:bCs/>
                    <w:szCs w:val="24"/>
                  </w:rPr>
                </w:pPr>
              </w:p>
              <w:p w14:paraId="25C54291" w14:textId="77777777" w:rsidR="00D17062" w:rsidRDefault="00DF4315">
                <w:pPr>
                  <w:overflowPunct w:val="0"/>
                  <w:jc w:val="both"/>
                  <w:textAlignment w:val="baseline"/>
                  <w:rPr>
                    <w:bCs/>
                  </w:rPr>
                </w:pPr>
                <w:r>
                  <w:rPr>
                    <w:rFonts w:eastAsia="Calibri"/>
                    <w:bCs/>
                    <w:iCs/>
                    <w:color w:val="000000"/>
                    <w:szCs w:val="24"/>
                  </w:rPr>
                  <w:t xml:space="preserve">5.2. Studijų krypties dėstytojams sudaromos sąlygos kompetencijoms tobulinti, jos yra periodiškai vertinamos.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1B978560" w14:textId="30F66E04" w:rsidR="00D17062" w:rsidRDefault="00DF4315">
                <w:pPr>
                  <w:overflowPunct w:val="0"/>
                  <w:jc w:val="both"/>
                  <w:textAlignment w:val="baseline"/>
                  <w:rPr>
                    <w:bCs/>
                  </w:rPr>
                </w:pPr>
                <w:r>
                  <w:rPr>
                    <w:bCs/>
                  </w:rPr>
                  <w:t>5.1.1. Pagal krypties studijų programas (-ą) institucijoje dirbančių dėstytojų skaičiaus, kvalifikacijos ir kompetencijos (mokslinės, didaktinės, profesinės) pakankamumo studijų rezultatams pasiekti įvertinimas.</w:t>
                </w:r>
              </w:p>
              <w:p w14:paraId="5BE7EB70" w14:textId="77777777" w:rsidR="00D17062" w:rsidRDefault="00D17062">
                <w:pPr>
                  <w:overflowPunct w:val="0"/>
                  <w:jc w:val="both"/>
                  <w:textAlignment w:val="baseline"/>
                  <w:rPr>
                    <w:bCs/>
                    <w:sz w:val="18"/>
                  </w:rPr>
                </w:pPr>
              </w:p>
              <w:p w14:paraId="6B402172" w14:textId="77777777" w:rsidR="00D17062" w:rsidRDefault="00DF4315">
                <w:pPr>
                  <w:overflowPunct w:val="0"/>
                  <w:jc w:val="both"/>
                  <w:textAlignment w:val="baseline"/>
                  <w:rPr>
                    <w:bCs/>
                  </w:rPr>
                </w:pPr>
                <w:r>
                  <w:rPr>
                    <w:bCs/>
                  </w:rPr>
                  <w:t>5.2.1. Sąlygų krypties dalykų dėstytojų</w:t>
                </w:r>
                <w:r>
                  <w:rPr>
                    <w:bCs/>
                    <w:caps/>
                  </w:rPr>
                  <w:t xml:space="preserve"> </w:t>
                </w:r>
                <w:r>
                  <w:rPr>
                    <w:bCs/>
                  </w:rPr>
                  <w:t xml:space="preserve">akademiniam judumui užtikrinti įvertinimas (netaikoma vertinant </w:t>
                </w:r>
                <w:r>
                  <w:rPr>
                    <w:bCs/>
                    <w:color w:val="000000"/>
                  </w:rPr>
                  <w:t>egzilio sąlygomis veikiančios</w:t>
                </w:r>
                <w:r>
                  <w:rPr>
                    <w:bCs/>
                  </w:rPr>
                  <w:t xml:space="preserve"> aukštosios mokyklos ir trumposios pakopos studijas bei </w:t>
                </w:r>
                <w:r>
                  <w:rPr>
                    <w:bCs/>
                    <w:color w:val="000000"/>
                  </w:rPr>
                  <w:t>ketinamas vykdyti studijų programas</w:t>
                </w:r>
                <w:r>
                  <w:rPr>
                    <w:bCs/>
                  </w:rPr>
                  <w:t>).</w:t>
                </w:r>
              </w:p>
              <w:p w14:paraId="164FF2A0" w14:textId="77777777" w:rsidR="00D17062" w:rsidRDefault="00DF4315">
                <w:pPr>
                  <w:overflowPunct w:val="0"/>
                  <w:jc w:val="both"/>
                  <w:textAlignment w:val="baseline"/>
                  <w:rPr>
                    <w:rFonts w:ascii="HelveticaLT" w:hAnsi="HelveticaLT"/>
                    <w:bCs/>
                    <w:sz w:val="20"/>
                  </w:rPr>
                </w:pPr>
                <w:r>
                  <w:rPr>
                    <w:bCs/>
                  </w:rPr>
                  <w:t>5.2.2. Sąlygų dėstytojų kompetencijoms tobulinti įvertinimas.</w:t>
                </w:r>
              </w:p>
            </w:tc>
          </w:tr>
          <w:tr w:rsidR="00D17062" w14:paraId="4F278026" w14:textId="77777777">
            <w:tc>
              <w:tcPr>
                <w:tcW w:w="0" w:type="auto"/>
                <w:tcBorders>
                  <w:top w:val="single" w:sz="4" w:space="0" w:color="000000"/>
                  <w:left w:val="single" w:sz="4" w:space="0" w:color="000000"/>
                  <w:bottom w:val="single" w:sz="4" w:space="0" w:color="auto"/>
                  <w:right w:val="single" w:sz="4" w:space="0" w:color="000000"/>
                </w:tcBorders>
                <w:shd w:val="clear" w:color="auto" w:fill="FFFFFF"/>
                <w:tcMar>
                  <w:left w:w="108" w:type="dxa"/>
                  <w:right w:w="108" w:type="dxa"/>
                </w:tcMar>
              </w:tcPr>
              <w:p w14:paraId="02E1319F" w14:textId="77777777" w:rsidR="00D17062" w:rsidRDefault="00DF4315">
                <w:pPr>
                  <w:overflowPunct w:val="0"/>
                  <w:textAlignment w:val="baseline"/>
                  <w:rPr>
                    <w:rFonts w:ascii="HelveticaLT" w:hAnsi="HelveticaLT"/>
                    <w:bCs/>
                    <w:sz w:val="20"/>
                  </w:rPr>
                </w:pPr>
                <w:r>
                  <w:rPr>
                    <w:bCs/>
                  </w:rPr>
                  <w:t xml:space="preserve">6. Studijų materialieji ištekliai </w:t>
                </w:r>
              </w:p>
            </w:tc>
            <w:tc>
              <w:tcPr>
                <w:tcW w:w="0" w:type="auto"/>
                <w:tcBorders>
                  <w:top w:val="single" w:sz="4" w:space="0" w:color="000000"/>
                  <w:left w:val="single" w:sz="4" w:space="0" w:color="000000"/>
                  <w:bottom w:val="single" w:sz="4" w:space="0" w:color="auto"/>
                  <w:right w:val="single" w:sz="4" w:space="0" w:color="000000"/>
                </w:tcBorders>
                <w:shd w:val="clear" w:color="auto" w:fill="FFFFFF"/>
              </w:tcPr>
              <w:p w14:paraId="1439421C" w14:textId="77777777" w:rsidR="00D17062" w:rsidRDefault="00DF4315">
                <w:pPr>
                  <w:overflowPunct w:val="0"/>
                  <w:jc w:val="both"/>
                  <w:textAlignment w:val="baseline"/>
                  <w:rPr>
                    <w:bCs/>
                  </w:rPr>
                </w:pPr>
                <w:r>
                  <w:rPr>
                    <w:bCs/>
                  </w:rPr>
                  <w:t>6.1. Krypties studijų fiziniai, informaciniai ir finansiniai ištekliai yra pakankami ir leidžia pasiekti numatomus studijų rezultatus.</w:t>
                </w:r>
              </w:p>
              <w:p w14:paraId="73A9D921" w14:textId="77777777" w:rsidR="00D17062" w:rsidRDefault="00D17062">
                <w:pPr>
                  <w:overflowPunct w:val="0"/>
                  <w:jc w:val="both"/>
                  <w:textAlignment w:val="baseline"/>
                  <w:rPr>
                    <w:bCs/>
                  </w:rPr>
                </w:pPr>
              </w:p>
            </w:tc>
            <w:tc>
              <w:tcPr>
                <w:tcW w:w="0" w:type="auto"/>
                <w:tcBorders>
                  <w:top w:val="single" w:sz="4" w:space="0" w:color="000000"/>
                  <w:left w:val="single" w:sz="4" w:space="0" w:color="000000"/>
                  <w:bottom w:val="single" w:sz="4" w:space="0" w:color="auto"/>
                  <w:right w:val="single" w:sz="4" w:space="0" w:color="000000"/>
                </w:tcBorders>
                <w:shd w:val="clear" w:color="auto" w:fill="FFFFFF"/>
                <w:tcMar>
                  <w:left w:w="108" w:type="dxa"/>
                  <w:right w:w="108" w:type="dxa"/>
                </w:tcMar>
              </w:tcPr>
              <w:p w14:paraId="55FBB73B" w14:textId="77777777" w:rsidR="00D17062" w:rsidRDefault="00DF4315">
                <w:pPr>
                  <w:overflowPunct w:val="0"/>
                  <w:jc w:val="both"/>
                  <w:textAlignment w:val="baseline"/>
                  <w:rPr>
                    <w:bCs/>
                    <w:szCs w:val="24"/>
                  </w:rPr>
                </w:pPr>
                <w:r>
                  <w:rPr>
                    <w:bCs/>
                    <w:szCs w:val="24"/>
                  </w:rPr>
                  <w:t xml:space="preserve">6.1.1. Krypties studijų fizinių, informacinių ir finansinių išteklių, leidžiančių užtikrinti efektyvų mokymosi procesą, tinkamumo ir pakankamumo įvertinimas. </w:t>
                </w:r>
              </w:p>
              <w:p w14:paraId="0C91C461" w14:textId="4E8C9979" w:rsidR="00D17062" w:rsidRDefault="00DF4315">
                <w:pPr>
                  <w:overflowPunct w:val="0"/>
                  <w:jc w:val="both"/>
                  <w:textAlignment w:val="baseline"/>
                  <w:rPr>
                    <w:rFonts w:eastAsia="Calibri"/>
                    <w:bCs/>
                    <w:szCs w:val="24"/>
                  </w:rPr>
                </w:pPr>
                <w:r>
                  <w:rPr>
                    <w:bCs/>
                    <w:szCs w:val="24"/>
                  </w:rPr>
                  <w:t xml:space="preserve">6.1.2. </w:t>
                </w:r>
                <w:r>
                  <w:rPr>
                    <w:rFonts w:eastAsia="Calibri"/>
                    <w:bCs/>
                    <w:szCs w:val="24"/>
                  </w:rPr>
                  <w:t>Krypties studijoms vykdyti reikalingų išteklių planavimo ir atnaujinimo įvertinimas.</w:t>
                </w:r>
              </w:p>
            </w:tc>
          </w:tr>
          <w:tr w:rsidR="00D17062" w14:paraId="64DCE7DB" w14:textId="77777777">
            <w:tc>
              <w:tcPr>
                <w:tcW w:w="0" w:type="auto"/>
                <w:tcBorders>
                  <w:top w:val="single" w:sz="4" w:space="0" w:color="auto"/>
                  <w:left w:val="single" w:sz="4" w:space="0" w:color="auto"/>
                  <w:bottom w:val="single" w:sz="4" w:space="0" w:color="auto"/>
                  <w:right w:val="single" w:sz="4" w:space="0" w:color="auto"/>
                </w:tcBorders>
                <w:shd w:val="clear" w:color="auto" w:fill="FFFFFF"/>
                <w:tcMar>
                  <w:left w:w="108" w:type="dxa"/>
                  <w:right w:w="108" w:type="dxa"/>
                </w:tcMar>
              </w:tcPr>
              <w:p w14:paraId="396C1383" w14:textId="77777777" w:rsidR="00D17062" w:rsidRDefault="00DF4315">
                <w:pPr>
                  <w:overflowPunct w:val="0"/>
                  <w:textAlignment w:val="baseline"/>
                  <w:rPr>
                    <w:rFonts w:ascii="HelveticaLT" w:hAnsi="HelveticaLT"/>
                    <w:bCs/>
                    <w:strike/>
                    <w:sz w:val="20"/>
                  </w:rPr>
                </w:pPr>
                <w:r>
                  <w:rPr>
                    <w:bCs/>
                  </w:rPr>
                  <w:t xml:space="preserve">7. Studijų kokybės valdymas ir viešinimas </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02355D0A" w14:textId="6229E856" w:rsidR="00D17062" w:rsidRDefault="00DF4315">
                <w:pPr>
                  <w:overflowPunct w:val="0"/>
                  <w:jc w:val="both"/>
                  <w:textAlignment w:val="baseline"/>
                  <w:rPr>
                    <w:bCs/>
                  </w:rPr>
                </w:pPr>
                <w:r>
                  <w:rPr>
                    <w:bCs/>
                  </w:rPr>
                  <w:t>7.1. Krypties studijų tobulinimas, paremtas vidine kokybės užtikrinimo sistema, įtraukiančia visas suinteresuotas šalis, bei nuolatine stebėsena ir viešinimu.</w:t>
                </w:r>
              </w:p>
              <w:p w14:paraId="543EF0F1" w14:textId="77777777" w:rsidR="00D17062" w:rsidRDefault="00D17062">
                <w:pPr>
                  <w:overflowPunct w:val="0"/>
                  <w:jc w:val="both"/>
                  <w:textAlignment w:val="baseline"/>
                  <w:rPr>
                    <w:bCs/>
                  </w:rPr>
                </w:pPr>
              </w:p>
            </w:tc>
            <w:tc>
              <w:tcPr>
                <w:tcW w:w="0" w:type="auto"/>
                <w:tcBorders>
                  <w:top w:val="single" w:sz="4" w:space="0" w:color="auto"/>
                  <w:left w:val="single" w:sz="4" w:space="0" w:color="auto"/>
                  <w:bottom w:val="single" w:sz="4" w:space="0" w:color="auto"/>
                  <w:right w:val="single" w:sz="4" w:space="0" w:color="auto"/>
                </w:tcBorders>
                <w:shd w:val="clear" w:color="auto" w:fill="FFFFFF"/>
                <w:tcMar>
                  <w:left w:w="108" w:type="dxa"/>
                  <w:right w:w="108" w:type="dxa"/>
                </w:tcMar>
              </w:tcPr>
              <w:p w14:paraId="0DAE431E" w14:textId="77777777" w:rsidR="00D17062" w:rsidRDefault="00DF4315">
                <w:pPr>
                  <w:overflowPunct w:val="0"/>
                  <w:jc w:val="both"/>
                  <w:textAlignment w:val="baseline"/>
                  <w:rPr>
                    <w:bCs/>
                  </w:rPr>
                </w:pPr>
                <w:r>
                  <w:rPr>
                    <w:bCs/>
                  </w:rPr>
                  <w:lastRenderedPageBreak/>
                  <w:t>7.1.1. Studijų vidinio kokybės užtikrinimo sistemos veiksmingumo įvertinimas.</w:t>
                </w:r>
              </w:p>
              <w:p w14:paraId="7151A026" w14:textId="77777777" w:rsidR="00D17062" w:rsidRDefault="00DF4315">
                <w:pPr>
                  <w:overflowPunct w:val="0"/>
                  <w:jc w:val="both"/>
                  <w:textAlignment w:val="baseline"/>
                  <w:rPr>
                    <w:bCs/>
                  </w:rPr>
                </w:pPr>
                <w:r>
                  <w:rPr>
                    <w:bCs/>
                  </w:rPr>
                  <w:t>7.1.2. Socialinių dalininkų (studentų ir kitų suinteresuotų šalių) įtraukimo į vidinį kokybės užtikrinimą veiksmingumo įvertinimas.</w:t>
                </w:r>
              </w:p>
              <w:p w14:paraId="6379D23B" w14:textId="77777777" w:rsidR="00D17062" w:rsidRDefault="00DF4315">
                <w:pPr>
                  <w:tabs>
                    <w:tab w:val="left" w:pos="619"/>
                  </w:tabs>
                  <w:overflowPunct w:val="0"/>
                  <w:jc w:val="both"/>
                  <w:textAlignment w:val="baseline"/>
                  <w:rPr>
                    <w:bCs/>
                    <w:szCs w:val="24"/>
                  </w:rPr>
                </w:pPr>
                <w:r>
                  <w:rPr>
                    <w:bCs/>
                    <w:szCs w:val="24"/>
                  </w:rPr>
                  <w:t>7.1.3. Informacijos apie studijas, jų vertinimo ir tobulinimo procesus ir rezultatus rinkimo, panaudojimo ir viešinimo įvertinimas (ketinamoms vykdyti studijų programoms netaikoma).</w:t>
                </w:r>
              </w:p>
              <w:p w14:paraId="53830829" w14:textId="131820FB" w:rsidR="00D17062" w:rsidRDefault="00DF4315">
                <w:pPr>
                  <w:overflowPunct w:val="0"/>
                  <w:jc w:val="both"/>
                  <w:textAlignment w:val="baseline"/>
                  <w:rPr>
                    <w:bCs/>
                  </w:rPr>
                </w:pPr>
                <w:r>
                  <w:rPr>
                    <w:bCs/>
                  </w:rPr>
                  <w:lastRenderedPageBreak/>
                  <w:t xml:space="preserve">7.1.4. Krypties studentų nuomonės (surinktos Centro arba aukštosios mokyklos pasirinktais būdais ir priemonėmis) apie studijų kokybę aukštojoje mokykloje įvertinimas </w:t>
                </w:r>
                <w:r>
                  <w:rPr>
                    <w:bCs/>
                    <w:color w:val="000000"/>
                  </w:rPr>
                  <w:t>(ketinamų vykdyti studijų programų atveju netaikoma)</w:t>
                </w:r>
                <w:r>
                  <w:rPr>
                    <w:bCs/>
                  </w:rPr>
                  <w:t>.</w:t>
                </w:r>
              </w:p>
            </w:tc>
          </w:tr>
          <w:tr w:rsidR="00D17062" w14:paraId="1247422D"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11"/>
            </w:trPr>
            <w:tc>
              <w:tcPr>
                <w:tcW w:w="14029" w:type="dxa"/>
                <w:gridSpan w:val="3"/>
                <w:tcBorders>
                  <w:top w:val="single" w:sz="4" w:space="0" w:color="auto"/>
                  <w:left w:val="single" w:sz="4" w:space="0" w:color="auto"/>
                  <w:bottom w:val="single" w:sz="4" w:space="0" w:color="auto"/>
                  <w:right w:val="single" w:sz="4" w:space="0" w:color="auto"/>
                </w:tcBorders>
              </w:tcPr>
              <w:p w14:paraId="6E8C2A7F" w14:textId="08B821BA" w:rsidR="00D17062" w:rsidRDefault="00DF4315">
                <w:pPr>
                  <w:jc w:val="center"/>
                  <w:rPr>
                    <w:b/>
                    <w:bCs/>
                    <w:szCs w:val="24"/>
                    <w:lang w:eastAsia="lt-LT"/>
                  </w:rPr>
                </w:pPr>
                <w:r>
                  <w:rPr>
                    <w:b/>
                    <w:bCs/>
                    <w:szCs w:val="24"/>
                    <w:lang w:eastAsia="lt-LT"/>
                  </w:rPr>
                  <w:lastRenderedPageBreak/>
                  <w:t>STUDIJŲ KRYPTIES STUDIJŲ VERTINAMOSIOS SRITYS IR RODIKLIAI, TAIKOMI KRYPTIES STUDIJŲ IŠORINIAM VERTINIMUI PAGAL EUROPOS JUNGTINIŲ STUDIJŲ PROGRAMŲ KOKYBĖS UŽTIKRINIMO MODELĮ</w:t>
                </w:r>
              </w:p>
            </w:tc>
          </w:tr>
          <w:tr w:rsidR="00D17062" w14:paraId="76C964E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11"/>
            </w:trPr>
            <w:tc>
              <w:tcPr>
                <w:tcW w:w="5025" w:type="dxa"/>
                <w:gridSpan w:val="2"/>
                <w:tcBorders>
                  <w:top w:val="single" w:sz="4" w:space="0" w:color="auto"/>
                  <w:left w:val="single" w:sz="4" w:space="0" w:color="auto"/>
                  <w:bottom w:val="single" w:sz="4" w:space="0" w:color="auto"/>
                  <w:right w:val="single" w:sz="4" w:space="0" w:color="auto"/>
                </w:tcBorders>
              </w:tcPr>
              <w:p w14:paraId="4E34A085" w14:textId="30B7E80F" w:rsidR="00D17062" w:rsidRDefault="00DF4315">
                <w:pPr>
                  <w:jc w:val="center"/>
                  <w:rPr>
                    <w:b/>
                    <w:bCs/>
                    <w:szCs w:val="24"/>
                    <w:lang w:eastAsia="lt-LT"/>
                  </w:rPr>
                </w:pPr>
                <w:r>
                  <w:rPr>
                    <w:b/>
                    <w:bCs/>
                    <w:szCs w:val="24"/>
                    <w:lang w:eastAsia="lt-LT"/>
                  </w:rPr>
                  <w:t>Vertinamoji sritis</w:t>
                </w:r>
              </w:p>
            </w:tc>
            <w:tc>
              <w:tcPr>
                <w:tcW w:w="9004" w:type="dxa"/>
                <w:tcBorders>
                  <w:top w:val="single" w:sz="4" w:space="0" w:color="auto"/>
                  <w:left w:val="single" w:sz="4" w:space="0" w:color="auto"/>
                  <w:bottom w:val="single" w:sz="4" w:space="0" w:color="auto"/>
                  <w:right w:val="single" w:sz="4" w:space="0" w:color="auto"/>
                </w:tcBorders>
              </w:tcPr>
              <w:p w14:paraId="53FEF352" w14:textId="1A4E506F" w:rsidR="00D17062" w:rsidRDefault="00DF4315">
                <w:pPr>
                  <w:jc w:val="center"/>
                  <w:rPr>
                    <w:b/>
                    <w:bCs/>
                    <w:szCs w:val="24"/>
                    <w:lang w:eastAsia="lt-LT"/>
                  </w:rPr>
                </w:pPr>
                <w:r>
                  <w:rPr>
                    <w:b/>
                    <w:bCs/>
                    <w:szCs w:val="24"/>
                    <w:lang w:eastAsia="lt-LT"/>
                  </w:rPr>
                  <w:t>Rodikliai</w:t>
                </w:r>
              </w:p>
            </w:tc>
          </w:tr>
          <w:tr w:rsidR="00D17062" w14:paraId="6B4CBD92"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364" w:type="dxa"/>
                <w:vMerge w:val="restart"/>
                <w:tcBorders>
                  <w:top w:val="single" w:sz="4" w:space="0" w:color="auto"/>
                </w:tcBorders>
              </w:tcPr>
              <w:p w14:paraId="52C276E9" w14:textId="77777777" w:rsidR="00D17062" w:rsidRDefault="00DF4315">
                <w:pPr>
                  <w:jc w:val="both"/>
                  <w:rPr>
                    <w:i/>
                    <w:iCs/>
                    <w:szCs w:val="24"/>
                    <w:lang w:eastAsia="lt-LT"/>
                  </w:rPr>
                </w:pPr>
                <w:r>
                  <w:rPr>
                    <w:szCs w:val="24"/>
                    <w:lang w:eastAsia="lt-LT"/>
                  </w:rPr>
                  <w:t>1. Tinkamumas</w:t>
                </w:r>
              </w:p>
            </w:tc>
            <w:tc>
              <w:tcPr>
                <w:tcW w:w="2661" w:type="dxa"/>
                <w:tcBorders>
                  <w:top w:val="single" w:sz="4" w:space="0" w:color="auto"/>
                </w:tcBorders>
              </w:tcPr>
              <w:p w14:paraId="0958BC30" w14:textId="77777777" w:rsidR="00D17062" w:rsidRDefault="00DF4315">
                <w:pPr>
                  <w:jc w:val="both"/>
                  <w:rPr>
                    <w:szCs w:val="24"/>
                    <w:lang w:eastAsia="lt-LT"/>
                  </w:rPr>
                </w:pPr>
                <w:r>
                  <w:rPr>
                    <w:szCs w:val="24"/>
                    <w:lang w:eastAsia="lt-LT"/>
                  </w:rPr>
                  <w:t>1.1. Statusas</w:t>
                </w:r>
              </w:p>
            </w:tc>
            <w:tc>
              <w:tcPr>
                <w:tcW w:w="9004" w:type="dxa"/>
                <w:tcBorders>
                  <w:top w:val="single" w:sz="4" w:space="0" w:color="auto"/>
                </w:tcBorders>
              </w:tcPr>
              <w:p w14:paraId="033D8CBC" w14:textId="482A15A7" w:rsidR="00D17062" w:rsidRDefault="00DF4315">
                <w:pPr>
                  <w:jc w:val="both"/>
                  <w:rPr>
                    <w:szCs w:val="24"/>
                    <w:lang w:eastAsia="lt-LT"/>
                  </w:rPr>
                </w:pPr>
                <w:r>
                  <w:rPr>
                    <w:szCs w:val="24"/>
                    <w:lang w:eastAsia="lt-LT"/>
                  </w:rPr>
                  <w:t>1.1.1. Jungtinę studijų programą siūlančios institucijos turi būti kompetentingų savo šalies institucijų pripažintomis aukštosiomis mokyklomis. Joms taikomas nacionalinis reglamentavimas turi leisti dalyvauti siūlant jungtinę studijų programą ir, jei numatyta, teikti jungtinį laipsnį. Laipsnį (-ius) teikiančios institucijos turi užtikrinti, kad jis priklauso šalių, kuriose jos veikia, aukštojo mokslo sistemoms.</w:t>
                </w:r>
              </w:p>
            </w:tc>
          </w:tr>
          <w:tr w:rsidR="00D17062" w14:paraId="5B81B02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364" w:type="dxa"/>
                <w:vMerge/>
              </w:tcPr>
              <w:p w14:paraId="7A11697F" w14:textId="77777777" w:rsidR="00D17062" w:rsidRDefault="00D17062">
                <w:pPr>
                  <w:jc w:val="both"/>
                  <w:rPr>
                    <w:szCs w:val="24"/>
                    <w:lang w:eastAsia="lt-LT"/>
                  </w:rPr>
                </w:pPr>
              </w:p>
            </w:tc>
            <w:tc>
              <w:tcPr>
                <w:tcW w:w="2661" w:type="dxa"/>
              </w:tcPr>
              <w:p w14:paraId="402E7394" w14:textId="728C5D52" w:rsidR="00D17062" w:rsidRDefault="00DF4315">
                <w:pPr>
                  <w:jc w:val="both"/>
                  <w:rPr>
                    <w:szCs w:val="24"/>
                    <w:lang w:eastAsia="lt-LT"/>
                  </w:rPr>
                </w:pPr>
                <w:r>
                  <w:rPr>
                    <w:szCs w:val="24"/>
                    <w:lang w:eastAsia="lt-LT"/>
                  </w:rPr>
                  <w:t>1.2. Bendras programos kūrimas ir vykdymas</w:t>
                </w:r>
              </w:p>
            </w:tc>
            <w:tc>
              <w:tcPr>
                <w:tcW w:w="9004" w:type="dxa"/>
              </w:tcPr>
              <w:p w14:paraId="238C6169" w14:textId="285F734D" w:rsidR="00D17062" w:rsidRDefault="00DF4315">
                <w:pPr>
                  <w:jc w:val="both"/>
                  <w:rPr>
                    <w:szCs w:val="24"/>
                    <w:lang w:eastAsia="lt-LT"/>
                  </w:rPr>
                </w:pPr>
                <w:r>
                  <w:rPr>
                    <w:szCs w:val="24"/>
                    <w:lang w:eastAsia="lt-LT"/>
                  </w:rPr>
                  <w:t>1.2.1. Jungtinė studijų programa turi būti siūloma bendrai, į programos kūrimą ir vykdymą įtraukiant visas bendradarbiaujančias institucijas.</w:t>
                </w:r>
              </w:p>
            </w:tc>
          </w:tr>
          <w:tr w:rsidR="00D17062" w14:paraId="43CCA61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364" w:type="dxa"/>
                <w:vMerge/>
              </w:tcPr>
              <w:p w14:paraId="194F3B5C" w14:textId="77777777" w:rsidR="00D17062" w:rsidRDefault="00D17062">
                <w:pPr>
                  <w:jc w:val="both"/>
                  <w:rPr>
                    <w:szCs w:val="24"/>
                    <w:lang w:eastAsia="lt-LT"/>
                  </w:rPr>
                </w:pPr>
              </w:p>
            </w:tc>
            <w:tc>
              <w:tcPr>
                <w:tcW w:w="2661" w:type="dxa"/>
              </w:tcPr>
              <w:p w14:paraId="0FA4E994" w14:textId="77777777" w:rsidR="00D17062" w:rsidRDefault="00DF4315">
                <w:pPr>
                  <w:jc w:val="both"/>
                  <w:rPr>
                    <w:szCs w:val="24"/>
                    <w:lang w:eastAsia="lt-LT"/>
                  </w:rPr>
                </w:pPr>
                <w:r>
                  <w:rPr>
                    <w:szCs w:val="24"/>
                    <w:lang w:eastAsia="lt-LT"/>
                  </w:rPr>
                  <w:t>1.3. Bendradarbiavimo sutartis</w:t>
                </w:r>
              </w:p>
            </w:tc>
            <w:tc>
              <w:tcPr>
                <w:tcW w:w="9004" w:type="dxa"/>
              </w:tcPr>
              <w:p w14:paraId="3960709A" w14:textId="0CAF4BA5" w:rsidR="00D17062" w:rsidRDefault="00DF4315">
                <w:pPr>
                  <w:jc w:val="both"/>
                  <w:rPr>
                    <w:szCs w:val="24"/>
                    <w:lang w:eastAsia="lt-LT"/>
                  </w:rPr>
                </w:pPr>
                <w:r>
                  <w:rPr>
                    <w:szCs w:val="24"/>
                    <w:lang w:eastAsia="lt-LT"/>
                  </w:rPr>
                  <w:t>1.3.1. Jungtinės studijų programos vykdymo sąlygos ir nuostatos turi būti aprašytos bendradarbiavimo sutartyje. Sutartyje turi būti aptarta jungtine studijų programa teikiamo laipsnio (-ių) pavadinimas (jei toks suteikiamas), partnerių bendradarbiavimas ir atsakomybė valdyme ir finansuose (apimant finansavimą, išlaidų ir pelno pasidalinimą ir pan.), studentų priėmimo ir atrankos procedūros; studentų ir dėstytojų mobilumas, egzaminavimo tvarkos, studentų pasiekimų vertinimo metodai, kreditų įskaitymas ir laipsnių teikimo procedūros.</w:t>
                </w:r>
              </w:p>
            </w:tc>
          </w:tr>
          <w:tr w:rsidR="00D17062" w14:paraId="119EA6DB"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364" w:type="dxa"/>
                <w:vMerge w:val="restart"/>
              </w:tcPr>
              <w:p w14:paraId="1D0D0B57" w14:textId="77777777" w:rsidR="00D17062" w:rsidRDefault="00DF4315">
                <w:pPr>
                  <w:jc w:val="both"/>
                  <w:rPr>
                    <w:szCs w:val="24"/>
                    <w:lang w:eastAsia="lt-LT"/>
                  </w:rPr>
                </w:pPr>
                <w:r>
                  <w:rPr>
                    <w:szCs w:val="24"/>
                    <w:lang w:eastAsia="lt-LT"/>
                  </w:rPr>
                  <w:t>2. Studijų rezultatai</w:t>
                </w:r>
              </w:p>
            </w:tc>
            <w:tc>
              <w:tcPr>
                <w:tcW w:w="2661" w:type="dxa"/>
              </w:tcPr>
              <w:p w14:paraId="1878BE8E" w14:textId="35DCC69C" w:rsidR="00D17062" w:rsidRDefault="00DF4315">
                <w:pPr>
                  <w:tabs>
                    <w:tab w:val="left" w:pos="315"/>
                    <w:tab w:val="left" w:pos="457"/>
                  </w:tabs>
                  <w:rPr>
                    <w:szCs w:val="24"/>
                    <w:lang w:eastAsia="lt-LT"/>
                  </w:rPr>
                </w:pPr>
                <w:r>
                  <w:rPr>
                    <w:szCs w:val="24"/>
                    <w:lang w:eastAsia="lt-LT"/>
                  </w:rPr>
                  <w:t>2.1. Kvalifikacijos lygis</w:t>
                </w:r>
              </w:p>
            </w:tc>
            <w:tc>
              <w:tcPr>
                <w:tcW w:w="9004" w:type="dxa"/>
              </w:tcPr>
              <w:p w14:paraId="233A60C2" w14:textId="52A96FD5" w:rsidR="00D17062" w:rsidRDefault="00DF4315">
                <w:pPr>
                  <w:jc w:val="both"/>
                  <w:rPr>
                    <w:szCs w:val="24"/>
                    <w:lang w:eastAsia="lt-LT"/>
                  </w:rPr>
                </w:pPr>
                <w:r>
                  <w:rPr>
                    <w:szCs w:val="24"/>
                    <w:lang w:eastAsia="lt-LT"/>
                  </w:rPr>
                  <w:t>2.1.1. Numatyti studijų rezultatai turi derėti su atitinkamu Europos aukštojo mokslo erdvės kvalifikacijų sandaros (toliau – EAME KS) lygiu ir su atitinkama nacionaline kvalifikacijų sandara (-omis).</w:t>
                </w:r>
              </w:p>
            </w:tc>
          </w:tr>
          <w:tr w:rsidR="00D17062" w14:paraId="37E75ECC"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364" w:type="dxa"/>
                <w:vMerge/>
              </w:tcPr>
              <w:p w14:paraId="0E73D1C4" w14:textId="77777777" w:rsidR="00D17062" w:rsidRDefault="00D17062">
                <w:pPr>
                  <w:jc w:val="both"/>
                  <w:rPr>
                    <w:szCs w:val="24"/>
                    <w:lang w:eastAsia="lt-LT"/>
                  </w:rPr>
                </w:pPr>
              </w:p>
            </w:tc>
            <w:tc>
              <w:tcPr>
                <w:tcW w:w="2661" w:type="dxa"/>
              </w:tcPr>
              <w:p w14:paraId="0C42F425" w14:textId="77777777" w:rsidR="00D17062" w:rsidRDefault="00DF4315">
                <w:pPr>
                  <w:jc w:val="both"/>
                  <w:rPr>
                    <w:szCs w:val="24"/>
                    <w:lang w:eastAsia="lt-LT"/>
                  </w:rPr>
                </w:pPr>
                <w:r>
                  <w:rPr>
                    <w:szCs w:val="24"/>
                    <w:lang w:eastAsia="lt-LT"/>
                  </w:rPr>
                  <w:t>2.2. Studijų kryptis</w:t>
                </w:r>
              </w:p>
              <w:p w14:paraId="7F9CDBCC" w14:textId="77777777" w:rsidR="00D17062" w:rsidRDefault="00D17062">
                <w:pPr>
                  <w:jc w:val="both"/>
                  <w:rPr>
                    <w:i/>
                    <w:iCs/>
                    <w:szCs w:val="24"/>
                    <w:lang w:eastAsia="lt-LT"/>
                  </w:rPr>
                </w:pPr>
              </w:p>
            </w:tc>
            <w:tc>
              <w:tcPr>
                <w:tcW w:w="9004" w:type="dxa"/>
              </w:tcPr>
              <w:p w14:paraId="53BDEAD9" w14:textId="12197512" w:rsidR="00D17062" w:rsidRDefault="00DF4315">
                <w:pPr>
                  <w:jc w:val="both"/>
                  <w:rPr>
                    <w:szCs w:val="24"/>
                    <w:lang w:eastAsia="lt-LT"/>
                  </w:rPr>
                </w:pPr>
                <w:r>
                  <w:rPr>
                    <w:szCs w:val="24"/>
                    <w:lang w:eastAsia="lt-LT"/>
                  </w:rPr>
                  <w:t>2.2.1. Numatyti studijų rezultatai turi apimti atitinkamos studijų krypties(-čių) žinias, gebėjimus ir kompetencijas.</w:t>
                </w:r>
              </w:p>
            </w:tc>
          </w:tr>
          <w:tr w:rsidR="00D17062" w14:paraId="587A3B9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364" w:type="dxa"/>
                <w:vMerge/>
              </w:tcPr>
              <w:p w14:paraId="422C9B64" w14:textId="77777777" w:rsidR="00D17062" w:rsidRDefault="00D17062">
                <w:pPr>
                  <w:jc w:val="both"/>
                  <w:rPr>
                    <w:szCs w:val="24"/>
                    <w:lang w:eastAsia="lt-LT"/>
                  </w:rPr>
                </w:pPr>
              </w:p>
            </w:tc>
            <w:tc>
              <w:tcPr>
                <w:tcW w:w="2661" w:type="dxa"/>
              </w:tcPr>
              <w:p w14:paraId="445218A7" w14:textId="77777777" w:rsidR="00D17062" w:rsidRDefault="00DF4315">
                <w:pPr>
                  <w:jc w:val="both"/>
                  <w:rPr>
                    <w:szCs w:val="24"/>
                    <w:lang w:eastAsia="lt-LT"/>
                  </w:rPr>
                </w:pPr>
                <w:r>
                  <w:rPr>
                    <w:szCs w:val="24"/>
                    <w:lang w:eastAsia="lt-LT"/>
                  </w:rPr>
                  <w:t>2.3. Studijų rezultatų pasiekimas</w:t>
                </w:r>
              </w:p>
            </w:tc>
            <w:tc>
              <w:tcPr>
                <w:tcW w:w="9004" w:type="dxa"/>
              </w:tcPr>
              <w:p w14:paraId="1C88A9E5" w14:textId="77777777" w:rsidR="00D17062" w:rsidRDefault="00DF4315">
                <w:pPr>
                  <w:jc w:val="both"/>
                  <w:rPr>
                    <w:szCs w:val="24"/>
                    <w:lang w:eastAsia="lt-LT"/>
                  </w:rPr>
                </w:pPr>
                <w:r>
                  <w:rPr>
                    <w:szCs w:val="24"/>
                    <w:lang w:eastAsia="lt-LT"/>
                  </w:rPr>
                  <w:t>2.3.1. Studijų programa įgalina numatytų studijų rezultatų pasiekimą.</w:t>
                </w:r>
              </w:p>
              <w:p w14:paraId="41EA66E5" w14:textId="77777777" w:rsidR="00D17062" w:rsidRDefault="00D17062">
                <w:pPr>
                  <w:jc w:val="both"/>
                  <w:rPr>
                    <w:szCs w:val="24"/>
                    <w:lang w:eastAsia="lt-LT"/>
                  </w:rPr>
                </w:pPr>
              </w:p>
            </w:tc>
          </w:tr>
          <w:tr w:rsidR="00D17062" w14:paraId="7169843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364" w:type="dxa"/>
                <w:vMerge/>
              </w:tcPr>
              <w:p w14:paraId="644C752E" w14:textId="77777777" w:rsidR="00D17062" w:rsidRDefault="00D17062">
                <w:pPr>
                  <w:jc w:val="both"/>
                  <w:rPr>
                    <w:szCs w:val="24"/>
                    <w:lang w:eastAsia="lt-LT"/>
                  </w:rPr>
                </w:pPr>
              </w:p>
            </w:tc>
            <w:tc>
              <w:tcPr>
                <w:tcW w:w="2661" w:type="dxa"/>
              </w:tcPr>
              <w:p w14:paraId="64384C70" w14:textId="77777777" w:rsidR="00D17062" w:rsidRDefault="00DF4315">
                <w:pPr>
                  <w:jc w:val="both"/>
                  <w:rPr>
                    <w:szCs w:val="24"/>
                    <w:lang w:eastAsia="lt-LT"/>
                  </w:rPr>
                </w:pPr>
                <w:r>
                  <w:rPr>
                    <w:szCs w:val="24"/>
                    <w:lang w:eastAsia="lt-LT"/>
                  </w:rPr>
                  <w:t>2.4. Reglamentuojamos profesijos</w:t>
                </w:r>
              </w:p>
            </w:tc>
            <w:tc>
              <w:tcPr>
                <w:tcW w:w="9004" w:type="dxa"/>
              </w:tcPr>
              <w:p w14:paraId="4F6BB0C6" w14:textId="501FF2D8" w:rsidR="00D17062" w:rsidRDefault="00DF4315">
                <w:pPr>
                  <w:jc w:val="both"/>
                  <w:rPr>
                    <w:szCs w:val="24"/>
                    <w:lang w:eastAsia="lt-LT"/>
                  </w:rPr>
                </w:pPr>
                <w:r>
                  <w:rPr>
                    <w:szCs w:val="24"/>
                    <w:lang w:eastAsia="lt-LT"/>
                  </w:rPr>
                  <w:t>2.4.1. Kai taikoma jungtinėse studijų programose, kurioms tai aktualu, turi būti atsižvelgiama į minimalius profesinėms kvalifikacijoms pripažinti nustatytus rengimo reikalavimus, nurodytus ES Direktyvoje 2013/55/UE, bei į kitus aktualius su minėta Direktyva siejamus bendrus reikalavimus.</w:t>
                </w:r>
              </w:p>
            </w:tc>
          </w:tr>
          <w:tr w:rsidR="00D17062" w14:paraId="660BD36B"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364" w:type="dxa"/>
                <w:vMerge w:val="restart"/>
              </w:tcPr>
              <w:p w14:paraId="78029F46" w14:textId="77777777" w:rsidR="00D17062" w:rsidRDefault="00DF4315">
                <w:pPr>
                  <w:jc w:val="both"/>
                  <w:rPr>
                    <w:szCs w:val="24"/>
                    <w:lang w:eastAsia="lt-LT"/>
                  </w:rPr>
                </w:pPr>
                <w:r>
                  <w:rPr>
                    <w:szCs w:val="24"/>
                    <w:lang w:eastAsia="lt-LT"/>
                  </w:rPr>
                  <w:t>3. Studijų programa</w:t>
                </w:r>
              </w:p>
            </w:tc>
            <w:tc>
              <w:tcPr>
                <w:tcW w:w="2661" w:type="dxa"/>
              </w:tcPr>
              <w:p w14:paraId="17A54A86" w14:textId="77777777" w:rsidR="00D17062" w:rsidRDefault="00DF4315">
                <w:pPr>
                  <w:jc w:val="both"/>
                  <w:rPr>
                    <w:szCs w:val="24"/>
                    <w:lang w:eastAsia="lt-LT"/>
                  </w:rPr>
                </w:pPr>
                <w:r>
                  <w:rPr>
                    <w:szCs w:val="24"/>
                    <w:lang w:eastAsia="lt-LT"/>
                  </w:rPr>
                  <w:t>3.1. Studijų planas</w:t>
                </w:r>
              </w:p>
            </w:tc>
            <w:tc>
              <w:tcPr>
                <w:tcW w:w="9004" w:type="dxa"/>
              </w:tcPr>
              <w:p w14:paraId="267B5F82" w14:textId="3A44ECFF" w:rsidR="00D17062" w:rsidRDefault="00DF4315">
                <w:pPr>
                  <w:jc w:val="both"/>
                  <w:rPr>
                    <w:szCs w:val="24"/>
                    <w:lang w:eastAsia="lt-LT"/>
                  </w:rPr>
                </w:pPr>
                <w:r>
                  <w:rPr>
                    <w:szCs w:val="24"/>
                    <w:lang w:eastAsia="lt-LT"/>
                  </w:rPr>
                  <w:t>3.1.1. Studijų plano struktūra ir turinys sudaro sąlygas studentams pasiekti numatytus studijų rezultatus.</w:t>
                </w:r>
              </w:p>
            </w:tc>
          </w:tr>
          <w:tr w:rsidR="00D17062" w14:paraId="1B0FAE7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364" w:type="dxa"/>
                <w:vMerge/>
              </w:tcPr>
              <w:p w14:paraId="6EBA9DDD" w14:textId="77777777" w:rsidR="00D17062" w:rsidRDefault="00D17062">
                <w:pPr>
                  <w:jc w:val="both"/>
                  <w:rPr>
                    <w:szCs w:val="24"/>
                    <w:lang w:eastAsia="lt-LT"/>
                  </w:rPr>
                </w:pPr>
              </w:p>
            </w:tc>
            <w:tc>
              <w:tcPr>
                <w:tcW w:w="2661" w:type="dxa"/>
              </w:tcPr>
              <w:p w14:paraId="08471A01" w14:textId="391A9CA2" w:rsidR="00D17062" w:rsidRDefault="00DF4315">
                <w:pPr>
                  <w:jc w:val="both"/>
                  <w:rPr>
                    <w:szCs w:val="24"/>
                    <w:lang w:eastAsia="lt-LT"/>
                  </w:rPr>
                </w:pPr>
                <w:r>
                  <w:rPr>
                    <w:szCs w:val="24"/>
                    <w:lang w:eastAsia="lt-LT"/>
                  </w:rPr>
                  <w:t>3.2. Studijų kreditai</w:t>
                </w:r>
              </w:p>
            </w:tc>
            <w:tc>
              <w:tcPr>
                <w:tcW w:w="9004" w:type="dxa"/>
              </w:tcPr>
              <w:p w14:paraId="3B9D4292" w14:textId="52C8437C" w:rsidR="00D17062" w:rsidRDefault="00DF4315">
                <w:pPr>
                  <w:jc w:val="both"/>
                  <w:rPr>
                    <w:szCs w:val="24"/>
                    <w:lang w:eastAsia="lt-LT"/>
                  </w:rPr>
                </w:pPr>
                <w:r>
                  <w:rPr>
                    <w:szCs w:val="24"/>
                    <w:lang w:eastAsia="lt-LT"/>
                  </w:rPr>
                  <w:t>3.2.1. Europos kreditų perkėlimo sistema (ECTS) turi būti taikoma tinkamai, o studijų kreditų pasiskirstymas aiškus.</w:t>
                </w:r>
              </w:p>
            </w:tc>
          </w:tr>
          <w:tr w:rsidR="00D17062" w14:paraId="33E5BBA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364" w:type="dxa"/>
                <w:vMerge/>
              </w:tcPr>
              <w:p w14:paraId="43A3B888" w14:textId="77777777" w:rsidR="00D17062" w:rsidRDefault="00D17062">
                <w:pPr>
                  <w:jc w:val="both"/>
                  <w:rPr>
                    <w:szCs w:val="24"/>
                    <w:lang w:eastAsia="lt-LT"/>
                  </w:rPr>
                </w:pPr>
              </w:p>
            </w:tc>
            <w:tc>
              <w:tcPr>
                <w:tcW w:w="2661" w:type="dxa"/>
              </w:tcPr>
              <w:p w14:paraId="7AEB1BEF" w14:textId="77777777" w:rsidR="00D17062" w:rsidRDefault="00DF4315">
                <w:pPr>
                  <w:jc w:val="both"/>
                  <w:rPr>
                    <w:szCs w:val="24"/>
                    <w:lang w:eastAsia="lt-LT"/>
                  </w:rPr>
                </w:pPr>
                <w:r>
                  <w:rPr>
                    <w:szCs w:val="24"/>
                    <w:lang w:eastAsia="lt-LT"/>
                  </w:rPr>
                  <w:t>3.3. Apimtis</w:t>
                </w:r>
              </w:p>
            </w:tc>
            <w:tc>
              <w:tcPr>
                <w:tcW w:w="9004" w:type="dxa"/>
              </w:tcPr>
              <w:p w14:paraId="289B9A8F" w14:textId="356CDB64" w:rsidR="00D17062" w:rsidRDefault="00DF4315">
                <w:pPr>
                  <w:jc w:val="both"/>
                  <w:rPr>
                    <w:szCs w:val="24"/>
                    <w:lang w:eastAsia="lt-LT"/>
                  </w:rPr>
                </w:pPr>
                <w:r>
                  <w:rPr>
                    <w:szCs w:val="24"/>
                    <w:lang w:eastAsia="lt-LT"/>
                  </w:rPr>
                  <w:t>3.3.1. Jungtinės bakalauro studijų programos įprasta apimtis 180–240 kreditų; jungtinės magistrantūros programos įprasta apimtis 90–120 kreditų, bet ne mažesnė nei 60 studijų kreditų (kaip nurodyta EAME KS).</w:t>
                </w:r>
              </w:p>
              <w:p w14:paraId="748527CD" w14:textId="77777777" w:rsidR="00D17062" w:rsidRDefault="00D17062">
                <w:pPr>
                  <w:jc w:val="both"/>
                  <w:rPr>
                    <w:szCs w:val="24"/>
                    <w:lang w:eastAsia="lt-LT"/>
                  </w:rPr>
                </w:pPr>
              </w:p>
              <w:p w14:paraId="5BCBC8DD" w14:textId="2B5E9F20" w:rsidR="00D17062" w:rsidRDefault="00DF4315">
                <w:pPr>
                  <w:jc w:val="both"/>
                  <w:rPr>
                    <w:szCs w:val="24"/>
                    <w:lang w:eastAsia="lt-LT"/>
                  </w:rPr>
                </w:pPr>
                <w:r>
                  <w:rPr>
                    <w:szCs w:val="24"/>
                    <w:lang w:eastAsia="lt-LT"/>
                  </w:rPr>
                  <w:t>3.3.2. Turi būti atliekama darbo krūvio ir vidutinio programos baigimo laiko stebėsena.</w:t>
                </w:r>
              </w:p>
            </w:tc>
          </w:tr>
          <w:tr w:rsidR="00D17062" w14:paraId="4AE29D71"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364" w:type="dxa"/>
                <w:vMerge w:val="restart"/>
              </w:tcPr>
              <w:p w14:paraId="0F5BADD6" w14:textId="4F323F92" w:rsidR="00D17062" w:rsidRDefault="00DF4315">
                <w:pPr>
                  <w:jc w:val="both"/>
                  <w:rPr>
                    <w:szCs w:val="24"/>
                    <w:lang w:eastAsia="lt-LT"/>
                  </w:rPr>
                </w:pPr>
                <w:r>
                  <w:rPr>
                    <w:szCs w:val="24"/>
                    <w:lang w:eastAsia="lt-LT"/>
                  </w:rPr>
                  <w:t>4. Priėmimas ir akademinis pripažinimas</w:t>
                </w:r>
              </w:p>
            </w:tc>
            <w:tc>
              <w:tcPr>
                <w:tcW w:w="2661" w:type="dxa"/>
              </w:tcPr>
              <w:p w14:paraId="4B28B3DF" w14:textId="77777777" w:rsidR="00D17062" w:rsidRDefault="00DF4315">
                <w:pPr>
                  <w:jc w:val="both"/>
                  <w:rPr>
                    <w:szCs w:val="24"/>
                    <w:lang w:eastAsia="lt-LT"/>
                  </w:rPr>
                </w:pPr>
                <w:r>
                  <w:rPr>
                    <w:szCs w:val="24"/>
                    <w:lang w:eastAsia="lt-LT"/>
                  </w:rPr>
                  <w:t>4.1. Priėmimas</w:t>
                </w:r>
              </w:p>
            </w:tc>
            <w:tc>
              <w:tcPr>
                <w:tcW w:w="9004" w:type="dxa"/>
              </w:tcPr>
              <w:p w14:paraId="76CDA93E" w14:textId="3129E742" w:rsidR="00D17062" w:rsidRDefault="00DF4315">
                <w:pPr>
                  <w:jc w:val="both"/>
                  <w:rPr>
                    <w:szCs w:val="24"/>
                    <w:lang w:eastAsia="lt-LT"/>
                  </w:rPr>
                </w:pPr>
                <w:r>
                  <w:rPr>
                    <w:szCs w:val="24"/>
                    <w:lang w:eastAsia="lt-LT"/>
                  </w:rPr>
                  <w:t>4.1.1. Studentų priėmimo reikalavimai ir atrankos procedūros turi tinkamai atspindėti studijų programos lygį ir studijų kryptį.</w:t>
                </w:r>
              </w:p>
            </w:tc>
          </w:tr>
          <w:tr w:rsidR="00D17062" w14:paraId="3667222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364" w:type="dxa"/>
                <w:vMerge/>
              </w:tcPr>
              <w:p w14:paraId="72BEE3DF" w14:textId="77777777" w:rsidR="00D17062" w:rsidRDefault="00D17062">
                <w:pPr>
                  <w:jc w:val="both"/>
                  <w:rPr>
                    <w:szCs w:val="24"/>
                    <w:lang w:eastAsia="lt-LT"/>
                  </w:rPr>
                </w:pPr>
              </w:p>
            </w:tc>
            <w:tc>
              <w:tcPr>
                <w:tcW w:w="2661" w:type="dxa"/>
              </w:tcPr>
              <w:p w14:paraId="2038CA77" w14:textId="4CF7BED4" w:rsidR="00D17062" w:rsidRDefault="00DF4315">
                <w:pPr>
                  <w:tabs>
                    <w:tab w:val="left" w:pos="222"/>
                  </w:tabs>
                  <w:rPr>
                    <w:szCs w:val="24"/>
                    <w:lang w:eastAsia="lt-LT"/>
                  </w:rPr>
                </w:pPr>
                <w:r>
                  <w:rPr>
                    <w:szCs w:val="24"/>
                    <w:lang w:eastAsia="lt-LT"/>
                  </w:rPr>
                  <w:t>4.2. Akademinis pripažinimas</w:t>
                </w:r>
              </w:p>
            </w:tc>
            <w:tc>
              <w:tcPr>
                <w:tcW w:w="9004" w:type="dxa"/>
              </w:tcPr>
              <w:p w14:paraId="6E5E6575" w14:textId="64FA1799" w:rsidR="00D17062" w:rsidRDefault="00DF4315">
                <w:pPr>
                  <w:jc w:val="both"/>
                  <w:rPr>
                    <w:szCs w:val="24"/>
                    <w:lang w:eastAsia="lt-LT"/>
                  </w:rPr>
                </w:pPr>
                <w:r>
                  <w:rPr>
                    <w:szCs w:val="24"/>
                    <w:lang w:eastAsia="lt-LT"/>
                  </w:rPr>
                  <w:t xml:space="preserve">4.2.1. </w:t>
                </w:r>
                <w:r>
                  <w:rPr>
                    <w:color w:val="000000"/>
                    <w:szCs w:val="24"/>
                    <w:lang w:eastAsia="lt-LT"/>
                  </w:rPr>
                  <w:t xml:space="preserve">Išsilavinimo ir kvalifikacijos, įgytų pagal užsienio valstybių ir tarptautinių organizacijų švietimo programas, pripažinimo, dalinių studijų aukštosiose mokyklose rezultatų įskaitymo, formaliojo ir neformaliojo švietimo, savišvietos būdu įgytų kompetencijų, susijusių su aukštuoju mokslu akademinio pripažinimo </w:t>
                </w:r>
                <w:r>
                  <w:rPr>
                    <w:szCs w:val="24"/>
                    <w:lang w:eastAsia="lt-LT"/>
                  </w:rPr>
                  <w:t>praktika turi atitikti Europos Tarybos ir UNESCO parengtoje 1997 m. Kvalifikacijų, susijusių su aukštuoju mokslu, pripažinimo Europos regiono valstybėse konvenciją (Lisabonos pripažinimo konvencija) ir ją lydinčius dokumentus bei nacionalinius teisės aktus.</w:t>
                </w:r>
              </w:p>
            </w:tc>
          </w:tr>
          <w:tr w:rsidR="00D17062" w14:paraId="62CC0D2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364" w:type="dxa"/>
                <w:vMerge w:val="restart"/>
              </w:tcPr>
              <w:p w14:paraId="2D970F1C" w14:textId="5D1C2605" w:rsidR="00D17062" w:rsidRDefault="00DF4315">
                <w:pPr>
                  <w:tabs>
                    <w:tab w:val="left" w:pos="459"/>
                  </w:tabs>
                  <w:rPr>
                    <w:szCs w:val="24"/>
                    <w:lang w:eastAsia="lt-LT"/>
                  </w:rPr>
                </w:pPr>
                <w:r>
                  <w:rPr>
                    <w:szCs w:val="24"/>
                    <w:lang w:eastAsia="lt-LT"/>
                  </w:rPr>
                  <w:t>5. Mokymasis, mokymas ir pasiekimų vertinimas</w:t>
                </w:r>
              </w:p>
            </w:tc>
            <w:tc>
              <w:tcPr>
                <w:tcW w:w="2661" w:type="dxa"/>
              </w:tcPr>
              <w:p w14:paraId="172B7B31" w14:textId="77777777" w:rsidR="00D17062" w:rsidRDefault="00DF4315">
                <w:pPr>
                  <w:rPr>
                    <w:szCs w:val="24"/>
                    <w:lang w:eastAsia="lt-LT"/>
                  </w:rPr>
                </w:pPr>
                <w:r>
                  <w:rPr>
                    <w:szCs w:val="24"/>
                    <w:lang w:eastAsia="lt-LT"/>
                  </w:rPr>
                  <w:t>5.1. Mokymasis ir mokymas</w:t>
                </w:r>
              </w:p>
              <w:p w14:paraId="7A21CE5B" w14:textId="77777777" w:rsidR="00D17062" w:rsidRDefault="00D17062">
                <w:pPr>
                  <w:jc w:val="both"/>
                  <w:rPr>
                    <w:szCs w:val="24"/>
                    <w:lang w:eastAsia="lt-LT"/>
                  </w:rPr>
                </w:pPr>
              </w:p>
            </w:tc>
            <w:tc>
              <w:tcPr>
                <w:tcW w:w="9004" w:type="dxa"/>
              </w:tcPr>
              <w:p w14:paraId="70861477" w14:textId="58449602" w:rsidR="00D17062" w:rsidRDefault="00DF4315">
                <w:pPr>
                  <w:jc w:val="both"/>
                  <w:rPr>
                    <w:szCs w:val="24"/>
                    <w:lang w:eastAsia="lt-LT"/>
                  </w:rPr>
                </w:pPr>
                <w:r>
                  <w:rPr>
                    <w:szCs w:val="24"/>
                    <w:lang w:eastAsia="lt-LT"/>
                  </w:rPr>
                  <w:t>5.1.1. Studijų programa sukurta taip, kad derėtų su numatytais studijų rezultatais, o taikomi studijų metodai tinkami jiems pasiekti. Studentų ir jų poreikių įvairovė turi būti gerbiama ir atliepiama, siekiant atsižvelgti į galimus studentų kultūrinius skirtumus.</w:t>
                </w:r>
              </w:p>
            </w:tc>
          </w:tr>
          <w:tr w:rsidR="00D17062" w14:paraId="4031DDBC"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364" w:type="dxa"/>
                <w:vMerge/>
              </w:tcPr>
              <w:p w14:paraId="49211E48" w14:textId="77777777" w:rsidR="00D17062" w:rsidRDefault="00D17062">
                <w:pPr>
                  <w:rPr>
                    <w:szCs w:val="24"/>
                    <w:lang w:eastAsia="lt-LT"/>
                  </w:rPr>
                </w:pPr>
              </w:p>
            </w:tc>
            <w:tc>
              <w:tcPr>
                <w:tcW w:w="2661" w:type="dxa"/>
              </w:tcPr>
              <w:p w14:paraId="33E87B68" w14:textId="015BC6F1" w:rsidR="00D17062" w:rsidRDefault="00DF4315">
                <w:pPr>
                  <w:rPr>
                    <w:szCs w:val="24"/>
                    <w:lang w:eastAsia="lt-LT"/>
                  </w:rPr>
                </w:pPr>
                <w:r>
                  <w:rPr>
                    <w:szCs w:val="24"/>
                    <w:lang w:eastAsia="lt-LT"/>
                  </w:rPr>
                  <w:t>5.2. Studentų pasiekimų vertinimas</w:t>
                </w:r>
              </w:p>
            </w:tc>
            <w:tc>
              <w:tcPr>
                <w:tcW w:w="9004" w:type="dxa"/>
              </w:tcPr>
              <w:p w14:paraId="548CFF7A" w14:textId="35EE1E0B" w:rsidR="00D17062" w:rsidRDefault="00DF4315">
                <w:pPr>
                  <w:jc w:val="both"/>
                  <w:rPr>
                    <w:szCs w:val="24"/>
                    <w:lang w:eastAsia="lt-LT"/>
                  </w:rPr>
                </w:pPr>
                <w:r>
                  <w:rPr>
                    <w:szCs w:val="24"/>
                    <w:lang w:eastAsia="lt-LT"/>
                  </w:rPr>
                  <w:t>5.2.1. Egzaminavimo tvarkos ir pasiektų studijų rezultatų vertinimas turi derėti su numatytais studijų rezultatais ir turi būti nuosekliai taikomas visose institucijose partnerėse.</w:t>
                </w:r>
              </w:p>
            </w:tc>
          </w:tr>
          <w:tr w:rsidR="00D17062" w14:paraId="4B728F8C"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364" w:type="dxa"/>
              </w:tcPr>
              <w:p w14:paraId="2C464B34" w14:textId="6BAA24E6" w:rsidR="00D17062" w:rsidRDefault="00DF4315">
                <w:pPr>
                  <w:rPr>
                    <w:szCs w:val="24"/>
                    <w:lang w:eastAsia="lt-LT"/>
                  </w:rPr>
                </w:pPr>
                <w:r>
                  <w:rPr>
                    <w:szCs w:val="24"/>
                    <w:lang w:eastAsia="lt-LT"/>
                  </w:rPr>
                  <w:t>6. Parama studentams</w:t>
                </w:r>
              </w:p>
            </w:tc>
            <w:tc>
              <w:tcPr>
                <w:tcW w:w="2661" w:type="dxa"/>
              </w:tcPr>
              <w:p w14:paraId="1EFDB534" w14:textId="2276D89A" w:rsidR="00D17062" w:rsidRDefault="00DF4315">
                <w:pPr>
                  <w:jc w:val="both"/>
                  <w:rPr>
                    <w:szCs w:val="24"/>
                    <w:lang w:eastAsia="lt-LT"/>
                  </w:rPr>
                </w:pPr>
                <w:r>
                  <w:rPr>
                    <w:szCs w:val="24"/>
                    <w:lang w:eastAsia="lt-LT"/>
                  </w:rPr>
                  <w:t>6.1. Studentams teikiama parama</w:t>
                </w:r>
              </w:p>
            </w:tc>
            <w:tc>
              <w:tcPr>
                <w:tcW w:w="9004" w:type="dxa"/>
              </w:tcPr>
              <w:p w14:paraId="2DC3CBEA" w14:textId="6109BB17" w:rsidR="00D17062" w:rsidRDefault="00DF4315">
                <w:pPr>
                  <w:jc w:val="both"/>
                  <w:rPr>
                    <w:szCs w:val="24"/>
                    <w:lang w:eastAsia="lt-LT"/>
                  </w:rPr>
                </w:pPr>
                <w:r>
                  <w:rPr>
                    <w:szCs w:val="24"/>
                    <w:lang w:eastAsia="lt-LT"/>
                  </w:rPr>
                  <w:t>6.1.1. Parama studentams turi padėti siekti numatytų studijų rezultatų. Teikiant paramą studentams, turi būti atsižvelgiama į su judumu susijusius studentų iššūkius.</w:t>
                </w:r>
              </w:p>
            </w:tc>
          </w:tr>
          <w:tr w:rsidR="00D17062" w14:paraId="3189B29C"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364" w:type="dxa"/>
                <w:vMerge w:val="restart"/>
              </w:tcPr>
              <w:p w14:paraId="04F9C8E7" w14:textId="77777777" w:rsidR="00D17062" w:rsidRDefault="00DF4315">
                <w:pPr>
                  <w:jc w:val="both"/>
                  <w:rPr>
                    <w:szCs w:val="24"/>
                    <w:lang w:eastAsia="lt-LT"/>
                  </w:rPr>
                </w:pPr>
                <w:r>
                  <w:rPr>
                    <w:szCs w:val="24"/>
                    <w:lang w:eastAsia="lt-LT"/>
                  </w:rPr>
                  <w:t>7. Resursai</w:t>
                </w:r>
              </w:p>
            </w:tc>
            <w:tc>
              <w:tcPr>
                <w:tcW w:w="2661" w:type="dxa"/>
              </w:tcPr>
              <w:p w14:paraId="7D9CEDA0" w14:textId="77777777" w:rsidR="00D17062" w:rsidRDefault="00DF4315">
                <w:pPr>
                  <w:jc w:val="both"/>
                  <w:rPr>
                    <w:b/>
                    <w:bCs/>
                    <w:szCs w:val="24"/>
                    <w:lang w:eastAsia="lt-LT"/>
                  </w:rPr>
                </w:pPr>
                <w:r>
                  <w:rPr>
                    <w:szCs w:val="24"/>
                    <w:lang w:eastAsia="lt-LT"/>
                  </w:rPr>
                  <w:t>7.1. Personalas</w:t>
                </w:r>
              </w:p>
            </w:tc>
            <w:tc>
              <w:tcPr>
                <w:tcW w:w="9004" w:type="dxa"/>
              </w:tcPr>
              <w:p w14:paraId="445FFD6A" w14:textId="24A2E962" w:rsidR="00D17062" w:rsidRDefault="00DF4315">
                <w:pPr>
                  <w:jc w:val="both"/>
                  <w:rPr>
                    <w:szCs w:val="24"/>
                    <w:lang w:eastAsia="lt-LT"/>
                  </w:rPr>
                </w:pPr>
                <w:r>
                  <w:rPr>
                    <w:szCs w:val="24"/>
                    <w:lang w:eastAsia="lt-LT"/>
                  </w:rPr>
                  <w:t>7.1.1. Personalas turi būti pakankamas ir tinkamas (tinkama kvalifikacija, profesinė ir tarptautinė patirtis) studijų programai įgyvendinti.</w:t>
                </w:r>
              </w:p>
            </w:tc>
          </w:tr>
          <w:tr w:rsidR="00D17062" w14:paraId="4532594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364" w:type="dxa"/>
                <w:vMerge/>
              </w:tcPr>
              <w:p w14:paraId="0A95E21E" w14:textId="77777777" w:rsidR="00D17062" w:rsidRDefault="00D17062">
                <w:pPr>
                  <w:jc w:val="both"/>
                  <w:rPr>
                    <w:szCs w:val="24"/>
                    <w:lang w:eastAsia="lt-LT"/>
                  </w:rPr>
                </w:pPr>
              </w:p>
            </w:tc>
            <w:tc>
              <w:tcPr>
                <w:tcW w:w="2661" w:type="dxa"/>
              </w:tcPr>
              <w:p w14:paraId="33104B67" w14:textId="77777777" w:rsidR="00D17062" w:rsidRDefault="00DF4315">
                <w:pPr>
                  <w:jc w:val="both"/>
                  <w:rPr>
                    <w:szCs w:val="24"/>
                    <w:lang w:eastAsia="lt-LT"/>
                  </w:rPr>
                </w:pPr>
                <w:r>
                  <w:rPr>
                    <w:szCs w:val="24"/>
                    <w:lang w:eastAsia="lt-LT"/>
                  </w:rPr>
                  <w:t>7.2. Ištekliai</w:t>
                </w:r>
              </w:p>
              <w:p w14:paraId="1329723B" w14:textId="77777777" w:rsidR="00D17062" w:rsidRDefault="00D17062">
                <w:pPr>
                  <w:jc w:val="both"/>
                  <w:rPr>
                    <w:i/>
                    <w:iCs/>
                    <w:szCs w:val="24"/>
                    <w:lang w:eastAsia="lt-LT"/>
                  </w:rPr>
                </w:pPr>
              </w:p>
            </w:tc>
            <w:tc>
              <w:tcPr>
                <w:tcW w:w="9004" w:type="dxa"/>
              </w:tcPr>
              <w:p w14:paraId="5969A6D7" w14:textId="6C74F6E1" w:rsidR="00D17062" w:rsidRDefault="00DF4315">
                <w:pPr>
                  <w:jc w:val="both"/>
                  <w:rPr>
                    <w:szCs w:val="24"/>
                    <w:lang w:eastAsia="lt-LT"/>
                  </w:rPr>
                </w:pPr>
                <w:r>
                  <w:rPr>
                    <w:szCs w:val="24"/>
                    <w:lang w:eastAsia="lt-LT"/>
                  </w:rPr>
                  <w:t>7.2.1. Pasitelkti ištekliai turi būti pakankami ir tinkami numatytiems studijų rezultatams pasiekti.</w:t>
                </w:r>
              </w:p>
            </w:tc>
          </w:tr>
          <w:tr w:rsidR="00D17062" w14:paraId="42363922"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364" w:type="dxa"/>
              </w:tcPr>
              <w:p w14:paraId="3797C419" w14:textId="77777777" w:rsidR="00D17062" w:rsidRDefault="00DF4315">
                <w:pPr>
                  <w:jc w:val="both"/>
                  <w:rPr>
                    <w:szCs w:val="24"/>
                    <w:lang w:eastAsia="lt-LT"/>
                  </w:rPr>
                </w:pPr>
                <w:r>
                  <w:rPr>
                    <w:szCs w:val="24"/>
                    <w:lang w:eastAsia="lt-LT"/>
                  </w:rPr>
                  <w:t xml:space="preserve">8. Skaidrumas ir vidinės tvarkos </w:t>
                </w:r>
              </w:p>
              <w:p w14:paraId="544ABB9D" w14:textId="77777777" w:rsidR="00D17062" w:rsidRDefault="00D17062">
                <w:pPr>
                  <w:jc w:val="both"/>
                  <w:rPr>
                    <w:szCs w:val="24"/>
                    <w:lang w:eastAsia="lt-LT"/>
                  </w:rPr>
                </w:pPr>
              </w:p>
            </w:tc>
            <w:tc>
              <w:tcPr>
                <w:tcW w:w="2661" w:type="dxa"/>
              </w:tcPr>
              <w:p w14:paraId="520C4948" w14:textId="77777777" w:rsidR="00D17062" w:rsidRDefault="00DF4315">
                <w:pPr>
                  <w:rPr>
                    <w:szCs w:val="24"/>
                    <w:lang w:eastAsia="lt-LT"/>
                  </w:rPr>
                </w:pPr>
                <w:r>
                  <w:rPr>
                    <w:szCs w:val="24"/>
                    <w:lang w:eastAsia="lt-LT"/>
                  </w:rPr>
                  <w:t xml:space="preserve">8.1. Skaidrumas ir vidinės tvarkos </w:t>
                </w:r>
              </w:p>
              <w:p w14:paraId="3C64216E" w14:textId="77777777" w:rsidR="00D17062" w:rsidRDefault="00D17062">
                <w:pPr>
                  <w:rPr>
                    <w:szCs w:val="24"/>
                    <w:lang w:val="en-US" w:eastAsia="lt-LT"/>
                  </w:rPr>
                </w:pPr>
              </w:p>
            </w:tc>
            <w:tc>
              <w:tcPr>
                <w:tcW w:w="9004" w:type="dxa"/>
              </w:tcPr>
              <w:p w14:paraId="68633D5E" w14:textId="4A84CB30" w:rsidR="00D17062" w:rsidRDefault="00DF4315">
                <w:pPr>
                  <w:jc w:val="both"/>
                  <w:rPr>
                    <w:szCs w:val="24"/>
                    <w:lang w:eastAsia="lt-LT"/>
                  </w:rPr>
                </w:pPr>
                <w:r>
                  <w:rPr>
                    <w:szCs w:val="24"/>
                    <w:lang w:eastAsia="lt-LT"/>
                  </w:rPr>
                  <w:t>8.1.1. Aktuali informacija apie studijų programą, tokia kaip: priėmimo reikalavimai, dalykų aprašai, egzaminavimo ir vertinimo procedūros ir t. t., turi būti aprašyta vidinėse tvarkose ir skelbiama viešai, atsižvelgus į specifinius su judumu susijusius studentų poreikius.</w:t>
                </w:r>
              </w:p>
            </w:tc>
          </w:tr>
          <w:tr w:rsidR="00D17062" w14:paraId="701F0216"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364" w:type="dxa"/>
              </w:tcPr>
              <w:p w14:paraId="353A9C1A" w14:textId="77777777" w:rsidR="00D17062" w:rsidRDefault="00DF4315">
                <w:pPr>
                  <w:rPr>
                    <w:szCs w:val="24"/>
                    <w:lang w:eastAsia="lt-LT"/>
                  </w:rPr>
                </w:pPr>
                <w:r>
                  <w:rPr>
                    <w:szCs w:val="24"/>
                    <w:lang w:eastAsia="lt-LT"/>
                  </w:rPr>
                  <w:t>9. Kokybės užtikrinimas</w:t>
                </w:r>
              </w:p>
            </w:tc>
            <w:tc>
              <w:tcPr>
                <w:tcW w:w="2661" w:type="dxa"/>
              </w:tcPr>
              <w:p w14:paraId="2483679D" w14:textId="77777777" w:rsidR="00D17062" w:rsidRDefault="00DF4315">
                <w:pPr>
                  <w:rPr>
                    <w:szCs w:val="24"/>
                    <w:lang w:eastAsia="lt-LT"/>
                  </w:rPr>
                </w:pPr>
                <w:r>
                  <w:rPr>
                    <w:szCs w:val="24"/>
                    <w:lang w:eastAsia="lt-LT"/>
                  </w:rPr>
                  <w:t>9.1. Vidinė kokybės užtikrinimo sistema</w:t>
                </w:r>
              </w:p>
            </w:tc>
            <w:tc>
              <w:tcPr>
                <w:tcW w:w="9004" w:type="dxa"/>
              </w:tcPr>
              <w:p w14:paraId="6435698C" w14:textId="259F6626" w:rsidR="00D17062" w:rsidRDefault="00DF4315">
                <w:pPr>
                  <w:jc w:val="both"/>
                  <w:rPr>
                    <w:szCs w:val="24"/>
                    <w:lang w:eastAsia="lt-LT"/>
                  </w:rPr>
                </w:pPr>
                <w:r>
                  <w:rPr>
                    <w:szCs w:val="24"/>
                    <w:lang w:eastAsia="lt-LT"/>
                  </w:rPr>
                  <w:t>9.1.1. Bendradarbiaujančios institucijos turi taikyti bendrus vidinius kokybės užtikrinimo procesus, atitinkančius Europos aukštojo mokslo kokybės užtikrinimo nuostatuose ir gairėse nustatytas vidinio kokybės užtikrinimo nuostatas ir gaires.</w:t>
                </w:r>
              </w:p>
            </w:tc>
          </w:tr>
        </w:tbl>
        <w:p w14:paraId="70A00B36" w14:textId="77777777" w:rsidR="00D17062" w:rsidRDefault="00D17062">
          <w:pPr>
            <w:rPr>
              <w:szCs w:val="24"/>
            </w:rPr>
          </w:pPr>
        </w:p>
        <w:p w14:paraId="3BCA6D4A" w14:textId="7D5E0685" w:rsidR="00D17062" w:rsidRDefault="00DF4315">
          <w:pPr>
            <w:jc w:val="center"/>
            <w:rPr>
              <w:szCs w:val="24"/>
            </w:rPr>
          </w:pPr>
          <w:r>
            <w:rPr>
              <w:szCs w:val="24"/>
            </w:rPr>
            <w:t>_________________________________</w:t>
          </w:r>
        </w:p>
      </w:sdtContent>
    </w:sdt>
    <w:sectPr w:rsidR="00D17062">
      <w:headerReference w:type="even" r:id="rId7"/>
      <w:headerReference w:type="default" r:id="rId8"/>
      <w:footerReference w:type="even" r:id="rId9"/>
      <w:footerReference w:type="default" r:id="rId10"/>
      <w:headerReference w:type="first" r:id="rId11"/>
      <w:footerReference w:type="first" r:id="rId12"/>
      <w:pgSz w:w="15840" w:h="12240" w:orient="landscape"/>
      <w:pgMar w:top="1418" w:right="672" w:bottom="567" w:left="1134"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FF3A3A" w14:textId="77777777" w:rsidR="00AD73B2" w:rsidRDefault="00AD73B2">
      <w:pPr>
        <w:rPr>
          <w:szCs w:val="24"/>
          <w:lang w:val="en-GB"/>
        </w:rPr>
      </w:pPr>
      <w:r>
        <w:rPr>
          <w:szCs w:val="24"/>
          <w:lang w:val="en-GB"/>
        </w:rPr>
        <w:separator/>
      </w:r>
    </w:p>
  </w:endnote>
  <w:endnote w:type="continuationSeparator" w:id="0">
    <w:p w14:paraId="6CE8CF0A" w14:textId="77777777" w:rsidR="00AD73B2" w:rsidRDefault="00AD73B2">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757B37" w14:textId="77777777" w:rsidR="00D17062" w:rsidRDefault="00DF4315">
    <w:pPr>
      <w:framePr w:wrap="auto" w:vAnchor="text" w:hAnchor="margin" w:xAlign="right" w:y="1"/>
      <w:tabs>
        <w:tab w:val="center" w:pos="4153"/>
        <w:tab w:val="right" w:pos="8306"/>
      </w:tabs>
      <w:overflowPunct w:val="0"/>
      <w:textAlignment w:val="baseline"/>
      <w:rPr>
        <w:rFonts w:ascii="HelveticaLT" w:hAnsi="HelveticaLT"/>
        <w:sz w:val="20"/>
        <w:szCs w:val="24"/>
        <w:lang w:val="en-GB"/>
      </w:rPr>
    </w:pPr>
    <w:r>
      <w:rPr>
        <w:rFonts w:ascii="HelveticaLT" w:hAnsi="HelveticaLT"/>
        <w:sz w:val="20"/>
        <w:szCs w:val="24"/>
        <w:lang w:val="en-GB"/>
      </w:rPr>
      <w:fldChar w:fldCharType="begin"/>
    </w:r>
    <w:r>
      <w:rPr>
        <w:rFonts w:ascii="HelveticaLT" w:hAnsi="HelveticaLT"/>
        <w:sz w:val="20"/>
        <w:szCs w:val="24"/>
        <w:lang w:val="en-GB"/>
      </w:rPr>
      <w:instrText xml:space="preserve">PAGE  </w:instrText>
    </w:r>
    <w:r>
      <w:rPr>
        <w:rFonts w:ascii="HelveticaLT" w:hAnsi="HelveticaLT"/>
        <w:sz w:val="20"/>
        <w:szCs w:val="24"/>
        <w:lang w:val="en-GB"/>
      </w:rPr>
      <w:fldChar w:fldCharType="end"/>
    </w:r>
  </w:p>
  <w:p w14:paraId="6904DDE5" w14:textId="77777777" w:rsidR="00D17062" w:rsidRDefault="00D17062">
    <w:pPr>
      <w:tabs>
        <w:tab w:val="center" w:pos="4153"/>
        <w:tab w:val="right" w:pos="8306"/>
      </w:tabs>
      <w:overflowPunct w:val="0"/>
      <w:ind w:right="360"/>
      <w:textAlignment w:val="baseline"/>
      <w:rPr>
        <w:rFonts w:ascii="HelveticaLT" w:hAnsi="HelveticaLT"/>
        <w:sz w:val="20"/>
        <w:szCs w:val="24"/>
        <w:lang w:val="en-G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C31814" w14:textId="77777777" w:rsidR="00D17062" w:rsidRDefault="00D17062">
    <w:pPr>
      <w:framePr w:wrap="auto" w:vAnchor="text" w:hAnchor="margin" w:xAlign="right" w:y="1"/>
      <w:tabs>
        <w:tab w:val="center" w:pos="4153"/>
        <w:tab w:val="right" w:pos="8306"/>
      </w:tabs>
      <w:overflowPunct w:val="0"/>
      <w:textAlignment w:val="baseline"/>
      <w:rPr>
        <w:rFonts w:ascii="HelveticaLT" w:hAnsi="HelveticaLT"/>
        <w:sz w:val="16"/>
        <w:szCs w:val="16"/>
        <w:lang w:val="en-US"/>
      </w:rPr>
    </w:pPr>
  </w:p>
  <w:p w14:paraId="4D7FAC3A" w14:textId="77777777" w:rsidR="00D17062" w:rsidRDefault="00D17062">
    <w:pPr>
      <w:tabs>
        <w:tab w:val="center" w:pos="4153"/>
        <w:tab w:val="right" w:pos="8306"/>
      </w:tabs>
      <w:overflowPunct w:val="0"/>
      <w:ind w:right="360"/>
      <w:textAlignment w:val="baseline"/>
      <w:rPr>
        <w:rFonts w:ascii="HelveticaLT" w:hAnsi="HelveticaLT"/>
        <w:sz w:val="20"/>
        <w:szCs w:val="24"/>
        <w:lang w:val="en-GB"/>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787E85" w14:textId="77777777" w:rsidR="00D17062" w:rsidRDefault="00D17062">
    <w:pPr>
      <w:tabs>
        <w:tab w:val="center" w:pos="4153"/>
        <w:tab w:val="right" w:pos="8306"/>
      </w:tabs>
      <w:overflowPunct w:val="0"/>
      <w:textAlignment w:val="baseline"/>
      <w:rPr>
        <w:sz w:val="20"/>
        <w:szCs w:val="24"/>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12C3C2" w14:textId="77777777" w:rsidR="00AD73B2" w:rsidRDefault="00AD73B2">
      <w:pPr>
        <w:rPr>
          <w:szCs w:val="24"/>
          <w:lang w:val="en-GB"/>
        </w:rPr>
      </w:pPr>
      <w:r>
        <w:rPr>
          <w:szCs w:val="24"/>
          <w:lang w:val="en-GB"/>
        </w:rPr>
        <w:separator/>
      </w:r>
    </w:p>
  </w:footnote>
  <w:footnote w:type="continuationSeparator" w:id="0">
    <w:p w14:paraId="6A9DDCA6" w14:textId="77777777" w:rsidR="00AD73B2" w:rsidRDefault="00AD73B2">
      <w:pPr>
        <w:rPr>
          <w:szCs w:val="24"/>
          <w:lang w:val="en-GB"/>
        </w:rPr>
      </w:pPr>
      <w:r>
        <w:rPr>
          <w:szCs w:val="24"/>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73F7A1" w14:textId="77777777" w:rsidR="00D17062" w:rsidRDefault="00D17062">
    <w:pPr>
      <w:tabs>
        <w:tab w:val="center" w:pos="4819"/>
        <w:tab w:val="right" w:pos="9071"/>
      </w:tabs>
      <w:overflowPunct w:val="0"/>
      <w:textAlignment w:val="baseline"/>
      <w:rPr>
        <w:rFonts w:ascii="HelveticaLT" w:hAnsi="HelveticaLT"/>
        <w:sz w:val="20"/>
        <w:szCs w:val="24"/>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F3A0A8" w14:textId="28391CD6" w:rsidR="00D17062" w:rsidRDefault="00DF4315">
    <w:pPr>
      <w:tabs>
        <w:tab w:val="center" w:pos="4680"/>
        <w:tab w:val="right" w:pos="9360"/>
      </w:tabs>
      <w:jc w:val="center"/>
      <w:rPr>
        <w:sz w:val="22"/>
        <w:szCs w:val="22"/>
        <w:lang w:val="en-US"/>
      </w:rPr>
    </w:pPr>
    <w:r>
      <w:rPr>
        <w:sz w:val="22"/>
        <w:szCs w:val="22"/>
        <w:lang w:val="en-US"/>
      </w:rPr>
      <w:fldChar w:fldCharType="begin"/>
    </w:r>
    <w:r>
      <w:rPr>
        <w:sz w:val="22"/>
        <w:szCs w:val="22"/>
        <w:lang w:val="en-US"/>
      </w:rPr>
      <w:instrText>PAGE   \* MERGEFORMAT</w:instrText>
    </w:r>
    <w:r>
      <w:rPr>
        <w:sz w:val="22"/>
        <w:szCs w:val="22"/>
        <w:lang w:val="en-US"/>
      </w:rPr>
      <w:fldChar w:fldCharType="separate"/>
    </w:r>
    <w:r w:rsidR="00FC387D" w:rsidRPr="00FC387D">
      <w:rPr>
        <w:noProof/>
        <w:sz w:val="22"/>
        <w:szCs w:val="22"/>
      </w:rPr>
      <w:t>2</w:t>
    </w:r>
    <w:r>
      <w:rPr>
        <w:sz w:val="22"/>
        <w:szCs w:val="22"/>
        <w:lang w:val="en-US"/>
      </w:rPr>
      <w:fldChar w:fldCharType="end"/>
    </w:r>
  </w:p>
  <w:p w14:paraId="19E4990A" w14:textId="3EEC793B" w:rsidR="00D17062" w:rsidRDefault="00D17062">
    <w:pPr>
      <w:tabs>
        <w:tab w:val="center" w:pos="4680"/>
        <w:tab w:val="right" w:pos="9360"/>
      </w:tabs>
      <w:jc w:val="center"/>
      <w:rPr>
        <w:sz w:val="22"/>
        <w:szCs w:val="22"/>
        <w:lang w:val="en-GB" w:eastAsia="lt-LT"/>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D8065E" w14:textId="77777777" w:rsidR="00D17062" w:rsidRDefault="00D17062">
    <w:pPr>
      <w:tabs>
        <w:tab w:val="center" w:pos="4680"/>
        <w:tab w:val="right" w:pos="9360"/>
      </w:tabs>
      <w:rPr>
        <w:sz w:val="22"/>
        <w:szCs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4FAF"/>
    <w:rsid w:val="002747A8"/>
    <w:rsid w:val="002E4FAF"/>
    <w:rsid w:val="00AD73B2"/>
    <w:rsid w:val="00D17062"/>
    <w:rsid w:val="00D96DD7"/>
    <w:rsid w:val="00DF4315"/>
    <w:rsid w:val="00FC387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BC214D"/>
  <w15:chartTrackingRefBased/>
  <w15:docId w15:val="{A1835314-AE43-49FD-B9FD-83EB8440DE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9496f9c17c9429894a887e077bcf840" PartId="2de5680c520545458e091b02850b2fa7"/>
  <Part Type="patvirtinta" Title="STUDIJŲ KRYPTIES STUDIJŲ VERTINAMOSIOS SRITYS IR RODIKLIAI" DocPartId="ac29e63f7d564a1182300c1229c2689c" PartId="e7dfcf83bae94cccaaa2f018c51326e6"/>
</Parts>
</file>

<file path=customXml/itemProps1.xml><?xml version="1.0" encoding="utf-8"?>
<ds:datastoreItem xmlns:ds="http://schemas.openxmlformats.org/officeDocument/2006/customXml" ds:itemID="{EFC3669B-2C54-4641-B9E2-AB2DE642FB6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8006</Words>
  <Characters>4564</Characters>
  <Application>Microsoft Office Word</Application>
  <DocSecurity>0</DocSecurity>
  <Lines>38</Lines>
  <Paragraphs>25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12545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Smalskytė Skirmantė</dc:creator>
  <cp:lastModifiedBy>ŠAULYTĖ SKAIRIENĖ Dalia</cp:lastModifiedBy>
  <cp:revision>3</cp:revision>
  <dcterms:created xsi:type="dcterms:W3CDTF">2023-08-22T07:10:00Z</dcterms:created>
  <dcterms:modified xsi:type="dcterms:W3CDTF">2026-04-30T12:39:00Z</dcterms:modified>
</cp:coreProperties>
</file>