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af4013023dd54c85bb0631d308723c70"/>
        <w:lock w:val="sdtLocked"/>
        <w:richText/>
      </w:sdtPr>
      <w:sdtContent>
        <w:p>
          <w:pPr>
            <w:tabs>
              <w:tab w:val="center" w:pos="4986"/>
              <w:tab w:val="right" w:pos="9972"/>
            </w:tabs>
          </w:pPr>
        </w:p>
        <w:p>
          <w:pPr>
            <w:ind w:left="7938" w:firstLine="1418"/>
            <w:jc w:val="both"/>
            <w:rPr>
              <w:lang w:eastAsia="lt-LT"/>
            </w:rPr>
          </w:pPr>
          <w:r>
            <w:rPr>
              <w:lang w:eastAsia="lt-LT"/>
            </w:rPr>
            <w:t xml:space="preserve">Sprendimų teikti specializuotą kompleksinę pagalbą </w:t>
          </w:r>
        </w:p>
        <w:p>
          <w:pPr>
            <w:ind w:left="7938" w:firstLine="1418"/>
            <w:jc w:val="both"/>
            <w:rPr>
              <w:szCs w:val="24"/>
            </w:rPr>
          </w:pPr>
          <w:r>
            <w:rPr>
              <w:lang w:eastAsia="lt-LT"/>
            </w:rPr>
            <w:t>priėmimo tvarkos aprašo</w:t>
          </w:r>
          <w:r>
            <w:rPr>
              <w:b/>
              <w:bCs/>
              <w:lang w:eastAsia="lt-LT"/>
            </w:rPr>
            <w:t xml:space="preserve"> </w:t>
          </w:r>
        </w:p>
        <w:p>
          <w:pPr>
            <w:tabs>
              <w:tab w:val="left" w:pos="1276"/>
              <w:tab w:val="left" w:pos="2592"/>
              <w:tab w:val="left" w:pos="3888"/>
              <w:tab w:val="left" w:pos="5185"/>
              <w:tab w:val="left" w:pos="6481"/>
              <w:tab w:val="left" w:pos="7777"/>
              <w:tab w:val="left" w:pos="9072"/>
              <w:tab w:val="left" w:pos="10335"/>
            </w:tabs>
            <w:suppressAutoHyphens/>
            <w:ind w:left="7938" w:firstLine="1418"/>
            <w:jc w:val="both"/>
            <w:rPr>
              <w:rFonts w:eastAsia="Calibri"/>
              <w:szCs w:val="24"/>
              <w:lang w:eastAsia="ar-SA"/>
            </w:rPr>
          </w:pPr>
          <w:sdt>
            <w:sdtPr>
              <w:alias w:val="Numeris"/>
              <w:tag w:val="nr_af4013023dd54c85bb0631d308723c70"/>
              <w:lock w:val="sdtLocked"/>
              <w:richText/>
            </w:sdtPr>
            <w:sdtContent>
              <w:r>
                <w:rPr>
                  <w:rFonts w:eastAsia="Calibri"/>
                  <w:szCs w:val="24"/>
                  <w:lang w:eastAsia="ar-SA"/>
                </w:rPr>
                <w:t>3</w:t>
              </w:r>
            </w:sdtContent>
          </w:sdt>
          <w:r>
            <w:rPr>
              <w:rFonts w:eastAsia="Calibri"/>
              <w:szCs w:val="24"/>
              <w:lang w:eastAsia="ar-SA"/>
            </w:rPr>
            <w:t xml:space="preserve"> priedas</w:t>
          </w:r>
        </w:p>
        <w:p>
          <w:pPr>
            <w:tabs>
              <w:tab w:val="left" w:pos="567"/>
            </w:tabs>
            <w:suppressAutoHyphens/>
            <w:jc w:val="center"/>
            <w:rPr>
              <w:b/>
              <w:szCs w:val="24"/>
              <w:lang w:eastAsia="ar-SA"/>
            </w:rPr>
          </w:pPr>
        </w:p>
        <w:p>
          <w:pPr>
            <w:tabs>
              <w:tab w:val="left" w:pos="567"/>
            </w:tabs>
            <w:suppressAutoHyphens/>
            <w:jc w:val="center"/>
            <w:rPr>
              <w:b/>
              <w:szCs w:val="24"/>
              <w:lang w:eastAsia="ar-SA"/>
            </w:rPr>
          </w:pPr>
          <w:sdt>
            <w:sdtPr>
              <w:alias w:val="Pavadinimas"/>
              <w:tag w:val="title_af4013023dd54c85bb0631d308723c70"/>
              <w:lock w:val="sdtLocked"/>
              <w:richText/>
            </w:sdtPr>
            <w:sdtContent>
              <w:r>
                <w:rPr>
                  <w:b/>
                  <w:szCs w:val="24"/>
                  <w:lang w:eastAsia="ar-SA"/>
                </w:rPr>
                <w:t>(Informacijos apie įstaigos, siekiančios teikti specializuotą kompleksinę pagalbą, funkcijas pateikimo forma)</w:t>
              </w:r>
            </w:sdtContent>
          </w:sdt>
        </w:p>
        <w:p>
          <w:pPr>
            <w:suppressAutoHyphens/>
            <w:jc w:val="center"/>
            <w:rPr>
              <w:b/>
              <w:szCs w:val="24"/>
              <w:lang w:eastAsia="ar-SA"/>
            </w:rPr>
          </w:pPr>
        </w:p>
        <w:sdt>
          <w:sdtPr>
            <w:alias w:val="lentele"/>
            <w:tag w:val="part_bc4cf82e202a45c49bab3744cd5a4cc4"/>
            <w:lock w:val="sdtLocked"/>
            <w:richText/>
          </w:sdtPr>
          <w:sdtContent>
            <w:p>
              <w:pPr>
                <w:suppressAutoHyphens/>
                <w:jc w:val="center"/>
                <w:rPr>
                  <w:b/>
                  <w:szCs w:val="24"/>
                  <w:lang w:eastAsia="ar-SA"/>
                </w:rPr>
              </w:pPr>
              <w:sdt>
                <w:sdtPr>
                  <w:alias w:val="Pavadinimas"/>
                  <w:tag w:val="title_bc4cf82e202a45c49bab3744cd5a4cc4"/>
                  <w:lock w:val="sdtLocked"/>
                  <w:richText/>
                </w:sdtPr>
                <w:sdtContent>
                  <w:r>
                    <w:rPr>
                      <w:b/>
                      <w:szCs w:val="24"/>
                      <w:lang w:eastAsia="ar-SA"/>
                    </w:rPr>
                    <w:t>INFORMACIJA APIE ĮSTAIGOS, SIEKIANČIOS TEIKTI SPECIALIZUOTĄ KOMPLEKSINĘ PAGALBĄ, FUNKCIJAS</w:t>
                  </w:r>
                </w:sdtContent>
              </w:sdt>
            </w:p>
            <w:p>
              <w:pPr>
                <w:suppressAutoHyphens/>
                <w:jc w:val="center"/>
                <w:rPr>
                  <w:szCs w:val="24"/>
                  <w:lang w:eastAsia="ar-SA"/>
                </w:rPr>
              </w:pPr>
            </w:p>
            <w:tbl>
              <w:tblPr>
                <w:tblW w:w="14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3"/>
                <w:gridCol w:w="4513"/>
                <w:gridCol w:w="2149"/>
                <w:gridCol w:w="1702"/>
                <w:gridCol w:w="1842"/>
                <w:gridCol w:w="1844"/>
                <w:gridCol w:w="1701"/>
              </w:tblGrid>
              <w:tr>
                <w:trPr>
                  <w:trHeight w:val="1592"/>
                  <w:jc w:val="center"/>
                </w:trPr>
                <w:tc>
                  <w:tcPr>
                    <w:tcW w:w="883" w:type="dxa"/>
                    <w:vAlign w:val="center"/>
                  </w:tcPr>
                  <w:p>
                    <w:pPr>
                      <w:suppressAutoHyphens/>
                      <w:jc w:val="center"/>
                      <w:rPr>
                        <w:b/>
                        <w:szCs w:val="24"/>
                        <w:lang w:eastAsia="ar-SA"/>
                      </w:rPr>
                    </w:pPr>
                    <w:r>
                      <w:rPr>
                        <w:b/>
                        <w:szCs w:val="24"/>
                        <w:lang w:eastAsia="ar-SA"/>
                      </w:rPr>
                      <w:t>Eil. Nr.</w:t>
                    </w:r>
                  </w:p>
                </w:tc>
                <w:tc>
                  <w:tcPr>
                    <w:tcW w:w="4513" w:type="dxa"/>
                    <w:vAlign w:val="center"/>
                  </w:tcPr>
                  <w:p>
                    <w:pPr>
                      <w:suppressAutoHyphens/>
                      <w:jc w:val="center"/>
                      <w:rPr>
                        <w:b/>
                        <w:szCs w:val="24"/>
                        <w:lang w:eastAsia="ar-SA"/>
                      </w:rPr>
                    </w:pPr>
                    <w:r>
                      <w:rPr>
                        <w:b/>
                        <w:szCs w:val="24"/>
                        <w:lang w:eastAsia="ar-SA"/>
                      </w:rPr>
                      <w:t>Lietuvos Respublikos apsaugos nuo smurto artimoje aplinkoje įstatymo (toliau – Įstatymas) 14 straipsnio 4 dalyje nurodytos specializuotos kompleksinės pagalbos centrų vykdomos funkcijos</w:t>
                    </w:r>
                  </w:p>
                </w:tc>
                <w:tc>
                  <w:tcPr>
                    <w:tcW w:w="2149" w:type="dxa"/>
                    <w:vAlign w:val="center"/>
                  </w:tcPr>
                  <w:p>
                    <w:pPr>
                      <w:suppressAutoHyphens/>
                      <w:jc w:val="center"/>
                      <w:rPr>
                        <w:szCs w:val="24"/>
                        <w:lang w:eastAsia="ar-SA"/>
                      </w:rPr>
                    </w:pPr>
                    <w:r>
                      <w:rPr>
                        <w:b/>
                        <w:szCs w:val="24"/>
                        <w:lang w:eastAsia="ar-SA"/>
                      </w:rPr>
                      <w:t xml:space="preserve">Įstaigoje, siekiančioje teikti specializuotą kompleksinę pagalbą, teikiamos pagalbos pavadinimas </w:t>
                    </w:r>
                    <w:r>
                      <w:rPr>
                        <w:szCs w:val="24"/>
                        <w:lang w:eastAsia="ar-SA"/>
                      </w:rPr>
                      <w:t>(pagal Įstatymo 14 straipsnio 4 dalyje nurodytas funkcijas)</w:t>
                    </w:r>
                  </w:p>
                </w:tc>
                <w:tc>
                  <w:tcPr>
                    <w:tcW w:w="1702" w:type="dxa"/>
                    <w:vAlign w:val="center"/>
                  </w:tcPr>
                  <w:p>
                    <w:pPr>
                      <w:suppressAutoHyphens/>
                      <w:jc w:val="center"/>
                      <w:rPr>
                        <w:b/>
                        <w:szCs w:val="24"/>
                        <w:lang w:eastAsia="ar-SA"/>
                      </w:rPr>
                    </w:pPr>
                    <w:r>
                      <w:rPr>
                        <w:b/>
                        <w:szCs w:val="24"/>
                        <w:lang w:eastAsia="ar-SA"/>
                      </w:rPr>
                      <w:t xml:space="preserve">Aprašymas </w:t>
                    </w:r>
                  </w:p>
                </w:tc>
                <w:tc>
                  <w:tcPr>
                    <w:tcW w:w="1842" w:type="dxa"/>
                    <w:vAlign w:val="center"/>
                  </w:tcPr>
                  <w:p>
                    <w:pPr>
                      <w:suppressAutoHyphens/>
                      <w:jc w:val="center"/>
                      <w:rPr>
                        <w:b/>
                        <w:szCs w:val="24"/>
                        <w:lang w:eastAsia="ar-SA"/>
                      </w:rPr>
                    </w:pPr>
                    <w:r>
                      <w:rPr>
                        <w:b/>
                        <w:szCs w:val="24"/>
                        <w:lang w:eastAsia="ar-SA"/>
                      </w:rPr>
                      <w:t>Pagalbos prieinamumas asmenų su negalia tikslinei grupei</w:t>
                    </w:r>
                  </w:p>
                </w:tc>
                <w:tc>
                  <w:tcPr>
                    <w:tcW w:w="1844" w:type="dxa"/>
                    <w:vAlign w:val="center"/>
                  </w:tcPr>
                  <w:p>
                    <w:pPr>
                      <w:suppressAutoHyphens/>
                      <w:jc w:val="center"/>
                      <w:rPr>
                        <w:b/>
                        <w:szCs w:val="24"/>
                        <w:lang w:eastAsia="ar-SA"/>
                      </w:rPr>
                    </w:pPr>
                    <w:r>
                      <w:rPr>
                        <w:b/>
                        <w:szCs w:val="24"/>
                        <w:lang w:eastAsia="ar-SA"/>
                      </w:rPr>
                      <w:t xml:space="preserve">Žmogiškieji ištekliai (specialistų, teiksiančių pagalbą, pareigybių pavadinimai ir jų skaičius </w:t>
                    </w:r>
                    <w:r>
                      <w:rPr>
                        <w:szCs w:val="24"/>
                        <w:lang w:eastAsia="ar-SA"/>
                      </w:rPr>
                      <w:t>(iš pridėto pagalbos aprašymo)</w:t>
                    </w:r>
                  </w:p>
                </w:tc>
                <w:tc>
                  <w:tcPr>
                    <w:tcW w:w="1701" w:type="dxa"/>
                    <w:vAlign w:val="center"/>
                  </w:tcPr>
                  <w:p>
                    <w:pPr>
                      <w:suppressAutoHyphens/>
                      <w:jc w:val="center"/>
                      <w:rPr>
                        <w:b/>
                        <w:szCs w:val="24"/>
                        <w:lang w:eastAsia="ar-SA"/>
                      </w:rPr>
                    </w:pPr>
                    <w:r>
                      <w:rPr>
                        <w:b/>
                        <w:szCs w:val="24"/>
                        <w:lang w:eastAsia="ar-SA"/>
                      </w:rPr>
                      <w:t xml:space="preserve">Materialiniai ištekliai (priemonės pagalbai teikti ir jų kiekis </w:t>
                    </w:r>
                    <w:r>
                      <w:rPr>
                        <w:szCs w:val="24"/>
                        <w:lang w:eastAsia="ar-SA"/>
                      </w:rPr>
                      <w:t>(iš pridėto pagalbos aprašymo)</w:t>
                    </w:r>
                  </w:p>
                </w:tc>
              </w:tr>
              <w:tr>
                <w:trPr>
                  <w:trHeight w:val="770"/>
                  <w:jc w:val="center"/>
                </w:trPr>
                <w:tc>
                  <w:tcPr>
                    <w:tcW w:w="883" w:type="dxa"/>
                  </w:tcPr>
                  <w:p>
                    <w:pPr>
                      <w:suppressAutoHyphens/>
                      <w:ind w:left="720" w:hanging="360"/>
                      <w:rPr>
                        <w:szCs w:val="24"/>
                        <w:lang w:eastAsia="ar-SA"/>
                      </w:rPr>
                    </w:pPr>
                    <w:r>
                      <w:rPr>
                        <w:szCs w:val="24"/>
                        <w:lang w:eastAsia="ar-SA"/>
                      </w:rPr>
                      <w:t>1.</w:t>
                      <w:tab/>
                    </w:r>
                  </w:p>
                </w:tc>
                <w:tc>
                  <w:tcPr>
                    <w:tcW w:w="4513" w:type="dxa"/>
                  </w:tcPr>
                  <w:p>
                    <w:pPr>
                      <w:suppressAutoHyphens/>
                      <w:jc w:val="both"/>
                      <w:rPr>
                        <w:szCs w:val="24"/>
                        <w:lang w:eastAsia="ar-SA"/>
                      </w:rPr>
                    </w:pPr>
                    <w:r>
                      <w:rPr>
                        <w:color w:val="000000"/>
                      </w:rPr>
                      <w:t>įvertina smurto artimoje aplinkoje pavojų patiriančio asmens ar smurtą patyrusio asmens individualius ir specialiuosius poreikius, įskaitant dėl smurto artimoje aplinkoje atsiradusius poreikius, kartu su smurto artimoje aplinkoje pavojų patiriančiu asmeniu ar smurtą patyrusiu asmeniu sudaro pagalbos priemonių planą ir organizuoja specializuotos kompleksinės pagalbos teikimą</w:t>
                    </w:r>
                  </w:p>
                </w:tc>
                <w:tc>
                  <w:tcPr>
                    <w:tcW w:w="2149" w:type="dxa"/>
                  </w:tcPr>
                  <w:p>
                    <w:pPr>
                      <w:suppressAutoHyphens/>
                      <w:jc w:val="both"/>
                      <w:rPr>
                        <w:szCs w:val="24"/>
                        <w:lang w:eastAsia="ar-SA"/>
                      </w:rPr>
                    </w:pPr>
                  </w:p>
                </w:tc>
                <w:tc>
                  <w:tcPr>
                    <w:tcW w:w="1702" w:type="dxa"/>
                  </w:tcPr>
                  <w:p>
                    <w:pPr>
                      <w:suppressAutoHyphens/>
                      <w:jc w:val="both"/>
                      <w:rPr>
                        <w:color w:val="A6A6A6"/>
                        <w:sz w:val="20"/>
                        <w:szCs w:val="24"/>
                        <w:lang w:eastAsia="ar-SA"/>
                      </w:rPr>
                    </w:pPr>
                  </w:p>
                </w:tc>
                <w:tc>
                  <w:tcPr>
                    <w:tcW w:w="1842" w:type="dxa"/>
                  </w:tcPr>
                  <w:p>
                    <w:pPr>
                      <w:suppressAutoHyphens/>
                      <w:jc w:val="both"/>
                      <w:rPr>
                        <w:szCs w:val="24"/>
                        <w:lang w:eastAsia="ar-SA"/>
                      </w:rPr>
                    </w:pPr>
                  </w:p>
                </w:tc>
                <w:tc>
                  <w:tcPr>
                    <w:tcW w:w="1844" w:type="dxa"/>
                  </w:tcPr>
                  <w:p>
                    <w:pPr>
                      <w:suppressAutoHyphens/>
                      <w:jc w:val="both"/>
                      <w:rPr>
                        <w:szCs w:val="24"/>
                        <w:lang w:eastAsia="ar-SA"/>
                      </w:rPr>
                    </w:pPr>
                  </w:p>
                </w:tc>
                <w:tc>
                  <w:tcPr>
                    <w:tcW w:w="1701" w:type="dxa"/>
                  </w:tcPr>
                  <w:p>
                    <w:pPr>
                      <w:suppressAutoHyphens/>
                      <w:jc w:val="both"/>
                      <w:rPr>
                        <w:szCs w:val="24"/>
                        <w:lang w:eastAsia="ar-SA"/>
                      </w:rPr>
                    </w:pPr>
                  </w:p>
                </w:tc>
              </w:tr>
              <w:tr>
                <w:trPr>
                  <w:trHeight w:val="781"/>
                  <w:jc w:val="center"/>
                </w:trPr>
                <w:tc>
                  <w:tcPr>
                    <w:tcW w:w="883" w:type="dxa"/>
                  </w:tcPr>
                  <w:p>
                    <w:pPr>
                      <w:suppressAutoHyphens/>
                      <w:ind w:left="720" w:hanging="360"/>
                      <w:rPr>
                        <w:szCs w:val="24"/>
                        <w:lang w:eastAsia="ar-SA"/>
                      </w:rPr>
                    </w:pPr>
                    <w:r>
                      <w:rPr>
                        <w:szCs w:val="24"/>
                        <w:lang w:eastAsia="ar-SA"/>
                      </w:rPr>
                      <w:t>2.</w:t>
                      <w:tab/>
                    </w:r>
                  </w:p>
                </w:tc>
                <w:tc>
                  <w:tcPr>
                    <w:tcW w:w="4513" w:type="dxa"/>
                  </w:tcPr>
                  <w:p>
                    <w:pPr>
                      <w:suppressAutoHyphens/>
                      <w:jc w:val="both"/>
                      <w:rPr>
                        <w:szCs w:val="24"/>
                        <w:lang w:eastAsia="ar-SA"/>
                      </w:rPr>
                    </w:pPr>
                    <w:r>
                      <w:rPr>
                        <w:color w:val="000000"/>
                      </w:rPr>
                      <w:t>teikia ekspertinį vertinimą dėl smurto artimoje aplinkoje pavojaus ir smurto artimoje aplinkoje atvejų</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61"/>
                  <w:jc w:val="center"/>
                </w:trPr>
                <w:tc>
                  <w:tcPr>
                    <w:tcW w:w="883" w:type="dxa"/>
                  </w:tcPr>
                  <w:p>
                    <w:pPr>
                      <w:suppressAutoHyphens/>
                      <w:ind w:left="720" w:hanging="360"/>
                      <w:rPr>
                        <w:szCs w:val="24"/>
                        <w:lang w:eastAsia="ar-SA"/>
                      </w:rPr>
                    </w:pPr>
                    <w:r>
                      <w:rPr>
                        <w:szCs w:val="24"/>
                        <w:lang w:eastAsia="ar-SA"/>
                      </w:rPr>
                      <w:t>3.</w:t>
                      <w:tab/>
                    </w:r>
                  </w:p>
                </w:tc>
                <w:tc>
                  <w:tcPr>
                    <w:tcW w:w="4513" w:type="dxa"/>
                  </w:tcPr>
                  <w:p>
                    <w:pPr>
                      <w:suppressAutoHyphens/>
                      <w:jc w:val="both"/>
                      <w:rPr>
                        <w:szCs w:val="24"/>
                        <w:lang w:eastAsia="ar-SA"/>
                      </w:rPr>
                    </w:pPr>
                    <w:r>
                      <w:rPr>
                        <w:color w:val="000000"/>
                      </w:rPr>
                      <w:t>teikia informaciją, konsultuoja su smurtu artimoje aplinkoje susijusiais klausimais ir (ar) padeda šiuos klausimus spręsti</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61"/>
                  <w:jc w:val="center"/>
                </w:trPr>
                <w:tc>
                  <w:tcPr>
                    <w:tcW w:w="883" w:type="dxa"/>
                  </w:tcPr>
                  <w:p>
                    <w:pPr>
                      <w:suppressAutoHyphens/>
                      <w:ind w:left="720" w:hanging="360"/>
                      <w:rPr>
                        <w:szCs w:val="24"/>
                        <w:lang w:eastAsia="ar-SA"/>
                      </w:rPr>
                    </w:pPr>
                    <w:r>
                      <w:rPr>
                        <w:szCs w:val="24"/>
                        <w:lang w:eastAsia="ar-SA"/>
                      </w:rPr>
                      <w:t>4.</w:t>
                      <w:tab/>
                    </w:r>
                  </w:p>
                </w:tc>
                <w:tc>
                  <w:tcPr>
                    <w:tcW w:w="4513" w:type="dxa"/>
                  </w:tcPr>
                  <w:p>
                    <w:pPr>
                      <w:suppressAutoHyphens/>
                      <w:jc w:val="both"/>
                      <w:rPr>
                        <w:szCs w:val="24"/>
                        <w:lang w:eastAsia="ar-SA"/>
                      </w:rPr>
                    </w:pPr>
                    <w:r>
                      <w:rPr>
                        <w:color w:val="000000"/>
                      </w:rPr>
                      <w:t>teikia specializuotą psichologinę pagalbą</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5.</w:t>
                      <w:tab/>
                    </w:r>
                  </w:p>
                </w:tc>
                <w:tc>
                  <w:tcPr>
                    <w:tcW w:w="4513" w:type="dxa"/>
                  </w:tcPr>
                  <w:p>
                    <w:pPr>
                      <w:suppressAutoHyphens/>
                      <w:jc w:val="both"/>
                      <w:rPr>
                        <w:color w:val="000000"/>
                      </w:rPr>
                    </w:pPr>
                    <w:r>
                      <w:rPr>
                        <w:color w:val="000000"/>
                      </w:rPr>
                      <w:t>teikia specializuotą teisinę pagalbą</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6.</w:t>
                      <w:tab/>
                    </w:r>
                  </w:p>
                </w:tc>
                <w:tc>
                  <w:tcPr>
                    <w:tcW w:w="4513" w:type="dxa"/>
                  </w:tcPr>
                  <w:p>
                    <w:pPr>
                      <w:suppressAutoHyphens/>
                      <w:jc w:val="both"/>
                      <w:rPr>
                        <w:szCs w:val="24"/>
                        <w:lang w:eastAsia="ar-SA"/>
                      </w:rPr>
                    </w:pPr>
                    <w:r>
                      <w:rPr>
                        <w:color w:val="000000"/>
                      </w:rPr>
                      <w:t>teikia informaciją apie smurto artimoje aplinkoje pavojų patiriančių asmenų ar smurtą patyrusių asmenų teises ir institucijas, kurios gali jas užtikrinti, o kai smurto artimoje aplinkoje pavojų patiriantis asmuo yra vaikas arba vaikas tapo smurto artimoje aplinkoje liudininku ar gyvena aplinkoje, kurioje buvo smurtauta, jei apie šį atvejį nebuvo informuota policija, – apie Valstybės vaiko teisių apsaugos ir įvaikinimo tarnybą prie Socialinės apsaugos ir darbo ministerijos (toliau – Valstybės vaiko teisių apsaugos ir įvaikinimo tarnyba) ar jos įgaliotus teritorinius skyrius, nurodydamas šių juridinių asmenų pavadinimus, veiklos vykdymo vietos adresus, telefono ryšio numerius, elektroninio pašto adresus</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7.</w:t>
                      <w:tab/>
                    </w:r>
                  </w:p>
                </w:tc>
                <w:tc>
                  <w:tcPr>
                    <w:tcW w:w="4513" w:type="dxa"/>
                  </w:tcPr>
                  <w:p>
                    <w:pPr>
                      <w:suppressAutoHyphens/>
                      <w:jc w:val="both"/>
                      <w:rPr>
                        <w:color w:val="000000"/>
                        <w:szCs w:val="24"/>
                        <w:lang w:eastAsia="ar-SA"/>
                      </w:rPr>
                    </w:pPr>
                    <w:r>
                      <w:rPr>
                        <w:color w:val="000000"/>
                      </w:rPr>
                      <w:t>kai smurto artimoje aplinkoje pavojų patiriantis asmuo ar smurtą patyręs asmuo yra vaikas ir jis pats, jo atstovai pagal įstatymą kreipiasi tiesiogiai į specializuotos kompleksinės pagalbos centrą, šis nedelsdamas, ne vėliau kaip kitą darbo dieną po kreipimosi dienos, raštu arba elektroninių ryšių priemonėmis praneša apie galimą vaiko teisių pažeidimą (nurodomas smurto artimoje aplinkoje pavojų patiriančio ar smurtą patyrusio vaiko vardas, pavardė, gimimo data, vaiko buvimo vietos adresas, jei tuo metu žinomas, pateikiamas trumpas įvykio apibūdinimas) policijai ir Valstybės vaiko teisių apsaugos ir įvaikinimo tarnybai ar jos įgaliotiems teritoriniams skyriams</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8.</w:t>
                      <w:tab/>
                    </w:r>
                  </w:p>
                </w:tc>
                <w:tc>
                  <w:tcPr>
                    <w:tcW w:w="4513" w:type="dxa"/>
                  </w:tcPr>
                  <w:p>
                    <w:pPr>
                      <w:suppressAutoHyphens/>
                      <w:jc w:val="both"/>
                      <w:rPr>
                        <w:color w:val="000000"/>
                        <w:szCs w:val="24"/>
                        <w:lang w:eastAsia="ar-SA"/>
                      </w:rPr>
                    </w:pPr>
                    <w:r>
                      <w:rPr>
                        <w:color w:val="000000"/>
                      </w:rPr>
                      <w:t>teikia informaciją apie socialinių paslaugų įstaigas, nurodydamas šių juridinių asmenų pavadinimus, teikiamų paslaugų pobūdį, veiklos vykdymo vietos adresus, telefono ryšio numerius, elektroninio pašto adresus, ir padeda susisiekti su socialinių paslaugų įstaigomis</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9.</w:t>
                      <w:tab/>
                    </w:r>
                  </w:p>
                </w:tc>
                <w:tc>
                  <w:tcPr>
                    <w:tcW w:w="4513" w:type="dxa"/>
                  </w:tcPr>
                  <w:p>
                    <w:pPr>
                      <w:suppressAutoHyphens/>
                      <w:jc w:val="both"/>
                      <w:rPr>
                        <w:color w:val="000000"/>
                        <w:szCs w:val="24"/>
                        <w:lang w:eastAsia="ar-SA"/>
                      </w:rPr>
                    </w:pPr>
                    <w:r>
                      <w:rPr>
                        <w:color w:val="000000"/>
                      </w:rPr>
                      <w:t>teikia informaciją apie asmens sveikatos priežiūros įstaigas, nurodydamas šių juridinių asmenų pavadinimus, teikiamų paslaugų pobūdį, veiklos vykdymo vietos adresus, telefono ryšio numerius, elektroninio pašto adresus, ir padeda su jomis susisiekti</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10.</w:t>
                      <w:tab/>
                    </w:r>
                  </w:p>
                </w:tc>
                <w:tc>
                  <w:tcPr>
                    <w:tcW w:w="4513" w:type="dxa"/>
                  </w:tcPr>
                  <w:p>
                    <w:pPr>
                      <w:suppressAutoHyphens/>
                      <w:jc w:val="both"/>
                      <w:rPr>
                        <w:color w:val="000000"/>
                        <w:szCs w:val="24"/>
                        <w:lang w:eastAsia="ar-SA"/>
                      </w:rPr>
                    </w:pPr>
                    <w:r>
                      <w:rPr>
                        <w:color w:val="000000"/>
                      </w:rPr>
                      <w:t>smurto artimoje aplinkoje pavojų patiriančio asmens ar smurtą patyrusio asmens prašymu organizuoja jo palydėjimą į kitas įstaigas ir (ar) organizacijas</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11.</w:t>
                      <w:tab/>
                    </w:r>
                  </w:p>
                </w:tc>
                <w:tc>
                  <w:tcPr>
                    <w:tcW w:w="4513" w:type="dxa"/>
                  </w:tcPr>
                  <w:p>
                    <w:pPr>
                      <w:suppressAutoHyphens/>
                      <w:jc w:val="both"/>
                      <w:rPr>
                        <w:color w:val="000000"/>
                        <w:szCs w:val="24"/>
                        <w:lang w:eastAsia="ar-SA"/>
                      </w:rPr>
                    </w:pPr>
                    <w:r>
                      <w:rPr>
                        <w:color w:val="000000"/>
                      </w:rPr>
                      <w:t>smurtą patyrusius asmenis, kurie tiesiogiai kreipiasi į specializuotos kompleksinės pagalbos centrą, informuoja apie galimybę paduoti kompetentingai institucijai skundą dėl smurto artimoje aplinkoje, nuo kurio nukentėjo, nurodo kompetentingos institucijos pavadinimą, veiklos vykdymo vietos adresą, telefono ryšio numerį, elektroninio pašto adresą</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12.</w:t>
                    </w:r>
                  </w:p>
                </w:tc>
                <w:tc>
                  <w:tcPr>
                    <w:tcW w:w="4513" w:type="dxa"/>
                  </w:tcPr>
                  <w:p>
                    <w:pPr>
                      <w:suppressAutoHyphens/>
                      <w:jc w:val="both"/>
                      <w:rPr>
                        <w:color w:val="000000"/>
                        <w:szCs w:val="24"/>
                        <w:lang w:eastAsia="ar-SA"/>
                      </w:rPr>
                    </w:pPr>
                    <w:r>
                      <w:rPr>
                        <w:color w:val="000000"/>
                      </w:rPr>
                      <w:t>teikia smurto artimoje aplinkoje pavojų patiriantiems asmenims ar smurtą patyrusiems asmenims, kurie tiesiogiai kreipiasi į specializuotos kompleksinės pagalbos centrą, informaciją apie ikiteisminio tyrimo įstaigas, prokuratūrą ar teismą (nurodomas juridinio asmens pavadinimas, veiklos vykdymo vietos adresas, telefono ryšio numeris, elektroninio pašto adresas), į kuriuos gali kreiptis smurto artimoje aplinkoje pavojų patiriantis asmuo ar smurtą patyręs asmuo dėl nusikalstamos veikos ir (ar) kitų su baudžiamuoju procesu susijusių klausimų</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13.</w:t>
                    </w:r>
                  </w:p>
                </w:tc>
                <w:tc>
                  <w:tcPr>
                    <w:tcW w:w="4513" w:type="dxa"/>
                  </w:tcPr>
                  <w:p>
                    <w:pPr>
                      <w:suppressAutoHyphens/>
                      <w:jc w:val="both"/>
                      <w:rPr>
                        <w:color w:val="000000"/>
                      </w:rPr>
                    </w:pPr>
                    <w:r>
                      <w:rPr>
                        <w:color w:val="000000"/>
                      </w:rPr>
                      <w:t xml:space="preserve">teikia pagalbą smurto artimoje aplinkoje pavojų patiriantiems asmenims ar smurtą patyrusiems asmenims, siekiantiems įsitraukti į darbo rinką </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14.</w:t>
                    </w:r>
                  </w:p>
                </w:tc>
                <w:tc>
                  <w:tcPr>
                    <w:tcW w:w="4513" w:type="dxa"/>
                  </w:tcPr>
                  <w:p>
                    <w:pPr>
                      <w:suppressAutoHyphens/>
                      <w:jc w:val="both"/>
                      <w:rPr>
                        <w:color w:val="000000"/>
                      </w:rPr>
                    </w:pPr>
                    <w:r>
                      <w:rPr>
                        <w:color w:val="000000"/>
                      </w:rPr>
                      <w:t>smurto artimoje aplinkoje pavojų patiriančio asmens ar smurtą patyrusio asmens prašymu rengia informaciją policijai, Valstybės vaiko teisių apsaugos ir įvaikinimo tarnybai ar jos įgaliotiems teritoriniams skyriams ir (ar) kitoms suinteresuotoms institucijoms apie specializuotos kompleksinės pagalbos teikimą smurto artimoje aplinkoje pavojų patiriantiems asmenims ar smurtą patyrusiems asmenims (nurodomas asmens vardas, pavardė, gimimo data, suteiktos pagalbos ir jų suteikimo data)</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r>
                <w:trPr>
                  <w:trHeight w:val="271"/>
                  <w:jc w:val="center"/>
                </w:trPr>
                <w:tc>
                  <w:tcPr>
                    <w:tcW w:w="883" w:type="dxa"/>
                  </w:tcPr>
                  <w:p>
                    <w:pPr>
                      <w:suppressAutoHyphens/>
                      <w:ind w:left="720" w:hanging="360"/>
                      <w:rPr>
                        <w:szCs w:val="24"/>
                        <w:lang w:eastAsia="ar-SA"/>
                      </w:rPr>
                    </w:pPr>
                    <w:r>
                      <w:rPr>
                        <w:szCs w:val="24"/>
                        <w:lang w:eastAsia="ar-SA"/>
                      </w:rPr>
                      <w:t>15.</w:t>
                    </w:r>
                  </w:p>
                </w:tc>
                <w:tc>
                  <w:tcPr>
                    <w:tcW w:w="4513" w:type="dxa"/>
                  </w:tcPr>
                  <w:p>
                    <w:pPr>
                      <w:suppressAutoHyphens/>
                      <w:jc w:val="both"/>
                      <w:rPr>
                        <w:color w:val="000000"/>
                      </w:rPr>
                    </w:pPr>
                    <w:r>
                      <w:rPr>
                        <w:color w:val="000000"/>
                      </w:rPr>
                      <w:t>keičiasi su Valstybės vaiko teisių apsaugos ir įvaikinimo tarnyba ar jos įgaliotais teritoriniais skyriais, socialinių paslaugų įstaigomis informacija apie specializuotos kompleksinės pagalbos teikimą smurto artimoje aplinkoje pavojų patiriantiems asmenims ar smurtą patyrusiems asmenims ir (ar) kitos pagalbos teikimą ar inicijavimą (nurodomas asmens, kuriam teikiama specializuota kompleksinė pagalba, vardas, pavardė, gimimo data, suteikta pagalba ir pagalbos suteikimo data), jeigu kartu su smurto artimoje aplinkoje pavojų patiriančiu asmeniu ar smurtą patyrusiu asmeniu gyvena vaikas ir (ar) artimoje aplinkoje pavojų patiriantis asmuo ar smurtą patyręs asmuo yra vaikas</w:t>
                    </w:r>
                    <w:r>
                      <w:rPr>
                        <w:color w:val="FF0000"/>
                      </w:rPr>
                      <w:t>.</w:t>
                    </w:r>
                  </w:p>
                </w:tc>
                <w:tc>
                  <w:tcPr>
                    <w:tcW w:w="2149" w:type="dxa"/>
                  </w:tcPr>
                  <w:p/>
                </w:tc>
                <w:tc>
                  <w:tcPr>
                    <w:tcW w:w="1702" w:type="dxa"/>
                  </w:tcPr>
                  <w:p>
                    <w:pPr>
                      <w:suppressAutoHyphens/>
                      <w:rPr>
                        <w:szCs w:val="24"/>
                        <w:lang w:eastAsia="ar-SA"/>
                      </w:rPr>
                    </w:pPr>
                  </w:p>
                </w:tc>
                <w:tc>
                  <w:tcPr>
                    <w:tcW w:w="1842" w:type="dxa"/>
                  </w:tcPr>
                  <w:p>
                    <w:pPr>
                      <w:suppressAutoHyphens/>
                      <w:rPr>
                        <w:szCs w:val="24"/>
                        <w:lang w:eastAsia="ar-SA"/>
                      </w:rPr>
                    </w:pPr>
                  </w:p>
                </w:tc>
                <w:tc>
                  <w:tcPr>
                    <w:tcW w:w="1844" w:type="dxa"/>
                  </w:tcPr>
                  <w:p>
                    <w:pPr>
                      <w:suppressAutoHyphens/>
                      <w:rPr>
                        <w:szCs w:val="24"/>
                        <w:lang w:eastAsia="ar-SA"/>
                      </w:rPr>
                    </w:pPr>
                  </w:p>
                </w:tc>
                <w:tc>
                  <w:tcPr>
                    <w:tcW w:w="1701" w:type="dxa"/>
                  </w:tcPr>
                  <w:p>
                    <w:pPr>
                      <w:suppressAutoHyphens/>
                      <w:rPr>
                        <w:szCs w:val="24"/>
                        <w:lang w:eastAsia="ar-SA"/>
                      </w:rPr>
                    </w:pPr>
                  </w:p>
                </w:tc>
              </w:tr>
            </w:tbl>
            <w:p>
              <w:pPr>
                <w:suppressAutoHyphens/>
                <w:rPr>
                  <w:szCs w:val="24"/>
                  <w:lang w:eastAsia="ar-SA"/>
                </w:rPr>
              </w:pPr>
            </w:p>
          </w:sdtContent>
        </w:sdt>
        <w:sdt>
          <w:sdtPr>
            <w:alias w:val="skirsnis"/>
            <w:tag w:val="part_0ba1a5ac7516441090e857086fffa929"/>
            <w:lock w:val="sdtLocked"/>
            <w:richText/>
          </w:sdtPr>
          <w:sdtContent>
            <w:p>
              <w:pPr>
                <w:suppressAutoHyphens/>
                <w:jc w:val="both"/>
                <w:rPr>
                  <w:b/>
                  <w:szCs w:val="24"/>
                  <w:lang w:eastAsia="ar-SA"/>
                </w:rPr>
              </w:pPr>
              <w:sdt>
                <w:sdtPr>
                  <w:alias w:val="Pavadinimas"/>
                  <w:tag w:val="title_0ba1a5ac7516441090e857086fffa929"/>
                  <w:lock w:val="sdtLocked"/>
                  <w:richText/>
                </w:sdtPr>
                <w:sdtContent>
                  <w:r>
                    <w:rPr>
                      <w:b/>
                      <w:szCs w:val="24"/>
                      <w:lang w:eastAsia="ar-SA"/>
                    </w:rPr>
                    <w:t>Pastabos:</w:t>
                  </w:r>
                </w:sdtContent>
              </w:sdt>
            </w:p>
            <w:sdt>
              <w:sdtPr>
                <w:alias w:val="3 pr. 1 p."/>
                <w:tag w:val="part_3bff6427dc14488b88a192f0880624d9"/>
                <w:lock w:val="sdtLocked"/>
                <w:richText/>
              </w:sdtPr>
              <w:sdtContent>
                <w:p>
                  <w:pPr>
                    <w:suppressAutoHyphens/>
                    <w:jc w:val="both"/>
                    <w:rPr>
                      <w:szCs w:val="24"/>
                      <w:lang w:eastAsia="ar-SA"/>
                    </w:rPr>
                  </w:pPr>
                  <w:sdt>
                    <w:sdtPr>
                      <w:alias w:val="Numeris"/>
                      <w:tag w:val="nr_3bff6427dc14488b88a192f0880624d9"/>
                      <w:lock w:val="sdtLocked"/>
                      <w:richText/>
                    </w:sdtPr>
                    <w:sdtContent>
                      <w:r>
                        <w:rPr>
                          <w:szCs w:val="24"/>
                          <w:lang w:eastAsia="ar-SA"/>
                        </w:rPr>
                        <w:t>1</w:t>
                      </w:r>
                    </w:sdtContent>
                  </w:sdt>
                  <w:r>
                    <w:rPr>
                      <w:szCs w:val="24"/>
                      <w:lang w:eastAsia="ar-SA"/>
                    </w:rPr>
                    <w:t xml:space="preserve">. </w:t>
                  </w:r>
                  <w:r>
                    <w:rPr>
                      <w:lang w:eastAsia="ar-SA"/>
                    </w:rPr>
                    <w:t>Įstaiga, siekianti teikti specializuotą kompleksinę pagalbą, turi užtikrinti, kad būtų vykdomos Įstatymo 14 straipsnio 4 dalyje nurodytos funkcijos. Viena pagalba gali apimti kelių funkcijų vykdymą.</w:t>
                  </w:r>
                </w:p>
              </w:sdtContent>
            </w:sdt>
            <w:sdt>
              <w:sdtPr>
                <w:alias w:val="3 pr. 2 p."/>
                <w:tag w:val="part_76e973ac03f24d7da93da9160e837c83"/>
                <w:lock w:val="sdtLocked"/>
                <w:richText/>
              </w:sdtPr>
              <w:sdtContent>
                <w:p>
                  <w:pPr>
                    <w:suppressAutoHyphens/>
                    <w:jc w:val="both"/>
                    <w:rPr>
                      <w:szCs w:val="24"/>
                      <w:lang w:eastAsia="ar-SA"/>
                    </w:rPr>
                  </w:pPr>
                  <w:sdt>
                    <w:sdtPr>
                      <w:alias w:val="Numeris"/>
                      <w:tag w:val="nr_76e973ac03f24d7da93da9160e837c83"/>
                      <w:lock w:val="sdtLocked"/>
                      <w:richText/>
                    </w:sdtPr>
                    <w:sdtContent>
                      <w:r>
                        <w:rPr>
                          <w:lang w:eastAsia="ar-SA"/>
                        </w:rPr>
                        <w:t>2</w:t>
                      </w:r>
                    </w:sdtContent>
                  </w:sdt>
                  <w:r>
                    <w:rPr>
                      <w:lang w:eastAsia="ar-SA"/>
                    </w:rPr>
                    <w:t>. Vadovaudamosi Įstatymo 16 straipsnio 1 dalies 6 punktu, įstaigos, siekiančios</w:t>
                  </w:r>
                  <w:r>
                    <w:rPr>
                      <w:szCs w:val="24"/>
                      <w:lang w:eastAsia="ar-SA"/>
                    </w:rPr>
                    <w:t xml:space="preserve"> teikti specializuotą kompleksinę pagalbą, </w:t>
                  </w:r>
                  <w:r>
                    <w:rPr>
                      <w:lang w:eastAsia="ar-SA"/>
                    </w:rPr>
                    <w:t xml:space="preserve">patvirtintuose specializuotos kompleksinės pagalbos aprašymuose nurodo kiekvienai funkcijai atlikti turimus žmogiškuosius ir materialinius išteklius, t. y. specialistų, teiksiančių pagalbą, pareigybių pavadinimus, jų skaičių, materialines priemones pagalbai teikti ir jų kiekį: </w:t>
                  </w:r>
                </w:p>
                <w:sdt>
                  <w:sdtPr>
                    <w:alias w:val="3 pr. 2.1 pp."/>
                    <w:tag w:val="part_9804068cc4864e298656590ef8c7e310"/>
                    <w:lock w:val="sdtLocked"/>
                    <w:richText/>
                  </w:sdtPr>
                  <w:sdtContent>
                    <w:p>
                      <w:pPr>
                        <w:suppressAutoHyphens/>
                        <w:jc w:val="both"/>
                        <w:rPr>
                          <w:lang w:eastAsia="ar-SA"/>
                        </w:rPr>
                      </w:pPr>
                      <w:sdt>
                        <w:sdtPr>
                          <w:alias w:val="Numeris"/>
                          <w:tag w:val="nr_9804068cc4864e298656590ef8c7e310"/>
                          <w:lock w:val="sdtLocked"/>
                          <w:richText/>
                        </w:sdtPr>
                        <w:sdtContent>
                          <w:r>
                            <w:rPr>
                              <w:lang w:eastAsia="ar-SA"/>
                            </w:rPr>
                            <w:t>2.1</w:t>
                          </w:r>
                        </w:sdtContent>
                      </w:sdt>
                      <w:r>
                        <w:rPr>
                          <w:lang w:eastAsia="ar-SA"/>
                        </w:rPr>
                        <w:t xml:space="preserve">. nurodant specialistų, teiksiančių specializuotą kompleksinę pagalbą, pareigybių pavadinimus ir jų skaičių, rekomenduojama įvertinti, kiek ir kokių specialistų reikia kiekvienai funkcijai kokybiškai atlikti visų savivaldybių, kuriose </w:t>
                      </w:r>
                      <w:r>
                        <w:rPr>
                          <w:szCs w:val="24"/>
                        </w:rPr>
                        <w:t>planuojama teikti specializuotą kompleksinę pagalbą, teritorijose;</w:t>
                      </w:r>
                    </w:p>
                  </w:sdtContent>
                </w:sdt>
                <w:sdt>
                  <w:sdtPr>
                    <w:alias w:val="3 pr. 2.2 pp."/>
                    <w:tag w:val="part_ab8158800c7a44749c2e1d3e21b042fb"/>
                    <w:lock w:val="sdtLocked"/>
                    <w:richText/>
                  </w:sdtPr>
                  <w:sdtContent>
                    <w:p>
                      <w:pPr>
                        <w:suppressAutoHyphens/>
                        <w:jc w:val="both"/>
                        <w:rPr>
                          <w:lang w:eastAsia="ar-SA"/>
                        </w:rPr>
                      </w:pPr>
                      <w:sdt>
                        <w:sdtPr>
                          <w:alias w:val="Numeris"/>
                          <w:tag w:val="nr_ab8158800c7a44749c2e1d3e21b042fb"/>
                          <w:lock w:val="sdtLocked"/>
                          <w:richText/>
                        </w:sdtPr>
                        <w:sdtContent>
                          <w:r>
                            <w:rPr>
                              <w:lang w:eastAsia="ar-SA"/>
                            </w:rPr>
                            <w:t>2.2</w:t>
                          </w:r>
                        </w:sdtContent>
                      </w:sdt>
                      <w:r>
                        <w:rPr>
                          <w:lang w:eastAsia="ar-SA"/>
                        </w:rPr>
                        <w:t xml:space="preserve">. nurodant materialinių priemonių (pvz., kompiuterinės, programinės įrangos, mobiliojo ryšio priemonių, patalpų) pagalbai teikti kiekį, rekomenduojama įvertinti, kiek ir kokių materialinių priemonių įstaigai, siekiančiai teikti specializuotą kompleksinę pagalbą, reikia kiekvienai funkcijai kokybiškai atlikti visų savivaldybių, kuriose </w:t>
                      </w:r>
                      <w:r>
                        <w:rPr>
                          <w:szCs w:val="24"/>
                        </w:rPr>
                        <w:t>planuojama teikti specializuotą kompleksinę pagalbą, teritorijose</w:t>
                      </w:r>
                      <w:r>
                        <w:rPr>
                          <w:lang w:eastAsia="ar-SA"/>
                        </w:rPr>
                        <w:t xml:space="preserve">. </w:t>
                      </w:r>
                    </w:p>
                  </w:sdtContent>
                </w:sdt>
              </w:sdtContent>
            </w:sdt>
            <w:sdt>
              <w:sdtPr>
                <w:alias w:val="3 pr. 3 p."/>
                <w:tag w:val="part_1fd55970c6cd4dc19ebbf179a400f884"/>
                <w:lock w:val="sdtLocked"/>
                <w:richText/>
              </w:sdtPr>
              <w:sdtContent>
                <w:p>
                  <w:pPr>
                    <w:suppressAutoHyphens/>
                    <w:jc w:val="both"/>
                    <w:rPr>
                      <w:lang w:eastAsia="ar-SA"/>
                    </w:rPr>
                  </w:pPr>
                  <w:sdt>
                    <w:sdtPr>
                      <w:alias w:val="Numeris"/>
                      <w:tag w:val="nr_1fd55970c6cd4dc19ebbf179a400f884"/>
                      <w:lock w:val="sdtLocked"/>
                      <w:richText/>
                    </w:sdtPr>
                    <w:sdtContent>
                      <w:r>
                        <w:rPr>
                          <w:lang w:eastAsia="ar-SA"/>
                        </w:rPr>
                        <w:t>3</w:t>
                      </w:r>
                    </w:sdtContent>
                  </w:sdt>
                  <w:r>
                    <w:rPr>
                      <w:lang w:eastAsia="ar-SA"/>
                    </w:rPr>
                    <w:t>. Specializuota kompleksinė pagalba turi būti teikiama, vadovaujantis Įstatymu ir Specializuotos kompleksinės pagalbos smurto artimoje aplinkoje pavojų patiriantiems asmenims ar smurtą artimoje aplinkoje patyrusiems asmenims teikimo bei ekspertinio vertinimo dėl sprendimo skirti apsaugos nuo smurto artimoje aplinkoje orderį ar jo neskirti tvarkos aprašu, patvirtintu Lietuvos Respublikos socialinės apsaugos ir darbo ministro 2023 m. gegužės 9 d. įsakymu Nr. A1-296 „Dėl Specializuotos kompleksinės pagalbos smurto artimoje aplinkoje pavojų patiriantiems asmenims ar smurtą artimoje aplinkoje patyrusiems asmenims teikimo bei ekspertinio vertinimo dėl sprendimo skirti apsaugos nuo smurto artimoje aplinkoje orderį ar jo neskirti tvarkos aprašo ir Pavyzdinių specializuotos kompleksinės pagalbos centrų vidaus taisyklių, kuriose reglamentuojamas keitimasis asmens duomenimis, susijusiais su smurtu artimoje aplinkoje, tarp specializuotos kompleksinės pagalbos centrų ir institucijų bei įstaigų, vykdančių veiklą apsaugos nuo smurto artimoje aplinkoje, pagalbos ir paslaugų teikimo srityse patvirtinimo“.</w:t>
                  </w:r>
                </w:p>
                <w:p>
                  <w:pPr>
                    <w:suppressAutoHyphens/>
                    <w:jc w:val="center"/>
                    <w:rPr>
                      <w:lang w:eastAsia="ar-SA"/>
                    </w:rPr>
                  </w:pPr>
                  <w:r>
                    <w:rPr>
                      <w:lang w:eastAsia="ar-SA"/>
                    </w:rPr>
                    <w:t>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3</w:t>
    </w:r>
    <w:r>
      <w:rPr>
        <w:szCs w:val="24"/>
        <w:lang w:eastAsia="ar-SA"/>
      </w:rPr>
      <w:fldChar w:fldCharType="end"/>
    </w:r>
  </w:p>
  <w:p>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40EC4AD-499C-44D3-A99E-5A3A3A4774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3" Abbr="3 pr." Title="(Informacijos apie įstaigos, siekiančios teikti specializuotą kompleksinę pagalbą, funkcijas pateikimo forma)" DocPartId="fb9a6426ceff4c5fb9d138e784397e03" PartId="af4013023dd54c85bb0631d308723c70">
    <Part Type="lentele" Title="INFORMACIJA APIE ĮSTAIGOS, SIEKIANČIOS TEIKTI SPECIALIZUOTĄ KOMPLEKSINĘ PAGALBĄ, FUNKCIJAS" DocPartId="ecc346eb3f004e1db111c5bb71bed556" PartId="bc4cf82e202a45c49bab3744cd5a4cc4"/>
    <Part Type="skirsnis" Title="Pastabos:" DocPartId="4268f71fcdaa44d49938d00fa9f3cbb4" PartId="0ba1a5ac7516441090e857086fffa929">
      <Part Type="punktas" Nr="1" Abbr="3 pr. 1 p." DocPartId="ef42ddb01f754d5a818333fbb8826ad8" PartId="3bff6427dc14488b88a192f0880624d9"/>
      <Part Type="punktas" Nr="2" Abbr="3 pr. 2 p." DocPartId="4e7ff4b7071b4ce1ade16f94a60719ba" PartId="76e973ac03f24d7da93da9160e837c83">
        <Part Type="papunktis" Nr="2.1" Abbr="3 pr. 2.1 pp." DocPartId="683327ddc8704f2593d92ec26e43e610" PartId="9804068cc4864e298656590ef8c7e310"/>
        <Part Type="papunktis" Nr="2.2" Abbr="3 pr. 2.2 pp." DocPartId="6e44c11151744d638b0721991817b078" PartId="ab8158800c7a44749c2e1d3e21b042fb"/>
      </Part>
      <Part Type="punktas" Nr="3" Abbr="3 pr. 3 p." DocPartId="7f274c463c5b41a9960dcd9f00cc11fa" PartId="1fd55970c6cd4dc19ebbf179a400f884"/>
    </Part>
  </Part>
</Parts>
</file>

<file path=customXml/itemProps1.xml><?xml version="1.0" encoding="utf-8"?>
<ds:datastoreItem xmlns:ds="http://schemas.openxmlformats.org/officeDocument/2006/customXml" ds:itemID="{8E42A13D-EA61-4B13-85A9-D0ED412D05A8}">
  <ds:schemaRefs>
    <ds:schemaRef ds:uri="http://schemas.openxmlformats.org/officeDocument/2006/bibliography"/>
  </ds:schemaRefs>
</ds:datastoreItem>
</file>

<file path=customXml/itemProps2.xml><?xml version="1.0" encoding="utf-8"?>
<ds:datastoreItem xmlns:ds="http://schemas.openxmlformats.org/officeDocument/2006/customXml" ds:itemID="{0339E3F4-69F9-42B0-9957-2417326C66D8}">
  <ds:schemaRefs>
    <ds:schemaRef ds:uri="http://lrs.lt/TAIS/DocParts"/>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1020</Words>
  <Characters>7441</Characters>
  <Application>Microsoft Office Word</Application>
  <DocSecurity>4</DocSecurity>
  <Lines>310</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2025-09-30T10:14:00Z</dcterms:created>
  <dc:creator>Agnė Vitkutė</dc:creator>
  <lastModifiedBy>adlibuser</lastModifiedBy>
  <dcterms:modified xsi:type="dcterms:W3CDTF">2025-09-30T10:14:00Z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