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4327b126a5942c2bcab0d72040f30bd"/>
        <w:id w:val="352538775"/>
        <w:lock w:val="sdtLocked"/>
      </w:sdtPr>
      <w:sdtEndPr/>
      <w:sdtContent>
        <w:p w14:paraId="2304C65A" w14:textId="77777777" w:rsidR="00A31459" w:rsidRDefault="00BF2634">
          <w:pPr>
            <w:tabs>
              <w:tab w:val="center" w:pos="4819"/>
              <w:tab w:val="right" w:pos="9638"/>
            </w:tabs>
            <w:rPr>
              <w:sz w:val="22"/>
              <w:szCs w:val="22"/>
            </w:rPr>
          </w:pPr>
        </w:p>
      </w:sdtContent>
    </w:sdt>
    <w:sdt>
      <w:sdtPr>
        <w:alias w:val="patvirtinta"/>
        <w:tag w:val="part_b152aba8a0704d70ad73c29814f57b17"/>
        <w:id w:val="-2079816821"/>
        <w:lock w:val="sdtLocked"/>
      </w:sdtPr>
      <w:sdtEndPr/>
      <w:sdtContent>
        <w:p w14:paraId="6C9053A2" w14:textId="77777777" w:rsidR="00A31459" w:rsidRDefault="00BF2634">
          <w:pPr>
            <w:ind w:firstLine="10206"/>
            <w:textAlignment w:val="center"/>
            <w:rPr>
              <w:color w:val="000000"/>
              <w:szCs w:val="24"/>
              <w:lang w:eastAsia="en-GB"/>
            </w:rPr>
          </w:pPr>
          <w:r>
            <w:rPr>
              <w:color w:val="000000"/>
              <w:szCs w:val="24"/>
              <w:lang w:eastAsia="en-GB"/>
            </w:rPr>
            <w:t>PATVIRTINTA</w:t>
          </w:r>
        </w:p>
        <w:p w14:paraId="77E54CDC" w14:textId="77777777" w:rsidR="00A31459" w:rsidRDefault="00BF2634">
          <w:pPr>
            <w:ind w:firstLine="10206"/>
            <w:textAlignment w:val="center"/>
            <w:rPr>
              <w:color w:val="000000"/>
              <w:szCs w:val="24"/>
              <w:lang w:eastAsia="en-GB"/>
            </w:rPr>
          </w:pPr>
          <w:r>
            <w:rPr>
              <w:color w:val="000000"/>
              <w:szCs w:val="24"/>
              <w:lang w:eastAsia="en-GB"/>
            </w:rPr>
            <w:t>Lietuvos Respublikos žemės ūkio ministro</w:t>
          </w:r>
        </w:p>
        <w:p w14:paraId="1BC8AA6E" w14:textId="057D00AE" w:rsidR="00A31459" w:rsidRDefault="00BF2634">
          <w:pPr>
            <w:ind w:firstLine="10206"/>
            <w:textAlignment w:val="center"/>
            <w:rPr>
              <w:szCs w:val="24"/>
              <w:lang w:eastAsia="lt-LT"/>
            </w:rPr>
          </w:pPr>
          <w:r>
            <w:rPr>
              <w:color w:val="000000"/>
              <w:szCs w:val="24"/>
              <w:lang w:eastAsia="en-GB"/>
            </w:rPr>
            <w:t>2</w:t>
          </w:r>
          <w:r>
            <w:rPr>
              <w:color w:val="000000"/>
              <w:spacing w:val="-4"/>
              <w:szCs w:val="24"/>
              <w:lang w:eastAsia="en-GB"/>
            </w:rPr>
            <w:t>0</w:t>
          </w:r>
          <w:r>
            <w:rPr>
              <w:color w:val="000000"/>
              <w:spacing w:val="-4"/>
              <w:szCs w:val="24"/>
              <w:lang w:val="fi-FI" w:eastAsia="en-GB"/>
            </w:rPr>
            <w:t>23</w:t>
          </w:r>
          <w:r>
            <w:rPr>
              <w:color w:val="000000"/>
              <w:spacing w:val="-4"/>
              <w:szCs w:val="24"/>
              <w:lang w:eastAsia="en-GB"/>
            </w:rPr>
            <w:t xml:space="preserve"> m. rugsėjo 7 d. įsakymu</w:t>
          </w:r>
          <w:r>
            <w:rPr>
              <w:color w:val="000000"/>
              <w:szCs w:val="24"/>
              <w:lang w:eastAsia="en-GB"/>
            </w:rPr>
            <w:t xml:space="preserve"> </w:t>
          </w:r>
          <w:r>
            <w:rPr>
              <w:color w:val="000000"/>
              <w:spacing w:val="-4"/>
              <w:szCs w:val="24"/>
              <w:lang w:eastAsia="en-GB"/>
            </w:rPr>
            <w:t xml:space="preserve">Nr. </w:t>
          </w:r>
          <w:r>
            <w:rPr>
              <w:szCs w:val="24"/>
              <w:lang w:eastAsia="lt-LT"/>
            </w:rPr>
            <w:t>3D-589</w:t>
          </w:r>
        </w:p>
        <w:p w14:paraId="69D10E60" w14:textId="77777777" w:rsidR="00A31459" w:rsidRDefault="00A31459">
          <w:pPr>
            <w:jc w:val="center"/>
            <w:rPr>
              <w:b/>
              <w:bCs/>
              <w:caps/>
              <w:color w:val="000000"/>
              <w:sz w:val="22"/>
              <w:szCs w:val="22"/>
              <w:lang w:eastAsia="lt-LT"/>
            </w:rPr>
          </w:pPr>
        </w:p>
        <w:p w14:paraId="142167EC" w14:textId="77777777" w:rsidR="00A31459" w:rsidRDefault="00A31459">
          <w:pPr>
            <w:jc w:val="center"/>
            <w:rPr>
              <w:b/>
              <w:bCs/>
              <w:caps/>
              <w:color w:val="000000"/>
              <w:sz w:val="22"/>
              <w:szCs w:val="22"/>
              <w:lang w:eastAsia="lt-LT"/>
            </w:rPr>
          </w:pPr>
        </w:p>
        <w:p w14:paraId="609C838D" w14:textId="77777777" w:rsidR="00A31459" w:rsidRDefault="00BF2634">
          <w:pPr>
            <w:jc w:val="center"/>
            <w:rPr>
              <w:b/>
              <w:bCs/>
              <w:caps/>
              <w:color w:val="000000"/>
              <w:sz w:val="22"/>
              <w:szCs w:val="22"/>
              <w:lang w:eastAsia="lt-LT"/>
            </w:rPr>
          </w:pPr>
          <w:sdt>
            <w:sdtPr>
              <w:alias w:val="Pavadinimas"/>
              <w:tag w:val="title_b152aba8a0704d70ad73c29814f57b17"/>
              <w:id w:val="172850464"/>
              <w:lock w:val="sdtLocked"/>
            </w:sdtPr>
            <w:sdtEndPr/>
            <w:sdtContent>
              <w:r>
                <w:rPr>
                  <w:b/>
                  <w:bCs/>
                  <w:caps/>
                  <w:color w:val="000000"/>
                  <w:sz w:val="22"/>
                  <w:szCs w:val="22"/>
                  <w:lang w:eastAsia="lt-LT"/>
                </w:rPr>
                <w:t>LIETUVOS ŽUVININKYSTĖS sektoriaus 2021‒2027 METŲ PROGRAMOS pirmojo</w:t>
              </w:r>
              <w:r>
                <w:rPr>
                  <w:b/>
                  <w:color w:val="000000"/>
                  <w:sz w:val="22"/>
                  <w:szCs w:val="22"/>
                </w:rPr>
                <w:t xml:space="preserve"> PRIORITETO </w:t>
              </w:r>
              <w:r>
                <w:rPr>
                  <w:b/>
                  <w:bCs/>
                  <w:caps/>
                  <w:color w:val="000000"/>
                  <w:sz w:val="22"/>
                  <w:szCs w:val="22"/>
                  <w:lang w:eastAsia="lt-LT"/>
                </w:rPr>
                <w:t xml:space="preserve">„Tausios </w:t>
              </w:r>
              <w:r>
                <w:rPr>
                  <w:b/>
                  <w:bCs/>
                  <w:caps/>
                  <w:color w:val="000000"/>
                  <w:sz w:val="22"/>
                  <w:szCs w:val="22"/>
                  <w:lang w:eastAsia="lt-LT"/>
                </w:rPr>
                <w:t>žvejybos skatinimas ir vandens biologinių išteklių atkūrimas ir išsaugojimas“ PRIEMONĖS „Reikalingų sistemų ir prietaisų įsigijimas ir įrengimas laivuose“ PROJEKTŲ FINANSAVIMO SĄLYGŲ APRAŠAS</w:t>
              </w:r>
            </w:sdtContent>
          </w:sdt>
        </w:p>
        <w:p w14:paraId="6F6FA89D" w14:textId="77777777" w:rsidR="00A31459" w:rsidRDefault="00A31459">
          <w:pPr>
            <w:jc w:val="center"/>
            <w:rPr>
              <w:b/>
              <w:bCs/>
              <w:sz w:val="22"/>
              <w:szCs w:val="22"/>
            </w:rPr>
          </w:pPr>
        </w:p>
        <w:p w14:paraId="29A47A8F" w14:textId="77777777" w:rsidR="00A31459" w:rsidRDefault="00A31459">
          <w:pPr>
            <w:rPr>
              <w:i/>
              <w:sz w:val="22"/>
              <w:szCs w:val="22"/>
            </w:rPr>
          </w:pPr>
        </w:p>
        <w:sdt>
          <w:sdtPr>
            <w:alias w:val="skyrius"/>
            <w:tag w:val="part_a243c44fd9ae47b29af0e948a0bf11ea"/>
            <w:id w:val="-1751037865"/>
            <w:lock w:val="sdtLocked"/>
          </w:sdtPr>
          <w:sdtEndPr/>
          <w:sdtContent>
            <w:p w14:paraId="25FE8C9A" w14:textId="56174680" w:rsidR="00A31459" w:rsidRDefault="00BF2634">
              <w:pPr>
                <w:spacing w:line="259" w:lineRule="auto"/>
                <w:ind w:left="1080" w:hanging="720"/>
                <w:jc w:val="both"/>
                <w:rPr>
                  <w:b/>
                  <w:sz w:val="22"/>
                  <w:szCs w:val="22"/>
                </w:rPr>
              </w:pPr>
              <w:sdt>
                <w:sdtPr>
                  <w:alias w:val="Numeris"/>
                  <w:tag w:val="nr_a243c44fd9ae47b29af0e948a0bf11ea"/>
                  <w:id w:val="-2051982040"/>
                  <w:lock w:val="sdtLocked"/>
                </w:sdtPr>
                <w:sdtEndPr/>
                <w:sdtContent>
                  <w:r>
                    <w:rPr>
                      <w:b/>
                      <w:sz w:val="22"/>
                      <w:szCs w:val="22"/>
                    </w:rPr>
                    <w:t>I</w:t>
                  </w:r>
                </w:sdtContent>
              </w:sdt>
              <w:r>
                <w:rPr>
                  <w:b/>
                  <w:sz w:val="22"/>
                  <w:szCs w:val="22"/>
                </w:rPr>
                <w:t xml:space="preserve">. </w:t>
              </w:r>
              <w:sdt>
                <w:sdtPr>
                  <w:alias w:val="Pavadinimas"/>
                  <w:tag w:val="title_a243c44fd9ae47b29af0e948a0bf11ea"/>
                  <w:id w:val="1912967288"/>
                  <w:lock w:val="sdtLocked"/>
                </w:sdtPr>
                <w:sdtEndPr/>
                <w:sdtContent>
                  <w:r>
                    <w:rPr>
                      <w:b/>
                      <w:sz w:val="22"/>
                      <w:szCs w:val="22"/>
                    </w:rPr>
                    <w:t>BENDROS NUOSTATOS</w:t>
                  </w:r>
                </w:sdtContent>
              </w:sdt>
            </w:p>
            <w:p w14:paraId="3164C2D1" w14:textId="77777777" w:rsidR="00A31459" w:rsidRDefault="00A31459">
              <w:pPr>
                <w:rPr>
                  <w:sz w:val="22"/>
                  <w:szCs w:val="22"/>
                </w:rPr>
              </w:pPr>
            </w:p>
            <w:tbl>
              <w:tblPr>
                <w:tblW w:w="14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843"/>
                <w:gridCol w:w="1417"/>
                <w:gridCol w:w="1701"/>
                <w:gridCol w:w="1418"/>
                <w:gridCol w:w="1581"/>
                <w:gridCol w:w="1633"/>
                <w:gridCol w:w="1889"/>
                <w:gridCol w:w="1377"/>
              </w:tblGrid>
              <w:tr w:rsidR="00A31459" w14:paraId="4A04E649" w14:textId="77777777">
                <w:tc>
                  <w:tcPr>
                    <w:tcW w:w="1838" w:type="dxa"/>
                    <w:vAlign w:val="center"/>
                  </w:tcPr>
                  <w:p w14:paraId="0192A1B9" w14:textId="77777777" w:rsidR="00A31459" w:rsidRDefault="00BF2634">
                    <w:pPr>
                      <w:jc w:val="center"/>
                      <w:rPr>
                        <w:b/>
                        <w:sz w:val="22"/>
                        <w:szCs w:val="22"/>
                      </w:rPr>
                    </w:pPr>
                    <w:r>
                      <w:rPr>
                        <w:b/>
                        <w:bCs/>
                        <w:sz w:val="22"/>
                        <w:szCs w:val="22"/>
                      </w:rPr>
                      <w:t>Prioritetas</w:t>
                    </w:r>
                  </w:p>
                </w:tc>
                <w:tc>
                  <w:tcPr>
                    <w:tcW w:w="1843" w:type="dxa"/>
                    <w:vAlign w:val="center"/>
                  </w:tcPr>
                  <w:p w14:paraId="7152E8DB" w14:textId="77777777" w:rsidR="00A31459" w:rsidRDefault="00BF2634">
                    <w:pPr>
                      <w:jc w:val="center"/>
                      <w:rPr>
                        <w:b/>
                        <w:sz w:val="22"/>
                        <w:szCs w:val="22"/>
                      </w:rPr>
                    </w:pPr>
                    <w:r>
                      <w:rPr>
                        <w:b/>
                        <w:bCs/>
                        <w:sz w:val="22"/>
                        <w:szCs w:val="22"/>
                      </w:rPr>
                      <w:t>Konkretus tikslas</w:t>
                    </w:r>
                  </w:p>
                </w:tc>
                <w:tc>
                  <w:tcPr>
                    <w:tcW w:w="1417" w:type="dxa"/>
                    <w:vAlign w:val="center"/>
                  </w:tcPr>
                  <w:p w14:paraId="14BC11AC" w14:textId="77777777" w:rsidR="00A31459" w:rsidRDefault="00BF2634">
                    <w:pPr>
                      <w:jc w:val="center"/>
                      <w:rPr>
                        <w:b/>
                        <w:sz w:val="22"/>
                        <w:szCs w:val="22"/>
                      </w:rPr>
                    </w:pPr>
                    <w:r>
                      <w:rPr>
                        <w:b/>
                        <w:bCs/>
                        <w:sz w:val="22"/>
                        <w:szCs w:val="22"/>
                      </w:rPr>
                      <w:t>Sektorius, prie kurio turi būti prisidedama projektu</w:t>
                    </w:r>
                  </w:p>
                </w:tc>
                <w:tc>
                  <w:tcPr>
                    <w:tcW w:w="1701" w:type="dxa"/>
                    <w:vAlign w:val="center"/>
                  </w:tcPr>
                  <w:p w14:paraId="0DFEB919" w14:textId="77777777" w:rsidR="00A31459" w:rsidRDefault="00BF2634">
                    <w:pPr>
                      <w:jc w:val="center"/>
                      <w:rPr>
                        <w:b/>
                        <w:bCs/>
                        <w:sz w:val="22"/>
                        <w:szCs w:val="22"/>
                      </w:rPr>
                    </w:pPr>
                    <w:r>
                      <w:rPr>
                        <w:b/>
                        <w:bCs/>
                        <w:sz w:val="22"/>
                        <w:szCs w:val="22"/>
                      </w:rPr>
                      <w:t>Paramos gavėjų rūšis</w:t>
                    </w:r>
                  </w:p>
                </w:tc>
                <w:tc>
                  <w:tcPr>
                    <w:tcW w:w="1418" w:type="dxa"/>
                    <w:vAlign w:val="center"/>
                  </w:tcPr>
                  <w:p w14:paraId="000F9DBF" w14:textId="77777777" w:rsidR="00A31459" w:rsidRDefault="00BF2634">
                    <w:pPr>
                      <w:jc w:val="center"/>
                      <w:rPr>
                        <w:b/>
                        <w:bCs/>
                        <w:sz w:val="22"/>
                        <w:szCs w:val="22"/>
                      </w:rPr>
                    </w:pPr>
                    <w:r>
                      <w:rPr>
                        <w:b/>
                        <w:bCs/>
                        <w:sz w:val="22"/>
                        <w:szCs w:val="22"/>
                      </w:rPr>
                      <w:t>Projektų susietumas su jūrų ir kitais vandenimis</w:t>
                    </w:r>
                  </w:p>
                </w:tc>
                <w:tc>
                  <w:tcPr>
                    <w:tcW w:w="1581" w:type="dxa"/>
                    <w:vAlign w:val="center"/>
                  </w:tcPr>
                  <w:p w14:paraId="72235B8F" w14:textId="77777777" w:rsidR="00A31459" w:rsidRDefault="00BF2634">
                    <w:pPr>
                      <w:ind w:firstLine="53"/>
                      <w:jc w:val="center"/>
                      <w:rPr>
                        <w:b/>
                        <w:bCs/>
                        <w:sz w:val="22"/>
                        <w:szCs w:val="22"/>
                      </w:rPr>
                    </w:pPr>
                    <w:r>
                      <w:rPr>
                        <w:b/>
                        <w:bCs/>
                        <w:sz w:val="22"/>
                        <w:szCs w:val="22"/>
                      </w:rPr>
                      <w:t>Specialiosios projektų sąsajos</w:t>
                    </w:r>
                  </w:p>
                </w:tc>
                <w:tc>
                  <w:tcPr>
                    <w:tcW w:w="1633" w:type="dxa"/>
                    <w:vAlign w:val="center"/>
                  </w:tcPr>
                  <w:p w14:paraId="517C7F7A" w14:textId="77777777" w:rsidR="00A31459" w:rsidRDefault="00BF2634">
                    <w:pPr>
                      <w:jc w:val="center"/>
                      <w:rPr>
                        <w:b/>
                        <w:bCs/>
                        <w:sz w:val="22"/>
                        <w:szCs w:val="22"/>
                      </w:rPr>
                    </w:pPr>
                    <w:r>
                      <w:rPr>
                        <w:b/>
                        <w:sz w:val="22"/>
                        <w:szCs w:val="22"/>
                      </w:rPr>
                      <w:t>Projektų rūšis</w:t>
                    </w:r>
                  </w:p>
                </w:tc>
                <w:tc>
                  <w:tcPr>
                    <w:tcW w:w="1889" w:type="dxa"/>
                    <w:vAlign w:val="center"/>
                  </w:tcPr>
                  <w:p w14:paraId="30333C9E" w14:textId="77777777" w:rsidR="00A31459" w:rsidRDefault="00A31459">
                    <w:pPr>
                      <w:jc w:val="center"/>
                      <w:rPr>
                        <w:b/>
                        <w:bCs/>
                        <w:sz w:val="22"/>
                        <w:szCs w:val="22"/>
                      </w:rPr>
                    </w:pPr>
                  </w:p>
                  <w:p w14:paraId="38A9564F" w14:textId="77777777" w:rsidR="00A31459" w:rsidRDefault="00BF2634">
                    <w:pPr>
                      <w:jc w:val="center"/>
                      <w:rPr>
                        <w:b/>
                        <w:bCs/>
                        <w:sz w:val="22"/>
                        <w:szCs w:val="22"/>
                      </w:rPr>
                    </w:pPr>
                    <w:r>
                      <w:rPr>
                        <w:b/>
                        <w:bCs/>
                        <w:sz w:val="22"/>
                        <w:szCs w:val="22"/>
                      </w:rPr>
                      <w:t>Intervencinių priemonių rūšis</w:t>
                    </w:r>
                  </w:p>
                </w:tc>
                <w:tc>
                  <w:tcPr>
                    <w:tcW w:w="1377" w:type="dxa"/>
                    <w:vAlign w:val="center"/>
                  </w:tcPr>
                  <w:p w14:paraId="5360F787" w14:textId="77777777" w:rsidR="00A31459" w:rsidRDefault="00BF2634">
                    <w:pPr>
                      <w:jc w:val="center"/>
                      <w:rPr>
                        <w:b/>
                        <w:sz w:val="22"/>
                        <w:szCs w:val="22"/>
                      </w:rPr>
                    </w:pPr>
                    <w:r>
                      <w:rPr>
                        <w:b/>
                        <w:bCs/>
                        <w:sz w:val="22"/>
                        <w:szCs w:val="22"/>
                      </w:rPr>
                      <w:t>Paramos formos kodas</w:t>
                    </w:r>
                  </w:p>
                </w:tc>
              </w:tr>
              <w:tr w:rsidR="00A31459" w14:paraId="0F19095F" w14:textId="77777777">
                <w:tc>
                  <w:tcPr>
                    <w:tcW w:w="1838" w:type="dxa"/>
                    <w:vAlign w:val="center"/>
                  </w:tcPr>
                  <w:p w14:paraId="39035C1B" w14:textId="77777777" w:rsidR="00A31459" w:rsidRDefault="00BF2634">
                    <w:pPr>
                      <w:jc w:val="center"/>
                      <w:rPr>
                        <w:b/>
                        <w:bCs/>
                        <w:sz w:val="22"/>
                        <w:szCs w:val="22"/>
                      </w:rPr>
                    </w:pPr>
                    <w:r>
                      <w:rPr>
                        <w:b/>
                        <w:bCs/>
                        <w:sz w:val="22"/>
                        <w:szCs w:val="22"/>
                      </w:rPr>
                      <w:t>1</w:t>
                    </w:r>
                  </w:p>
                </w:tc>
                <w:tc>
                  <w:tcPr>
                    <w:tcW w:w="1843" w:type="dxa"/>
                    <w:vAlign w:val="center"/>
                  </w:tcPr>
                  <w:p w14:paraId="50F14CA0" w14:textId="77777777" w:rsidR="00A31459" w:rsidRDefault="00BF2634">
                    <w:pPr>
                      <w:jc w:val="center"/>
                      <w:rPr>
                        <w:b/>
                        <w:bCs/>
                        <w:sz w:val="22"/>
                        <w:szCs w:val="22"/>
                      </w:rPr>
                    </w:pPr>
                    <w:r>
                      <w:rPr>
                        <w:b/>
                        <w:bCs/>
                        <w:sz w:val="22"/>
                        <w:szCs w:val="22"/>
                      </w:rPr>
                      <w:t>2</w:t>
                    </w:r>
                  </w:p>
                </w:tc>
                <w:tc>
                  <w:tcPr>
                    <w:tcW w:w="1417" w:type="dxa"/>
                    <w:vAlign w:val="center"/>
                  </w:tcPr>
                  <w:p w14:paraId="541587A4" w14:textId="77777777" w:rsidR="00A31459" w:rsidRDefault="00BF2634">
                    <w:pPr>
                      <w:jc w:val="center"/>
                      <w:rPr>
                        <w:b/>
                        <w:bCs/>
                        <w:sz w:val="22"/>
                        <w:szCs w:val="22"/>
                      </w:rPr>
                    </w:pPr>
                    <w:r>
                      <w:rPr>
                        <w:b/>
                        <w:bCs/>
                        <w:sz w:val="22"/>
                        <w:szCs w:val="22"/>
                      </w:rPr>
                      <w:t>3</w:t>
                    </w:r>
                  </w:p>
                </w:tc>
                <w:tc>
                  <w:tcPr>
                    <w:tcW w:w="1701" w:type="dxa"/>
                  </w:tcPr>
                  <w:p w14:paraId="59017F89" w14:textId="77777777" w:rsidR="00A31459" w:rsidRDefault="00BF2634">
                    <w:pPr>
                      <w:jc w:val="center"/>
                      <w:rPr>
                        <w:b/>
                        <w:bCs/>
                        <w:sz w:val="22"/>
                        <w:szCs w:val="22"/>
                      </w:rPr>
                    </w:pPr>
                    <w:r>
                      <w:rPr>
                        <w:b/>
                        <w:bCs/>
                        <w:sz w:val="22"/>
                        <w:szCs w:val="22"/>
                      </w:rPr>
                      <w:t>4</w:t>
                    </w:r>
                  </w:p>
                </w:tc>
                <w:tc>
                  <w:tcPr>
                    <w:tcW w:w="1418" w:type="dxa"/>
                  </w:tcPr>
                  <w:p w14:paraId="29868642" w14:textId="77777777" w:rsidR="00A31459" w:rsidRDefault="00BF2634">
                    <w:pPr>
                      <w:jc w:val="center"/>
                      <w:rPr>
                        <w:b/>
                        <w:bCs/>
                        <w:sz w:val="22"/>
                        <w:szCs w:val="22"/>
                      </w:rPr>
                    </w:pPr>
                    <w:r>
                      <w:rPr>
                        <w:b/>
                        <w:bCs/>
                        <w:sz w:val="22"/>
                        <w:szCs w:val="22"/>
                      </w:rPr>
                      <w:t>5</w:t>
                    </w:r>
                  </w:p>
                </w:tc>
                <w:tc>
                  <w:tcPr>
                    <w:tcW w:w="1581" w:type="dxa"/>
                  </w:tcPr>
                  <w:p w14:paraId="28D96380" w14:textId="77777777" w:rsidR="00A31459" w:rsidRDefault="00BF2634">
                    <w:pPr>
                      <w:jc w:val="center"/>
                      <w:rPr>
                        <w:b/>
                        <w:bCs/>
                        <w:sz w:val="22"/>
                        <w:szCs w:val="22"/>
                      </w:rPr>
                    </w:pPr>
                    <w:r>
                      <w:rPr>
                        <w:b/>
                        <w:bCs/>
                        <w:sz w:val="22"/>
                        <w:szCs w:val="22"/>
                      </w:rPr>
                      <w:t>6</w:t>
                    </w:r>
                  </w:p>
                </w:tc>
                <w:tc>
                  <w:tcPr>
                    <w:tcW w:w="1633" w:type="dxa"/>
                    <w:vAlign w:val="center"/>
                  </w:tcPr>
                  <w:p w14:paraId="36CAF0F4" w14:textId="77777777" w:rsidR="00A31459" w:rsidRDefault="00BF2634">
                    <w:pPr>
                      <w:jc w:val="center"/>
                      <w:rPr>
                        <w:b/>
                        <w:bCs/>
                        <w:sz w:val="22"/>
                        <w:szCs w:val="22"/>
                      </w:rPr>
                    </w:pPr>
                    <w:r>
                      <w:rPr>
                        <w:b/>
                        <w:sz w:val="22"/>
                        <w:szCs w:val="22"/>
                      </w:rPr>
                      <w:t>8</w:t>
                    </w:r>
                  </w:p>
                </w:tc>
                <w:tc>
                  <w:tcPr>
                    <w:tcW w:w="1889" w:type="dxa"/>
                  </w:tcPr>
                  <w:p w14:paraId="228A971C" w14:textId="77777777" w:rsidR="00A31459" w:rsidRDefault="00BF2634">
                    <w:pPr>
                      <w:jc w:val="center"/>
                      <w:rPr>
                        <w:b/>
                        <w:bCs/>
                        <w:sz w:val="22"/>
                        <w:szCs w:val="22"/>
                      </w:rPr>
                    </w:pPr>
                    <w:r>
                      <w:rPr>
                        <w:b/>
                        <w:bCs/>
                        <w:sz w:val="22"/>
                        <w:szCs w:val="22"/>
                      </w:rPr>
                      <w:t>7</w:t>
                    </w:r>
                  </w:p>
                </w:tc>
                <w:tc>
                  <w:tcPr>
                    <w:tcW w:w="1377" w:type="dxa"/>
                    <w:vAlign w:val="center"/>
                  </w:tcPr>
                  <w:p w14:paraId="39D3D82D" w14:textId="77777777" w:rsidR="00A31459" w:rsidRDefault="00BF2634">
                    <w:pPr>
                      <w:jc w:val="center"/>
                      <w:rPr>
                        <w:b/>
                        <w:bCs/>
                        <w:sz w:val="22"/>
                        <w:szCs w:val="22"/>
                      </w:rPr>
                    </w:pPr>
                    <w:r>
                      <w:rPr>
                        <w:b/>
                        <w:bCs/>
                        <w:sz w:val="22"/>
                        <w:szCs w:val="22"/>
                      </w:rPr>
                      <w:t>9</w:t>
                    </w:r>
                  </w:p>
                </w:tc>
              </w:tr>
              <w:tr w:rsidR="00A31459" w14:paraId="3C50DC5C" w14:textId="77777777">
                <w:trPr>
                  <w:trHeight w:val="278"/>
                </w:trPr>
                <w:tc>
                  <w:tcPr>
                    <w:tcW w:w="1838" w:type="dxa"/>
                  </w:tcPr>
                  <w:p w14:paraId="4E893EE1" w14:textId="77777777" w:rsidR="00A31459" w:rsidRDefault="00BF2634">
                    <w:pPr>
                      <w:rPr>
                        <w:sz w:val="22"/>
                        <w:szCs w:val="22"/>
                      </w:rPr>
                    </w:pPr>
                    <w:r>
                      <w:rPr>
                        <w:sz w:val="22"/>
                        <w:szCs w:val="22"/>
                      </w:rPr>
                      <w:t xml:space="preserve">01 Tausios </w:t>
                    </w:r>
                    <w:r>
                      <w:rPr>
                        <w:sz w:val="22"/>
                        <w:szCs w:val="22"/>
                      </w:rPr>
                      <w:t>žvejybos skatinimas ir vandens biologinių išteklių atkūrimas ir išsaugojimas</w:t>
                    </w:r>
                  </w:p>
                </w:tc>
                <w:tc>
                  <w:tcPr>
                    <w:tcW w:w="1843" w:type="dxa"/>
                  </w:tcPr>
                  <w:p w14:paraId="023E0E84" w14:textId="77777777" w:rsidR="00A31459" w:rsidRDefault="00BF2634">
                    <w:pPr>
                      <w:rPr>
                        <w:bCs/>
                        <w:i/>
                        <w:sz w:val="22"/>
                        <w:szCs w:val="22"/>
                      </w:rPr>
                    </w:pPr>
                    <w:r>
                      <w:rPr>
                        <w:bCs/>
                        <w:sz w:val="22"/>
                        <w:szCs w:val="22"/>
                      </w:rPr>
                      <w:t xml:space="preserve">1.4.  Skatinti veiksmingas žuvininkystės kontrolės ir vykdymo užtikrinimo priemones, be kita ko, kovoti su NNN žvejyba, taip pat patikimus duomenis žiniomis grindžiamam sprendimų </w:t>
                    </w:r>
                    <w:r>
                      <w:rPr>
                        <w:bCs/>
                        <w:sz w:val="22"/>
                        <w:szCs w:val="22"/>
                      </w:rPr>
                      <w:t>priėmimui užtikrinti</w:t>
                    </w:r>
                  </w:p>
                </w:tc>
                <w:tc>
                  <w:tcPr>
                    <w:tcW w:w="1417" w:type="dxa"/>
                  </w:tcPr>
                  <w:p w14:paraId="21BF8A17" w14:textId="77777777" w:rsidR="00A31459" w:rsidRDefault="00BF2634">
                    <w:pPr>
                      <w:rPr>
                        <w:b/>
                        <w:i/>
                        <w:sz w:val="22"/>
                        <w:szCs w:val="22"/>
                      </w:rPr>
                    </w:pPr>
                    <w:r>
                      <w:rPr>
                        <w:sz w:val="22"/>
                        <w:szCs w:val="22"/>
                      </w:rPr>
                      <w:t>01 Žvejyba</w:t>
                    </w:r>
                  </w:p>
                </w:tc>
                <w:tc>
                  <w:tcPr>
                    <w:tcW w:w="1701" w:type="dxa"/>
                  </w:tcPr>
                  <w:p w14:paraId="4C21474F" w14:textId="77777777" w:rsidR="00A31459" w:rsidRDefault="00BF2634">
                    <w:pPr>
                      <w:rPr>
                        <w:sz w:val="22"/>
                        <w:szCs w:val="22"/>
                      </w:rPr>
                    </w:pPr>
                    <w:r>
                      <w:rPr>
                        <w:sz w:val="22"/>
                        <w:szCs w:val="22"/>
                      </w:rPr>
                      <w:t>04 Privati įmonė – labai maža;</w:t>
                    </w:r>
                  </w:p>
                  <w:p w14:paraId="33B97FF6" w14:textId="1F4F5B94" w:rsidR="00A31459" w:rsidRDefault="00BF2634">
                    <w:pPr>
                      <w:rPr>
                        <w:sz w:val="22"/>
                        <w:szCs w:val="22"/>
                      </w:rPr>
                    </w:pPr>
                    <w:r>
                      <w:rPr>
                        <w:sz w:val="22"/>
                        <w:szCs w:val="22"/>
                      </w:rPr>
                      <w:t>05 Privati įmonė – MVĮ (mažoji ar vidutinė įmonė);</w:t>
                    </w:r>
                  </w:p>
                  <w:p w14:paraId="6E6EC72C" w14:textId="77777777" w:rsidR="00A31459" w:rsidRDefault="00BF2634">
                    <w:pPr>
                      <w:rPr>
                        <w:i/>
                        <w:sz w:val="22"/>
                        <w:szCs w:val="22"/>
                      </w:rPr>
                    </w:pPr>
                    <w:r>
                      <w:rPr>
                        <w:sz w:val="22"/>
                        <w:szCs w:val="22"/>
                      </w:rPr>
                      <w:t>06 Privati įmonė – didelė.</w:t>
                    </w:r>
                  </w:p>
                </w:tc>
                <w:tc>
                  <w:tcPr>
                    <w:tcW w:w="1418" w:type="dxa"/>
                  </w:tcPr>
                  <w:p w14:paraId="2ADBD5C7" w14:textId="77777777" w:rsidR="00A31459" w:rsidRDefault="00BF2634">
                    <w:pPr>
                      <w:rPr>
                        <w:i/>
                        <w:sz w:val="22"/>
                        <w:szCs w:val="22"/>
                      </w:rPr>
                    </w:pPr>
                    <w:r>
                      <w:rPr>
                        <w:bCs/>
                        <w:iCs/>
                        <w:sz w:val="22"/>
                        <w:szCs w:val="22"/>
                      </w:rPr>
                      <w:t>01 Jūros</w:t>
                    </w:r>
                  </w:p>
                </w:tc>
                <w:tc>
                  <w:tcPr>
                    <w:tcW w:w="1581" w:type="dxa"/>
                  </w:tcPr>
                  <w:p w14:paraId="33C5F497" w14:textId="77777777" w:rsidR="00A31459" w:rsidRDefault="00BF2634">
                    <w:pPr>
                      <w:rPr>
                        <w:iCs/>
                        <w:sz w:val="22"/>
                        <w:szCs w:val="22"/>
                      </w:rPr>
                    </w:pPr>
                    <w:r>
                      <w:t>29 Su mažos apimties priekrantės žvejyba susijęs veiksmas</w:t>
                    </w:r>
                    <w:r>
                      <w:rPr>
                        <w:iCs/>
                        <w:sz w:val="22"/>
                        <w:szCs w:val="22"/>
                      </w:rPr>
                      <w:t xml:space="preserve"> (kai aktualu) </w:t>
                    </w:r>
                  </w:p>
                  <w:p w14:paraId="4EA4F142" w14:textId="77777777" w:rsidR="00A31459" w:rsidRDefault="00BF2634">
                    <w:pPr>
                      <w:rPr>
                        <w:iCs/>
                        <w:sz w:val="22"/>
                        <w:szCs w:val="22"/>
                      </w:rPr>
                    </w:pPr>
                    <w:r>
                      <w:rPr>
                        <w:iCs/>
                        <w:sz w:val="22"/>
                        <w:szCs w:val="22"/>
                      </w:rPr>
                      <w:t xml:space="preserve">30 Su įpareigojimu iškrauti </w:t>
                    </w:r>
                    <w:r>
                      <w:rPr>
                        <w:iCs/>
                        <w:sz w:val="22"/>
                        <w:szCs w:val="22"/>
                      </w:rPr>
                      <w:t>laimikį susijęs veiksmas</w:t>
                    </w:r>
                  </w:p>
                  <w:p w14:paraId="28C85322" w14:textId="77777777" w:rsidR="00A31459" w:rsidRDefault="00BF2634">
                    <w:pPr>
                      <w:rPr>
                        <w:sz w:val="22"/>
                        <w:szCs w:val="22"/>
                      </w:rPr>
                    </w:pPr>
                    <w:r>
                      <w:rPr>
                        <w:sz w:val="22"/>
                        <w:szCs w:val="22"/>
                      </w:rPr>
                      <w:t>31 Su klimato kaita susijęs veiksmas</w:t>
                    </w:r>
                  </w:p>
                </w:tc>
                <w:tc>
                  <w:tcPr>
                    <w:tcW w:w="1633" w:type="dxa"/>
                  </w:tcPr>
                  <w:p w14:paraId="282A173F" w14:textId="77777777" w:rsidR="00A31459" w:rsidRDefault="00BF2634">
                    <w:pPr>
                      <w:rPr>
                        <w:i/>
                        <w:sz w:val="22"/>
                        <w:szCs w:val="22"/>
                      </w:rPr>
                    </w:pPr>
                    <w:r>
                      <w:rPr>
                        <w:iCs/>
                        <w:sz w:val="22"/>
                        <w:szCs w:val="22"/>
                      </w:rPr>
                      <w:t>44 Investicijos į privataus verslo vykdomą kontrolę ir vykdymo užtikrinimą</w:t>
                    </w:r>
                  </w:p>
                </w:tc>
                <w:tc>
                  <w:tcPr>
                    <w:tcW w:w="1889" w:type="dxa"/>
                  </w:tcPr>
                  <w:p w14:paraId="71CA81D5" w14:textId="77777777" w:rsidR="00A31459" w:rsidRDefault="00BF2634">
                    <w:pPr>
                      <w:rPr>
                        <w:i/>
                        <w:sz w:val="22"/>
                        <w:szCs w:val="22"/>
                      </w:rPr>
                    </w:pPr>
                    <w:r>
                      <w:rPr>
                        <w:sz w:val="22"/>
                        <w:szCs w:val="22"/>
                      </w:rPr>
                      <w:t>10 Kontrolė ir vykdymo užtikrinimas</w:t>
                    </w:r>
                  </w:p>
                </w:tc>
                <w:tc>
                  <w:tcPr>
                    <w:tcW w:w="1377" w:type="dxa"/>
                  </w:tcPr>
                  <w:p w14:paraId="00E3C032" w14:textId="77777777" w:rsidR="00A31459" w:rsidRDefault="00BF2634">
                    <w:pPr>
                      <w:rPr>
                        <w:b/>
                        <w:i/>
                        <w:sz w:val="22"/>
                        <w:szCs w:val="22"/>
                      </w:rPr>
                    </w:pPr>
                    <w:r>
                      <w:rPr>
                        <w:bCs/>
                        <w:iCs/>
                        <w:sz w:val="22"/>
                        <w:szCs w:val="22"/>
                      </w:rPr>
                      <w:t>01 Dotacijos</w:t>
                    </w:r>
                  </w:p>
                </w:tc>
              </w:tr>
            </w:tbl>
            <w:p w14:paraId="052296FC" w14:textId="77777777" w:rsidR="00A31459" w:rsidRDefault="00A31459">
              <w:pPr>
                <w:ind w:firstLine="567"/>
                <w:jc w:val="both"/>
                <w:rPr>
                  <w:b/>
                  <w:bCs/>
                  <w:sz w:val="22"/>
                  <w:szCs w:val="22"/>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A31459" w14:paraId="73C4E66E" w14:textId="77777777">
                <w:tc>
                  <w:tcPr>
                    <w:tcW w:w="14709" w:type="dxa"/>
                  </w:tcPr>
                  <w:p w14:paraId="1B06ED28" w14:textId="77777777" w:rsidR="00A31459" w:rsidRDefault="00BF2634">
                    <w:pPr>
                      <w:ind w:left="1080" w:hanging="720"/>
                      <w:rPr>
                        <w:b/>
                        <w:sz w:val="22"/>
                        <w:szCs w:val="22"/>
                      </w:rPr>
                    </w:pPr>
                    <w:r>
                      <w:rPr>
                        <w:b/>
                        <w:sz w:val="22"/>
                        <w:szCs w:val="22"/>
                      </w:rPr>
                      <w:t>II.</w:t>
                    </w:r>
                    <w:r>
                      <w:rPr>
                        <w:b/>
                        <w:sz w:val="22"/>
                        <w:szCs w:val="22"/>
                      </w:rPr>
                      <w:tab/>
                      <w:t>SPECIALIEJI FINANSAVIMO REIKALAVIMAI</w:t>
                    </w:r>
                  </w:p>
                </w:tc>
              </w:tr>
              <w:tr w:rsidR="00A31459" w14:paraId="2E61CF6E" w14:textId="77777777">
                <w:tc>
                  <w:tcPr>
                    <w:tcW w:w="14709" w:type="dxa"/>
                  </w:tcPr>
                  <w:p w14:paraId="63C8EE10" w14:textId="77777777" w:rsidR="00A31459" w:rsidRDefault="00BF2634">
                    <w:pPr>
                      <w:rPr>
                        <w:b/>
                        <w:bCs/>
                        <w:sz w:val="22"/>
                        <w:szCs w:val="22"/>
                      </w:rPr>
                    </w:pPr>
                    <w:r>
                      <w:rPr>
                        <w:b/>
                        <w:bCs/>
                        <w:sz w:val="22"/>
                        <w:szCs w:val="22"/>
                      </w:rPr>
                      <w:t>1. Taikomi teisės aktai</w:t>
                    </w:r>
                  </w:p>
                </w:tc>
              </w:tr>
              <w:tr w:rsidR="00A31459" w14:paraId="4533D206" w14:textId="77777777">
                <w:tc>
                  <w:tcPr>
                    <w:tcW w:w="14709" w:type="dxa"/>
                  </w:tcPr>
                  <w:p w14:paraId="795F6CD9" w14:textId="77777777" w:rsidR="00A31459" w:rsidRDefault="00BF2634">
                    <w:pPr>
                      <w:tabs>
                        <w:tab w:val="left" w:pos="452"/>
                      </w:tabs>
                      <w:spacing w:line="360" w:lineRule="auto"/>
                      <w:jc w:val="both"/>
                      <w:rPr>
                        <w:color w:val="000000"/>
                        <w:sz w:val="22"/>
                        <w:szCs w:val="22"/>
                      </w:rPr>
                    </w:pPr>
                    <w:r>
                      <w:rPr>
                        <w:color w:val="000000"/>
                        <w:sz w:val="22"/>
                        <w:szCs w:val="22"/>
                      </w:rPr>
                      <w:t>1.1.</w:t>
                    </w:r>
                    <w:r>
                      <w:rPr>
                        <w:color w:val="000000"/>
                        <w:sz w:val="22"/>
                        <w:szCs w:val="22"/>
                      </w:rPr>
                      <w:tab/>
                      <w:t>2021 m. birželio 24 d. Europos Parlamento ir Tarybos reglamentas (ES) Nr. 2021/1060, kuriuo nustatomos bendros Europos regioninės plėtros fondo, „Europos socialinio fondo+“, Sanglaudos fondo, Teisingos pertvarkos fondo ir Europos jūrų reikalų, žvejybo</w:t>
                    </w:r>
                    <w:r>
                      <w:rPr>
                        <w:color w:val="000000"/>
                        <w:sz w:val="22"/>
                        <w:szCs w:val="22"/>
                      </w:rPr>
                      <w:t>s ir akvakultūros fondo nuostatos ir šių fondų bei Prieglobsčio, migracijos ir integracijos fondo, Vidaus saugumo fondo ir Sienų valdymo ir vizų politikos finansinės paramos priemonės taisyklės (toliau – Reglamentas (ES) Nr. 2021/1060);</w:t>
                    </w:r>
                  </w:p>
                  <w:p w14:paraId="5CDFC262" w14:textId="77777777" w:rsidR="00A31459" w:rsidRDefault="00BF2634">
                    <w:pPr>
                      <w:tabs>
                        <w:tab w:val="left" w:pos="452"/>
                      </w:tabs>
                      <w:spacing w:line="360" w:lineRule="auto"/>
                      <w:jc w:val="both"/>
                      <w:rPr>
                        <w:sz w:val="22"/>
                        <w:szCs w:val="22"/>
                      </w:rPr>
                    </w:pPr>
                    <w:r>
                      <w:rPr>
                        <w:sz w:val="22"/>
                        <w:szCs w:val="22"/>
                      </w:rPr>
                      <w:t>1.2.</w:t>
                    </w:r>
                    <w:r>
                      <w:rPr>
                        <w:sz w:val="22"/>
                        <w:szCs w:val="22"/>
                      </w:rPr>
                      <w:tab/>
                    </w:r>
                    <w:r>
                      <w:rPr>
                        <w:color w:val="000000"/>
                        <w:sz w:val="22"/>
                        <w:szCs w:val="22"/>
                      </w:rPr>
                      <w:t>2021 m. liepos</w:t>
                    </w:r>
                    <w:r>
                      <w:rPr>
                        <w:color w:val="000000"/>
                        <w:sz w:val="22"/>
                        <w:szCs w:val="22"/>
                      </w:rPr>
                      <w:t xml:space="preserve"> 7 d. </w:t>
                    </w:r>
                    <w:r>
                      <w:rPr>
                        <w:sz w:val="22"/>
                        <w:szCs w:val="22"/>
                      </w:rPr>
                      <w:t xml:space="preserve"> </w:t>
                    </w:r>
                    <w:r>
                      <w:rPr>
                        <w:color w:val="000000"/>
                        <w:sz w:val="22"/>
                        <w:szCs w:val="22"/>
                      </w:rPr>
                      <w:t>Europos Parlamento ir Tarybos reglamentas (ES) Nr. 2021/1139, kuriuo nustatomas Europos jūrų reikalų, žvejybos ir akvakultūros fondas ir iš dalies keičiamas Reglamentas (ES) Nr. 2017/1004 (toliau – Reglamentas (ES) Nr. 2021/1139);</w:t>
                    </w:r>
                  </w:p>
                  <w:p w14:paraId="0F3105B1" w14:textId="77777777" w:rsidR="00A31459" w:rsidRDefault="00BF2634">
                    <w:pPr>
                      <w:tabs>
                        <w:tab w:val="left" w:pos="452"/>
                      </w:tabs>
                      <w:spacing w:line="360" w:lineRule="auto"/>
                      <w:jc w:val="both"/>
                      <w:rPr>
                        <w:sz w:val="22"/>
                        <w:szCs w:val="22"/>
                      </w:rPr>
                    </w:pPr>
                    <w:r>
                      <w:rPr>
                        <w:sz w:val="22"/>
                        <w:szCs w:val="22"/>
                      </w:rPr>
                      <w:t>1.3.</w:t>
                    </w:r>
                    <w:r>
                      <w:rPr>
                        <w:sz w:val="22"/>
                        <w:szCs w:val="22"/>
                      </w:rPr>
                      <w:tab/>
                      <w:t xml:space="preserve"> Lietuvos žuv</w:t>
                    </w:r>
                    <w:r>
                      <w:rPr>
                        <w:sz w:val="22"/>
                        <w:szCs w:val="22"/>
                      </w:rPr>
                      <w:t xml:space="preserve">ininkystės sektoriaus 2021–2027 metų programa (toliau – Žuvininkystės programa), patvirtinta 2022 m. spalio 31 d. </w:t>
                    </w:r>
                    <w:r>
                      <w:rPr>
                        <w:bCs/>
                        <w:sz w:val="22"/>
                        <w:szCs w:val="22"/>
                      </w:rPr>
                      <w:t>Europos Komisijos įgyvendinimo sprendimu C(2022) 8008</w:t>
                    </w:r>
                    <w:r>
                      <w:rPr>
                        <w:sz w:val="22"/>
                        <w:szCs w:val="22"/>
                      </w:rPr>
                      <w:t xml:space="preserve">;  </w:t>
                    </w:r>
                  </w:p>
                  <w:p w14:paraId="66B413D7" w14:textId="77777777" w:rsidR="00A31459" w:rsidRDefault="00BF2634">
                    <w:pPr>
                      <w:tabs>
                        <w:tab w:val="left" w:pos="452"/>
                      </w:tabs>
                      <w:spacing w:line="360" w:lineRule="auto"/>
                      <w:jc w:val="both"/>
                      <w:rPr>
                        <w:sz w:val="22"/>
                        <w:szCs w:val="22"/>
                      </w:rPr>
                    </w:pPr>
                    <w:r>
                      <w:rPr>
                        <w:sz w:val="22"/>
                        <w:szCs w:val="22"/>
                      </w:rPr>
                      <w:t>1.4.</w:t>
                    </w:r>
                    <w:r>
                      <w:rPr>
                        <w:sz w:val="22"/>
                        <w:szCs w:val="22"/>
                      </w:rPr>
                      <w:tab/>
                      <w:t>2022 m. sausio 19 d. Komisijos įgyvendinimo reglamentas (ES) 2022/79, kuriuo nus</w:t>
                    </w:r>
                    <w:r>
                      <w:rPr>
                        <w:sz w:val="22"/>
                        <w:szCs w:val="22"/>
                      </w:rPr>
                      <w:t xml:space="preserve">tatomos Europos Parlamento ir Tarybos reglamento (ES) 2021/1139 taikymo taisyklės dėl veiksmų lygmens įgyvendinimo duomenų registravimo, perdavimo ir pateikimo; </w:t>
                    </w:r>
                  </w:p>
                  <w:p w14:paraId="256A1651" w14:textId="77777777" w:rsidR="00A31459" w:rsidRDefault="00BF2634">
                    <w:pPr>
                      <w:tabs>
                        <w:tab w:val="left" w:pos="452"/>
                      </w:tabs>
                      <w:spacing w:line="360" w:lineRule="auto"/>
                      <w:jc w:val="both"/>
                      <w:rPr>
                        <w:sz w:val="22"/>
                        <w:szCs w:val="22"/>
                      </w:rPr>
                    </w:pPr>
                    <w:r>
                      <w:rPr>
                        <w:sz w:val="22"/>
                        <w:szCs w:val="22"/>
                      </w:rPr>
                      <w:t>1.5.</w:t>
                    </w:r>
                    <w:r>
                      <w:rPr>
                        <w:sz w:val="22"/>
                        <w:szCs w:val="22"/>
                      </w:rPr>
                      <w:tab/>
                      <w:t>Lietuvos žuvininkystės sektoriaus 2021–2027 metų programos administravimo taisyklės (toli</w:t>
                    </w:r>
                    <w:r>
                      <w:rPr>
                        <w:sz w:val="22"/>
                        <w:szCs w:val="22"/>
                      </w:rPr>
                      <w:t>au – Žuvininkystės programos administravimo taisyklės), patvirtintos Lietuvos Respublikos žemės ūkio ministro 2022 m. gruodžio 12 d. įsakymu Nr. 3D-798 „Dėl Lietuvos žuvininkystės sektoriaus 2021–2027 metų programos administravimo taisyklių patvirtinimo“;</w:t>
                    </w:r>
                  </w:p>
                  <w:p w14:paraId="71E6FAE3" w14:textId="14E6B0C5" w:rsidR="00A31459" w:rsidRDefault="00BF2634">
                    <w:pPr>
                      <w:tabs>
                        <w:tab w:val="left" w:pos="452"/>
                      </w:tabs>
                      <w:spacing w:line="360" w:lineRule="auto"/>
                      <w:jc w:val="both"/>
                      <w:rPr>
                        <w:sz w:val="22"/>
                        <w:szCs w:val="22"/>
                      </w:rPr>
                    </w:pPr>
                    <w:r>
                      <w:rPr>
                        <w:sz w:val="22"/>
                        <w:szCs w:val="22"/>
                      </w:rPr>
                      <w:t>1.6. Lietuvos žuvininkystės sektoriaus 2021–2027 metų programos projektų finansavimo ir administravimo taisyklės (toliau – PFAT), patvirtintos Lietuvos Respublikos žemės ūkio ministro 2023 m. birželio 23. d. įsakymu Nr. 3D-414 „Dėl Lietuvos žuvininkystės s</w:t>
                    </w:r>
                    <w:r>
                      <w:rPr>
                        <w:sz w:val="22"/>
                        <w:szCs w:val="22"/>
                      </w:rPr>
                      <w:t>ektoriaus 2021–2027 metų programos projektų finansavimo ir administravimo taisyklių patvirtinimo“.</w:t>
                    </w:r>
                  </w:p>
                </w:tc>
              </w:tr>
              <w:tr w:rsidR="00A31459" w14:paraId="0C386D5C" w14:textId="77777777">
                <w:tc>
                  <w:tcPr>
                    <w:tcW w:w="14709" w:type="dxa"/>
                  </w:tcPr>
                  <w:p w14:paraId="700CF7E2" w14:textId="77777777" w:rsidR="00A31459" w:rsidRDefault="00BF2634">
                    <w:pPr>
                      <w:spacing w:line="360" w:lineRule="auto"/>
                      <w:jc w:val="both"/>
                      <w:rPr>
                        <w:b/>
                        <w:bCs/>
                        <w:sz w:val="22"/>
                        <w:szCs w:val="22"/>
                      </w:rPr>
                    </w:pPr>
                    <w:r>
                      <w:rPr>
                        <w:b/>
                        <w:bCs/>
                        <w:sz w:val="22"/>
                        <w:szCs w:val="22"/>
                      </w:rPr>
                      <w:t>2. Galima didžiausia paramos suma projektui ir paramos intensyvumo norma</w:t>
                    </w:r>
                  </w:p>
                  <w:p w14:paraId="3C8E92C9" w14:textId="28EBC0FF" w:rsidR="00A31459" w:rsidRDefault="00BF2634">
                    <w:pPr>
                      <w:spacing w:line="360" w:lineRule="auto"/>
                      <w:jc w:val="both"/>
                      <w:rPr>
                        <w:rFonts w:eastAsia="Calibri"/>
                        <w:sz w:val="22"/>
                        <w:szCs w:val="22"/>
                        <w:lang w:eastAsia="lt-LT"/>
                      </w:rPr>
                    </w:pPr>
                    <w:r>
                      <w:rPr>
                        <w:color w:val="000000"/>
                        <w:sz w:val="22"/>
                        <w:szCs w:val="22"/>
                      </w:rPr>
                      <w:t xml:space="preserve">2.1. </w:t>
                    </w:r>
                    <w:r>
                      <w:rPr>
                        <w:color w:val="000000"/>
                        <w:sz w:val="22"/>
                        <w:szCs w:val="22"/>
                        <w:lang w:eastAsia="lt" w:bidi="ar"/>
                      </w:rPr>
                      <w:t>Didžiausia galima paramos suma</w:t>
                    </w:r>
                    <w:r>
                      <w:rPr>
                        <w:rFonts w:eastAsia="Calibri"/>
                        <w:sz w:val="22"/>
                        <w:szCs w:val="22"/>
                      </w:rPr>
                      <w:t xml:space="preserve"> vienam projekto įgyvendinimo planui (toliau – P</w:t>
                    </w:r>
                    <w:r>
                      <w:rPr>
                        <w:rFonts w:eastAsia="Calibri"/>
                        <w:sz w:val="22"/>
                        <w:szCs w:val="22"/>
                      </w:rPr>
                      <w:t>ĮP) įgyvendinti neribojama, bet negali būti didesnė nei nustatyta Lietuvos žuvininkystės sektoriaus 2021–2027 metų programos pirmojo prioriteto „Tausios žvejybos skatinimas ir vandens biologinių išteklių atkūrimas ir išsaugojimas“ priemonės „Reikalingų sis</w:t>
                    </w:r>
                    <w:r>
                      <w:rPr>
                        <w:rFonts w:eastAsia="Calibri"/>
                        <w:sz w:val="22"/>
                        <w:szCs w:val="22"/>
                      </w:rPr>
                      <w:t>temų ir prietaisų įsigijimas ir įrengimas laivuose“ projektų finansavimo sąlygų aprašo (toliau – Aprašas) 2.2 papunktyje.</w:t>
                    </w:r>
                  </w:p>
                  <w:p w14:paraId="44A20242" w14:textId="3F4BED49" w:rsidR="00A31459" w:rsidRDefault="00BF2634">
                    <w:pPr>
                      <w:spacing w:line="360" w:lineRule="auto"/>
                      <w:jc w:val="both"/>
                      <w:rPr>
                        <w:color w:val="000000"/>
                        <w:sz w:val="22"/>
                        <w:szCs w:val="22"/>
                      </w:rPr>
                    </w:pPr>
                    <w:r>
                      <w:rPr>
                        <w:color w:val="000000"/>
                        <w:sz w:val="22"/>
                        <w:szCs w:val="22"/>
                      </w:rPr>
                      <w:lastRenderedPageBreak/>
                      <w:t>2.2. Pagal Aprašą projektams įgyvendinti skiriama iki 1 000 000 (vieno milijono) Eur Europos jūrų reikalų, žvejybos ir akvakultūros fo</w:t>
                    </w:r>
                    <w:r>
                      <w:rPr>
                        <w:color w:val="000000"/>
                        <w:sz w:val="22"/>
                        <w:szCs w:val="22"/>
                      </w:rPr>
                      <w:t xml:space="preserve">ndo (toliau – EJRŽAF) ir bendrojo finansavimo lėšų </w:t>
                    </w:r>
                    <w:r>
                      <w:rPr>
                        <w:rFonts w:eastAsia="Calibri"/>
                        <w:sz w:val="22"/>
                        <w:szCs w:val="22"/>
                      </w:rPr>
                      <w:t>(70 proc. iš EJRŽAF lėšų ir 30 proc. iš bendrojo finansavimo lėšų)</w:t>
                    </w:r>
                    <w:r>
                      <w:rPr>
                        <w:color w:val="000000"/>
                        <w:sz w:val="22"/>
                        <w:szCs w:val="22"/>
                      </w:rPr>
                      <w:t>.</w:t>
                    </w:r>
                  </w:p>
                  <w:p w14:paraId="163D84A2" w14:textId="77777777" w:rsidR="00A31459" w:rsidRDefault="00BF2634">
                    <w:pPr>
                      <w:spacing w:line="360" w:lineRule="auto"/>
                      <w:jc w:val="both"/>
                      <w:rPr>
                        <w:sz w:val="22"/>
                        <w:szCs w:val="22"/>
                      </w:rPr>
                    </w:pPr>
                    <w:r>
                      <w:rPr>
                        <w:rFonts w:eastAsia="Calibri"/>
                        <w:sz w:val="22"/>
                        <w:szCs w:val="22"/>
                        <w:lang w:eastAsia="lt-LT"/>
                      </w:rPr>
                      <w:t>2.3. Paramos intensyvumo norma</w:t>
                    </w:r>
                    <w:r>
                      <w:rPr>
                        <w:sz w:val="22"/>
                        <w:szCs w:val="22"/>
                      </w:rPr>
                      <w:t xml:space="preserve"> sudaro:</w:t>
                    </w:r>
                  </w:p>
                  <w:p w14:paraId="5115E87B" w14:textId="7757AD55" w:rsidR="00A31459" w:rsidRDefault="00BF2634">
                    <w:pPr>
                      <w:spacing w:line="360" w:lineRule="auto"/>
                      <w:jc w:val="both"/>
                      <w:rPr>
                        <w:rFonts w:eastAsia="Calibri"/>
                        <w:sz w:val="22"/>
                        <w:szCs w:val="22"/>
                      </w:rPr>
                    </w:pPr>
                    <w:r>
                      <w:rPr>
                        <w:sz w:val="22"/>
                        <w:szCs w:val="22"/>
                      </w:rPr>
                      <w:t>2.3.1. iki 100 proc. visų tinkamų finansuoti projekto išlaidų</w:t>
                    </w:r>
                    <w:r>
                      <w:rPr>
                        <w:rFonts w:eastAsia="Calibri"/>
                        <w:sz w:val="22"/>
                        <w:szCs w:val="22"/>
                      </w:rPr>
                      <w:t xml:space="preserve">, kai PĮP teikia Aprašo 3.3.1 </w:t>
                    </w:r>
                    <w:r>
                      <w:rPr>
                        <w:rFonts w:eastAsia="Calibri"/>
                        <w:sz w:val="22"/>
                        <w:szCs w:val="22"/>
                      </w:rPr>
                      <w:t>papunktyje nurodyti pareiškėjai;</w:t>
                    </w:r>
                  </w:p>
                  <w:p w14:paraId="5084A846" w14:textId="44B75004" w:rsidR="00A31459" w:rsidRDefault="00BF2634">
                    <w:pPr>
                      <w:spacing w:line="360" w:lineRule="auto"/>
                      <w:jc w:val="both"/>
                      <w:rPr>
                        <w:b/>
                        <w:bCs/>
                        <w:sz w:val="22"/>
                        <w:szCs w:val="22"/>
                      </w:rPr>
                    </w:pPr>
                    <w:r>
                      <w:rPr>
                        <w:rFonts w:eastAsia="Calibri"/>
                        <w:sz w:val="22"/>
                        <w:szCs w:val="22"/>
                      </w:rPr>
                      <w:t xml:space="preserve">2.3.2. iki </w:t>
                    </w:r>
                    <w:r>
                      <w:rPr>
                        <w:sz w:val="22"/>
                        <w:szCs w:val="22"/>
                      </w:rPr>
                      <w:t>75 proc. visų tinkamų finansuoti projekto išlaidų</w:t>
                    </w:r>
                    <w:r>
                      <w:rPr>
                        <w:rFonts w:eastAsia="Calibri"/>
                        <w:sz w:val="22"/>
                        <w:szCs w:val="22"/>
                      </w:rPr>
                      <w:t xml:space="preserve">, kai PĮP teikia Aprašo 3.3.2–3.3.3 papunktyje nurodyti pareiškėjai. </w:t>
                    </w:r>
                  </w:p>
                </w:tc>
              </w:tr>
              <w:tr w:rsidR="00A31459" w14:paraId="759E0E7E" w14:textId="77777777">
                <w:tc>
                  <w:tcPr>
                    <w:tcW w:w="14709" w:type="dxa"/>
                  </w:tcPr>
                  <w:p w14:paraId="6BC8136C" w14:textId="77777777" w:rsidR="00A31459" w:rsidRDefault="00BF2634">
                    <w:pPr>
                      <w:spacing w:line="360" w:lineRule="auto"/>
                      <w:rPr>
                        <w:b/>
                        <w:sz w:val="22"/>
                        <w:szCs w:val="22"/>
                      </w:rPr>
                    </w:pPr>
                    <w:r>
                      <w:rPr>
                        <w:b/>
                        <w:sz w:val="22"/>
                        <w:szCs w:val="22"/>
                      </w:rPr>
                      <w:lastRenderedPageBreak/>
                      <w:t>3. Reikalavimai projektams</w:t>
                    </w:r>
                  </w:p>
                </w:tc>
              </w:tr>
              <w:tr w:rsidR="00A31459" w14:paraId="48C8D943" w14:textId="77777777">
                <w:tc>
                  <w:tcPr>
                    <w:tcW w:w="14709" w:type="dxa"/>
                  </w:tcPr>
                  <w:p w14:paraId="4B9EE624" w14:textId="47858ED5" w:rsidR="00A31459" w:rsidRDefault="00BF2634">
                    <w:pPr>
                      <w:spacing w:line="360" w:lineRule="auto"/>
                      <w:jc w:val="both"/>
                      <w:rPr>
                        <w:sz w:val="22"/>
                        <w:szCs w:val="22"/>
                      </w:rPr>
                    </w:pPr>
                    <w:r>
                      <w:rPr>
                        <w:sz w:val="22"/>
                        <w:szCs w:val="22"/>
                      </w:rPr>
                      <w:t>3.1. Pagal Aprašą finansuojama projekto veikla: Reglamento (ES) Nr. 2021/1139 22 straipsnio 2 punkte nurodytų (privalomų ir ne privalomų pagal ES teisės aktus) sistemų ir (arba) prietaisų įsigijimas ir (arba) įrengimas laivuose. Įskaitant palaikymą kai tai</w:t>
                    </w:r>
                    <w:r>
                      <w:rPr>
                        <w:sz w:val="22"/>
                        <w:szCs w:val="22"/>
                      </w:rPr>
                      <w:t xml:space="preserve">p nustatyta Aprašo 9.4 papunktyje.  </w:t>
                    </w:r>
                  </w:p>
                  <w:p w14:paraId="29EFE259" w14:textId="77777777" w:rsidR="00A31459" w:rsidRDefault="00BF2634">
                    <w:pPr>
                      <w:spacing w:line="360" w:lineRule="auto"/>
                      <w:jc w:val="both"/>
                      <w:rPr>
                        <w:sz w:val="22"/>
                        <w:szCs w:val="22"/>
                      </w:rPr>
                    </w:pPr>
                    <w:r>
                      <w:rPr>
                        <w:sz w:val="22"/>
                        <w:szCs w:val="22"/>
                      </w:rPr>
                      <w:t xml:space="preserve">3.2. PĮP teikiami ir įgyvendinami be partnerio (-ių). </w:t>
                    </w:r>
                  </w:p>
                  <w:p w14:paraId="72CB400E" w14:textId="77777777" w:rsidR="00A31459" w:rsidRDefault="00BF2634">
                    <w:pPr>
                      <w:spacing w:line="360" w:lineRule="auto"/>
                      <w:jc w:val="both"/>
                      <w:rPr>
                        <w:sz w:val="22"/>
                        <w:szCs w:val="22"/>
                      </w:rPr>
                    </w:pPr>
                    <w:r>
                      <w:rPr>
                        <w:sz w:val="22"/>
                        <w:szCs w:val="22"/>
                      </w:rPr>
                      <w:t xml:space="preserve">3.3. Galimi pareiškėjai – </w:t>
                    </w:r>
                    <w:r>
                      <w:rPr>
                        <w:rFonts w:eastAsia="Calibri"/>
                        <w:bCs/>
                        <w:iCs/>
                        <w:sz w:val="22"/>
                        <w:szCs w:val="22"/>
                        <w:lang w:eastAsia="lt-LT"/>
                      </w:rPr>
                      <w:t xml:space="preserve"> įmonės užsiimančios versline žvejyba jūrų vandenyse ir atitinkamai turinčios:</w:t>
                    </w:r>
                  </w:p>
                  <w:p w14:paraId="7A653D1D" w14:textId="69C55200" w:rsidR="00A31459" w:rsidRDefault="00BF2634">
                    <w:pPr>
                      <w:widowControl w:val="0"/>
                      <w:spacing w:line="360" w:lineRule="auto"/>
                      <w:jc w:val="both"/>
                      <w:textAlignment w:val="baseline"/>
                      <w:rPr>
                        <w:rFonts w:eastAsia="Calibri"/>
                        <w:bCs/>
                        <w:iCs/>
                        <w:sz w:val="22"/>
                        <w:szCs w:val="22"/>
                        <w:lang w:eastAsia="lt-LT"/>
                      </w:rPr>
                    </w:pPr>
                    <w:r>
                      <w:rPr>
                        <w:sz w:val="22"/>
                        <w:szCs w:val="22"/>
                      </w:rPr>
                      <w:t xml:space="preserve">3.3.1. </w:t>
                    </w:r>
                    <w:r>
                      <w:rPr>
                        <w:rFonts w:eastAsia="Calibri"/>
                        <w:bCs/>
                        <w:iCs/>
                        <w:sz w:val="22"/>
                        <w:szCs w:val="22"/>
                        <w:lang w:eastAsia="lt-LT"/>
                      </w:rPr>
                      <w:t>perleidžiamąją teisę naudoti verslinės žvejybos įran</w:t>
                    </w:r>
                    <w:r>
                      <w:rPr>
                        <w:rFonts w:eastAsia="Calibri"/>
                        <w:bCs/>
                        <w:iCs/>
                        <w:sz w:val="22"/>
                        <w:szCs w:val="22"/>
                        <w:lang w:eastAsia="lt-LT"/>
                      </w:rPr>
                      <w:t>kius priekrantės žvejybai;</w:t>
                    </w:r>
                  </w:p>
                  <w:p w14:paraId="18E66E42" w14:textId="77777777" w:rsidR="00A31459" w:rsidRDefault="00BF2634">
                    <w:pPr>
                      <w:spacing w:line="360" w:lineRule="auto"/>
                      <w:jc w:val="both"/>
                      <w:rPr>
                        <w:sz w:val="22"/>
                        <w:szCs w:val="22"/>
                      </w:rPr>
                    </w:pPr>
                    <w:r>
                      <w:rPr>
                        <w:sz w:val="22"/>
                        <w:szCs w:val="22"/>
                      </w:rPr>
                      <w:t xml:space="preserve">3.3.2. </w:t>
                    </w:r>
                    <w:r>
                      <w:rPr>
                        <w:rFonts w:eastAsia="Calibri"/>
                        <w:bCs/>
                        <w:iCs/>
                        <w:sz w:val="22"/>
                        <w:szCs w:val="22"/>
                        <w:lang w:eastAsia="lt-LT"/>
                      </w:rPr>
                      <w:t>ir / arba perleidžiamąją teisę į žvejybos galimybes jūrų vandenyse;</w:t>
                    </w:r>
                  </w:p>
                  <w:p w14:paraId="5B20A308" w14:textId="77777777" w:rsidR="00A31459" w:rsidRDefault="00BF2634">
                    <w:pPr>
                      <w:spacing w:line="360" w:lineRule="auto"/>
                      <w:jc w:val="both"/>
                      <w:rPr>
                        <w:sz w:val="22"/>
                        <w:szCs w:val="22"/>
                      </w:rPr>
                    </w:pPr>
                    <w:r>
                      <w:rPr>
                        <w:sz w:val="22"/>
                        <w:szCs w:val="22"/>
                      </w:rPr>
                      <w:t>3.3.3. ir / arba verslinės žvejybos kitų jūrų vandenyse leidimą.</w:t>
                    </w:r>
                  </w:p>
                  <w:p w14:paraId="0E1B4792" w14:textId="1C2E98BB" w:rsidR="00A31459" w:rsidRDefault="00BF2634">
                    <w:pPr>
                      <w:spacing w:line="360" w:lineRule="auto"/>
                      <w:jc w:val="both"/>
                      <w:rPr>
                        <w:bCs/>
                        <w:sz w:val="22"/>
                        <w:szCs w:val="22"/>
                      </w:rPr>
                    </w:pPr>
                    <w:r>
                      <w:rPr>
                        <w:sz w:val="22"/>
                        <w:szCs w:val="22"/>
                      </w:rPr>
                      <w:t xml:space="preserve">3.3. </w:t>
                    </w:r>
                    <w:r>
                      <w:rPr>
                        <w:bCs/>
                        <w:sz w:val="22"/>
                        <w:szCs w:val="22"/>
                      </w:rPr>
                      <w:t xml:space="preserve">Projekto veiklos gali būti vykdomos nuo 2023 m. sausio 1 d. iki 2029 m. gruodžio 31 </w:t>
                    </w:r>
                    <w:r>
                      <w:rPr>
                        <w:bCs/>
                        <w:sz w:val="22"/>
                        <w:szCs w:val="22"/>
                      </w:rPr>
                      <w:t>d.</w:t>
                    </w:r>
                  </w:p>
                  <w:p w14:paraId="47956176" w14:textId="042F3629" w:rsidR="00A31459" w:rsidRDefault="00BF2634">
                    <w:pPr>
                      <w:spacing w:line="360" w:lineRule="auto"/>
                      <w:jc w:val="both"/>
                      <w:rPr>
                        <w:sz w:val="22"/>
                        <w:szCs w:val="22"/>
                      </w:rPr>
                    </w:pPr>
                    <w:r>
                      <w:rPr>
                        <w:bCs/>
                        <w:sz w:val="22"/>
                        <w:szCs w:val="22"/>
                      </w:rPr>
                      <w:t>3.4. Siektini stebėsenos rodikliai (investicijos į vieną žvejybos laivą pagal vieną iš Aprašo 9.4.1 papunkčio išlaidų kategorijų atitinka vieną įdiegtos ar patobulintos kontrolės priemonę, didesnis laivų ir išlaidų kategorijų skaičius – didesnė rodiklio</w:t>
                    </w:r>
                    <w:r>
                      <w:rPr>
                        <w:bCs/>
                        <w:sz w:val="22"/>
                        <w:szCs w:val="22"/>
                      </w:rPr>
                      <w:t xml:space="preserve"> reikšmė ):</w:t>
                    </w:r>
                  </w:p>
                </w:tc>
              </w:tr>
              <w:tr w:rsidR="00A31459" w14:paraId="7CF8E4B9" w14:textId="77777777">
                <w:trPr>
                  <w:trHeight w:val="893"/>
                </w:trPr>
                <w:tc>
                  <w:tcPr>
                    <w:tcW w:w="14709" w:type="dxa"/>
                  </w:tcPr>
                  <w:tbl>
                    <w:tblPr>
                      <w:tblW w:w="14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53"/>
                      <w:gridCol w:w="2279"/>
                      <w:gridCol w:w="3494"/>
                      <w:gridCol w:w="4254"/>
                    </w:tblGrid>
                    <w:tr w:rsidR="00A31459" w14:paraId="56B42027" w14:textId="77777777">
                      <w:trPr>
                        <w:trHeight w:val="403"/>
                      </w:trPr>
                      <w:tc>
                        <w:tcPr>
                          <w:tcW w:w="4553" w:type="dxa"/>
                          <w:shd w:val="clear" w:color="auto" w:fill="auto"/>
                        </w:tcPr>
                        <w:p w14:paraId="5C43C0AC" w14:textId="77777777" w:rsidR="00A31459" w:rsidRDefault="00BF2634">
                          <w:pPr>
                            <w:rPr>
                              <w:b/>
                              <w:bCs/>
                              <w:sz w:val="22"/>
                              <w:szCs w:val="22"/>
                            </w:rPr>
                          </w:pPr>
                          <w:r>
                            <w:rPr>
                              <w:b/>
                              <w:bCs/>
                              <w:sz w:val="22"/>
                              <w:szCs w:val="22"/>
                            </w:rPr>
                            <w:t>Rodiklio pavadinimas  </w:t>
                          </w:r>
                        </w:p>
                      </w:tc>
                      <w:tc>
                        <w:tcPr>
                          <w:tcW w:w="2279" w:type="dxa"/>
                          <w:shd w:val="clear" w:color="auto" w:fill="auto"/>
                        </w:tcPr>
                        <w:p w14:paraId="2E435E74" w14:textId="77777777" w:rsidR="00A31459" w:rsidRDefault="00BF2634">
                          <w:pPr>
                            <w:rPr>
                              <w:b/>
                              <w:bCs/>
                              <w:sz w:val="22"/>
                              <w:szCs w:val="22"/>
                            </w:rPr>
                          </w:pPr>
                          <w:r>
                            <w:rPr>
                              <w:b/>
                              <w:bCs/>
                              <w:sz w:val="22"/>
                              <w:szCs w:val="22"/>
                            </w:rPr>
                            <w:t>Rodiklio kodas </w:t>
                          </w:r>
                        </w:p>
                      </w:tc>
                      <w:tc>
                        <w:tcPr>
                          <w:tcW w:w="3494" w:type="dxa"/>
                          <w:shd w:val="clear" w:color="auto" w:fill="auto"/>
                        </w:tcPr>
                        <w:p w14:paraId="698B450E" w14:textId="77777777" w:rsidR="00A31459" w:rsidRDefault="00BF2634">
                          <w:pPr>
                            <w:rPr>
                              <w:b/>
                              <w:bCs/>
                              <w:sz w:val="22"/>
                              <w:szCs w:val="22"/>
                            </w:rPr>
                          </w:pPr>
                          <w:r>
                            <w:rPr>
                              <w:b/>
                              <w:bCs/>
                              <w:sz w:val="22"/>
                              <w:szCs w:val="22"/>
                            </w:rPr>
                            <w:t>Matavimo vienetai </w:t>
                          </w:r>
                        </w:p>
                      </w:tc>
                      <w:tc>
                        <w:tcPr>
                          <w:tcW w:w="4254" w:type="dxa"/>
                          <w:shd w:val="clear" w:color="auto" w:fill="auto"/>
                        </w:tcPr>
                        <w:p w14:paraId="1EE51DC7" w14:textId="77777777" w:rsidR="00A31459" w:rsidRDefault="00BF2634">
                          <w:pPr>
                            <w:rPr>
                              <w:b/>
                              <w:bCs/>
                              <w:sz w:val="22"/>
                              <w:szCs w:val="22"/>
                            </w:rPr>
                          </w:pPr>
                          <w:r>
                            <w:rPr>
                              <w:b/>
                              <w:bCs/>
                              <w:sz w:val="22"/>
                              <w:szCs w:val="22"/>
                            </w:rPr>
                            <w:t>Siektina reikšmė (priemonės lygiu)</w:t>
                          </w:r>
                        </w:p>
                      </w:tc>
                    </w:tr>
                    <w:tr w:rsidR="00A31459" w14:paraId="0878EFAE" w14:textId="77777777">
                      <w:trPr>
                        <w:trHeight w:val="318"/>
                      </w:trPr>
                      <w:tc>
                        <w:tcPr>
                          <w:tcW w:w="4553" w:type="dxa"/>
                          <w:vAlign w:val="center"/>
                        </w:tcPr>
                        <w:p w14:paraId="57424F3C" w14:textId="77777777" w:rsidR="00A31459" w:rsidRDefault="00BF2634">
                          <w:pPr>
                            <w:jc w:val="center"/>
                            <w:rPr>
                              <w:sz w:val="22"/>
                              <w:szCs w:val="22"/>
                            </w:rPr>
                          </w:pPr>
                          <w:r>
                            <w:rPr>
                              <w:sz w:val="22"/>
                              <w:szCs w:val="22"/>
                            </w:rPr>
                            <w:t>Įdiegtos ar patobulintos kontrolės priemonės (priemonių skaičius)</w:t>
                          </w:r>
                        </w:p>
                      </w:tc>
                      <w:tc>
                        <w:tcPr>
                          <w:tcW w:w="2279" w:type="dxa"/>
                          <w:vAlign w:val="center"/>
                        </w:tcPr>
                        <w:p w14:paraId="25E68D2F" w14:textId="77777777" w:rsidR="00A31459" w:rsidRDefault="00BF2634">
                          <w:pPr>
                            <w:jc w:val="center"/>
                            <w:rPr>
                              <w:sz w:val="22"/>
                              <w:szCs w:val="22"/>
                            </w:rPr>
                          </w:pPr>
                          <w:r>
                            <w:rPr>
                              <w:sz w:val="22"/>
                              <w:szCs w:val="22"/>
                            </w:rPr>
                            <w:t>CR 15</w:t>
                          </w:r>
                        </w:p>
                      </w:tc>
                      <w:tc>
                        <w:tcPr>
                          <w:tcW w:w="3494" w:type="dxa"/>
                          <w:vAlign w:val="center"/>
                        </w:tcPr>
                        <w:p w14:paraId="18C31C7E" w14:textId="77777777" w:rsidR="00A31459" w:rsidRDefault="00BF2634">
                          <w:pPr>
                            <w:jc w:val="center"/>
                            <w:rPr>
                              <w:sz w:val="22"/>
                              <w:szCs w:val="22"/>
                            </w:rPr>
                          </w:pPr>
                          <w:r>
                            <w:rPr>
                              <w:sz w:val="22"/>
                              <w:szCs w:val="22"/>
                            </w:rPr>
                            <w:t>Vnt.</w:t>
                          </w:r>
                        </w:p>
                      </w:tc>
                      <w:tc>
                        <w:tcPr>
                          <w:tcW w:w="4254" w:type="dxa"/>
                          <w:vAlign w:val="center"/>
                        </w:tcPr>
                        <w:p w14:paraId="1028CE24" w14:textId="77777777" w:rsidR="00A31459" w:rsidRDefault="00BF2634">
                          <w:pPr>
                            <w:jc w:val="center"/>
                            <w:rPr>
                              <w:sz w:val="22"/>
                              <w:szCs w:val="22"/>
                            </w:rPr>
                          </w:pPr>
                          <w:r>
                            <w:rPr>
                              <w:sz w:val="22"/>
                              <w:szCs w:val="22"/>
                            </w:rPr>
                            <w:t>74</w:t>
                          </w:r>
                        </w:p>
                      </w:tc>
                    </w:tr>
                  </w:tbl>
                  <w:p w14:paraId="228FAD52" w14:textId="77777777" w:rsidR="00A31459" w:rsidRDefault="00A31459">
                    <w:pPr>
                      <w:rPr>
                        <w:sz w:val="22"/>
                        <w:szCs w:val="22"/>
                      </w:rPr>
                    </w:pPr>
                  </w:p>
                </w:tc>
              </w:tr>
              <w:tr w:rsidR="00A31459" w14:paraId="7F36D13C" w14:textId="77777777">
                <w:trPr>
                  <w:trHeight w:val="285"/>
                </w:trPr>
                <w:tc>
                  <w:tcPr>
                    <w:tcW w:w="14709" w:type="dxa"/>
                  </w:tcPr>
                  <w:p w14:paraId="736B876A" w14:textId="77777777" w:rsidR="00A31459" w:rsidRDefault="00BF2634">
                    <w:pPr>
                      <w:rPr>
                        <w:sz w:val="22"/>
                        <w:szCs w:val="22"/>
                      </w:rPr>
                    </w:pPr>
                    <w:r>
                      <w:rPr>
                        <w:b/>
                        <w:sz w:val="22"/>
                        <w:szCs w:val="22"/>
                      </w:rPr>
                      <w:t xml:space="preserve">4. Horizontaliųjų principų (toliau – HP) ir su jais susijusių </w:t>
                    </w:r>
                    <w:r>
                      <w:rPr>
                        <w:b/>
                        <w:sz w:val="22"/>
                        <w:szCs w:val="22"/>
                      </w:rPr>
                      <w:t>Europos Sąjungos pagrindinių teisių chartijos (toliau – Chartija) nuostatų laikymosi reikalavimai</w:t>
                    </w:r>
                  </w:p>
                </w:tc>
              </w:tr>
              <w:tr w:rsidR="00A31459" w14:paraId="5266841B" w14:textId="77777777">
                <w:tc>
                  <w:tcPr>
                    <w:tcW w:w="14709" w:type="dxa"/>
                  </w:tcPr>
                  <w:p w14:paraId="7505E201" w14:textId="4DA73617" w:rsidR="00A31459" w:rsidRDefault="00BF2634">
                    <w:pPr>
                      <w:spacing w:line="360" w:lineRule="auto"/>
                      <w:jc w:val="both"/>
                      <w:rPr>
                        <w:sz w:val="22"/>
                        <w:szCs w:val="22"/>
                      </w:rPr>
                    </w:pPr>
                    <w:r>
                      <w:rPr>
                        <w:sz w:val="22"/>
                        <w:szCs w:val="22"/>
                      </w:rPr>
                      <w:t>4.1. Projekto įgyvendinimo metu neturi būti pažeidžiamos Chartijoje nustatytų pagrindinių teisių nuostatos: orumo; asmenų, privataus ir šeimos gyvenimo, sąži</w:t>
                    </w:r>
                    <w:r>
                      <w:rPr>
                        <w:sz w:val="22"/>
                        <w:szCs w:val="22"/>
                      </w:rPr>
                      <w:t>nės ir saviraiškos laisvės; asmens duomenų; prieglobsčio ir apsaugos perkėlimo, išsiuntimo ar išdavimo atvejų; teisių į nuosavybę ir teisių užsiimti verslu; lyčių lygybės, vienodo požiūrio ir lygių galimybių, nediskriminavimo ir neįgaliųjų teisių; vaiko te</w:t>
                    </w:r>
                    <w:r>
                      <w:rPr>
                        <w:sz w:val="22"/>
                        <w:szCs w:val="22"/>
                      </w:rPr>
                      <w:t xml:space="preserve">isių; gero administravimo, veiksmingo teisinės gynybos, teisingumo; solidarumo ir darbuotojų teisių; aplinkos apsaugos. </w:t>
                    </w:r>
                  </w:p>
                  <w:p w14:paraId="7DBC4043" w14:textId="77777777" w:rsidR="00A31459" w:rsidRDefault="00BF2634">
                    <w:pPr>
                      <w:spacing w:line="360" w:lineRule="auto"/>
                      <w:jc w:val="both"/>
                      <w:rPr>
                        <w:sz w:val="22"/>
                        <w:szCs w:val="22"/>
                      </w:rPr>
                    </w:pPr>
                    <w:r>
                      <w:rPr>
                        <w:sz w:val="22"/>
                        <w:szCs w:val="22"/>
                      </w:rPr>
                      <w:t xml:space="preserve">4.2. Projekto įgyvendinimo metu neturi būti pažeidžiami HP: </w:t>
                    </w:r>
                    <w:r>
                      <w:rPr>
                        <w:b/>
                        <w:bCs/>
                        <w:sz w:val="22"/>
                        <w:szCs w:val="22"/>
                      </w:rPr>
                      <w:t>darnaus vystymosi</w:t>
                    </w:r>
                    <w:r>
                      <w:rPr>
                        <w:sz w:val="22"/>
                        <w:szCs w:val="22"/>
                      </w:rPr>
                      <w:t xml:space="preserve">, įskaitant reikšmingos žalos nedarymo principą, </w:t>
                    </w:r>
                    <w:r>
                      <w:rPr>
                        <w:b/>
                        <w:bCs/>
                        <w:sz w:val="22"/>
                        <w:szCs w:val="22"/>
                      </w:rPr>
                      <w:t>lygių gal</w:t>
                    </w:r>
                    <w:r>
                      <w:rPr>
                        <w:b/>
                        <w:bCs/>
                        <w:sz w:val="22"/>
                        <w:szCs w:val="22"/>
                      </w:rPr>
                      <w:t>imybių ir nediskriminavimo</w:t>
                    </w:r>
                    <w:r>
                      <w:rPr>
                        <w:sz w:val="22"/>
                        <w:szCs w:val="22"/>
                      </w:rPr>
                      <w:t xml:space="preserve"> (dėl lyties, rasės, tautybės, pilietybės, kalbos, kilmės, socialinės padėties, tikėjimo, įsitikinimų ar pažiūrų, amžiaus, lytinės orientacijos, etninės priklausomybės, religijos, negalios ar kt.), įskaitant prieinamumo visiems re</w:t>
                    </w:r>
                    <w:r>
                      <w:rPr>
                        <w:sz w:val="22"/>
                        <w:szCs w:val="22"/>
                      </w:rPr>
                      <w:t>ikalavimo užtikrinimą.</w:t>
                    </w:r>
                  </w:p>
                  <w:p w14:paraId="39FA4CF1" w14:textId="22D2DCB6" w:rsidR="00A31459" w:rsidRDefault="00BF2634">
                    <w:pPr>
                      <w:spacing w:line="360" w:lineRule="auto"/>
                      <w:jc w:val="both"/>
                      <w:rPr>
                        <w:sz w:val="22"/>
                        <w:szCs w:val="22"/>
                      </w:rPr>
                    </w:pPr>
                    <w:r>
                      <w:rPr>
                        <w:sz w:val="22"/>
                        <w:szCs w:val="22"/>
                      </w:rPr>
                      <w:t>4.3. Pagal aprašą įgyvendinami projektai tiesiogiai (projekto tikslas, tikslinė grupė, projekto veiklos, projekto vykdytojai, rodikliai, siekiami rezultatai) neprisideda prie HP įgyvendinimo. Priemonės įgyvendinimas nedaro tiesiogini</w:t>
                    </w:r>
                    <w:r>
                      <w:rPr>
                        <w:sz w:val="22"/>
                        <w:szCs w:val="22"/>
                      </w:rPr>
                      <w:t>o poveikio Chartijos nuostatoms.</w:t>
                    </w:r>
                  </w:p>
                </w:tc>
              </w:tr>
              <w:tr w:rsidR="00A31459" w14:paraId="4EAEB8B2" w14:textId="77777777">
                <w:tc>
                  <w:tcPr>
                    <w:tcW w:w="14709" w:type="dxa"/>
                  </w:tcPr>
                  <w:p w14:paraId="41E6CF62" w14:textId="77777777" w:rsidR="00A31459" w:rsidRDefault="00BF2634">
                    <w:pPr>
                      <w:spacing w:line="360" w:lineRule="auto"/>
                      <w:jc w:val="both"/>
                      <w:rPr>
                        <w:b/>
                        <w:sz w:val="22"/>
                        <w:szCs w:val="22"/>
                      </w:rPr>
                    </w:pPr>
                    <w:r>
                      <w:rPr>
                        <w:b/>
                        <w:sz w:val="22"/>
                        <w:szCs w:val="22"/>
                      </w:rPr>
                      <w:t>5. Reikalavimai teikiant valstybės pagalbą arba nereikšmingą (</w:t>
                    </w:r>
                    <w:r>
                      <w:rPr>
                        <w:b/>
                        <w:i/>
                        <w:iCs/>
                        <w:sz w:val="22"/>
                        <w:szCs w:val="22"/>
                      </w:rPr>
                      <w:t>de minimis</w:t>
                    </w:r>
                    <w:r>
                      <w:rPr>
                        <w:b/>
                        <w:sz w:val="22"/>
                        <w:szCs w:val="22"/>
                      </w:rPr>
                      <w:t xml:space="preserve">) pagalbą </w:t>
                    </w:r>
                  </w:p>
                </w:tc>
              </w:tr>
              <w:tr w:rsidR="00A31459" w14:paraId="61B44010" w14:textId="77777777">
                <w:tc>
                  <w:tcPr>
                    <w:tcW w:w="14709" w:type="dxa"/>
                  </w:tcPr>
                  <w:p w14:paraId="1FF05331" w14:textId="77777777" w:rsidR="00A31459" w:rsidRDefault="00BF2634">
                    <w:pPr>
                      <w:spacing w:line="360" w:lineRule="auto"/>
                      <w:jc w:val="both"/>
                      <w:rPr>
                        <w:i/>
                        <w:iCs/>
                        <w:sz w:val="22"/>
                        <w:szCs w:val="22"/>
                      </w:rPr>
                    </w:pPr>
                    <w:r>
                      <w:rPr>
                        <w:sz w:val="22"/>
                        <w:szCs w:val="22"/>
                      </w:rPr>
                      <w:t>5.1. Valstybės pagalba, kaip ji apibrėžta Sutarties dėl Europos Sąjungos veikimo 107 straipsnyje, neteikiama.</w:t>
                    </w:r>
                  </w:p>
                </w:tc>
              </w:tr>
              <w:tr w:rsidR="00A31459" w14:paraId="3E038D81" w14:textId="77777777">
                <w:tc>
                  <w:tcPr>
                    <w:tcW w:w="14709" w:type="dxa"/>
                  </w:tcPr>
                  <w:p w14:paraId="5B0A87AB" w14:textId="77777777" w:rsidR="00A31459" w:rsidRDefault="00BF2634">
                    <w:pPr>
                      <w:spacing w:line="360" w:lineRule="auto"/>
                      <w:ind w:left="426" w:hanging="426"/>
                      <w:jc w:val="both"/>
                      <w:rPr>
                        <w:i/>
                        <w:sz w:val="22"/>
                        <w:szCs w:val="22"/>
                      </w:rPr>
                    </w:pPr>
                    <w:r>
                      <w:rPr>
                        <w:b/>
                        <w:sz w:val="22"/>
                        <w:szCs w:val="22"/>
                      </w:rPr>
                      <w:t xml:space="preserve">6. Projektų atrankos </w:t>
                    </w:r>
                    <w:r>
                      <w:rPr>
                        <w:b/>
                        <w:sz w:val="22"/>
                        <w:szCs w:val="22"/>
                      </w:rPr>
                      <w:t>kriterijai</w:t>
                    </w:r>
                  </w:p>
                </w:tc>
              </w:tr>
              <w:tr w:rsidR="00A31459" w14:paraId="1AC5ABB5" w14:textId="77777777">
                <w:trPr>
                  <w:trHeight w:val="451"/>
                </w:trPr>
                <w:tc>
                  <w:tcPr>
                    <w:tcW w:w="14709" w:type="dxa"/>
                  </w:tcPr>
                  <w:tbl>
                    <w:tblPr>
                      <w:tblW w:w="14545" w:type="dxa"/>
                      <w:tblLayout w:type="fixed"/>
                      <w:tblLook w:val="00A0" w:firstRow="1" w:lastRow="0" w:firstColumn="1" w:lastColumn="0" w:noHBand="0" w:noVBand="0"/>
                    </w:tblPr>
                    <w:tblGrid>
                      <w:gridCol w:w="1241"/>
                      <w:gridCol w:w="2317"/>
                      <w:gridCol w:w="5812"/>
                      <w:gridCol w:w="5175"/>
                    </w:tblGrid>
                    <w:tr w:rsidR="00A31459" w14:paraId="013E75E2" w14:textId="77777777">
                      <w:trPr>
                        <w:trHeight w:val="178"/>
                      </w:trPr>
                      <w:tc>
                        <w:tcPr>
                          <w:tcW w:w="1241" w:type="dxa"/>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2958544C" w14:textId="77777777" w:rsidR="00A31459" w:rsidRDefault="00BF2634">
                          <w:pPr>
                            <w:spacing w:line="360" w:lineRule="auto"/>
                            <w:jc w:val="center"/>
                            <w:rPr>
                              <w:b/>
                              <w:bCs/>
                              <w:sz w:val="22"/>
                              <w:szCs w:val="22"/>
                            </w:rPr>
                          </w:pPr>
                          <w:r>
                            <w:rPr>
                              <w:b/>
                              <w:bCs/>
                              <w:sz w:val="22"/>
                              <w:szCs w:val="22"/>
                            </w:rPr>
                            <w:t>Eil.</w:t>
                          </w:r>
                        </w:p>
                        <w:p w14:paraId="3CA6B78F" w14:textId="77777777" w:rsidR="00A31459" w:rsidRDefault="00BF2634">
                          <w:pPr>
                            <w:spacing w:line="360" w:lineRule="auto"/>
                            <w:jc w:val="center"/>
                            <w:rPr>
                              <w:b/>
                              <w:bCs/>
                              <w:sz w:val="22"/>
                              <w:szCs w:val="22"/>
                            </w:rPr>
                          </w:pPr>
                          <w:r>
                            <w:rPr>
                              <w:b/>
                              <w:bCs/>
                              <w:sz w:val="22"/>
                              <w:szCs w:val="22"/>
                            </w:rPr>
                            <w:t>Nr.</w:t>
                          </w:r>
                        </w:p>
                      </w:tc>
                      <w:tc>
                        <w:tcPr>
                          <w:tcW w:w="2317" w:type="dxa"/>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62DCBB85" w14:textId="77777777" w:rsidR="00A31459" w:rsidRDefault="00BF2634">
                          <w:pPr>
                            <w:spacing w:line="360" w:lineRule="auto"/>
                            <w:jc w:val="center"/>
                            <w:rPr>
                              <w:b/>
                              <w:bCs/>
                              <w:sz w:val="22"/>
                              <w:szCs w:val="22"/>
                            </w:rPr>
                          </w:pPr>
                          <w:r>
                            <w:rPr>
                              <w:b/>
                              <w:bCs/>
                              <w:sz w:val="22"/>
                              <w:szCs w:val="22"/>
                            </w:rPr>
                            <w:t>Kriterijaus tipas</w:t>
                          </w:r>
                        </w:p>
                      </w:tc>
                      <w:tc>
                        <w:tcPr>
                          <w:tcW w:w="5812" w:type="dxa"/>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4912BD99" w14:textId="77777777" w:rsidR="00A31459" w:rsidRDefault="00BF2634">
                          <w:pPr>
                            <w:spacing w:line="360" w:lineRule="auto"/>
                            <w:jc w:val="center"/>
                            <w:rPr>
                              <w:b/>
                              <w:bCs/>
                              <w:sz w:val="22"/>
                              <w:szCs w:val="22"/>
                            </w:rPr>
                          </w:pPr>
                          <w:r>
                            <w:rPr>
                              <w:b/>
                              <w:bCs/>
                              <w:sz w:val="22"/>
                              <w:szCs w:val="22"/>
                            </w:rPr>
                            <w:t>Kriterijus</w:t>
                          </w:r>
                        </w:p>
                      </w:tc>
                      <w:tc>
                        <w:tcPr>
                          <w:tcW w:w="5175" w:type="dxa"/>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6F008014" w14:textId="77777777" w:rsidR="00A31459" w:rsidRDefault="00BF2634">
                          <w:pPr>
                            <w:spacing w:line="360" w:lineRule="auto"/>
                            <w:jc w:val="center"/>
                            <w:rPr>
                              <w:b/>
                              <w:bCs/>
                              <w:sz w:val="22"/>
                              <w:szCs w:val="22"/>
                            </w:rPr>
                          </w:pPr>
                          <w:r>
                            <w:rPr>
                              <w:b/>
                              <w:bCs/>
                              <w:sz w:val="22"/>
                              <w:szCs w:val="22"/>
                            </w:rPr>
                            <w:t>Kriterijaus vertinimo metodas</w:t>
                          </w:r>
                        </w:p>
                      </w:tc>
                    </w:tr>
                    <w:tr w:rsidR="00A31459" w14:paraId="40F8C3B7" w14:textId="77777777">
                      <w:trPr>
                        <w:trHeight w:val="351"/>
                      </w:trPr>
                      <w:tc>
                        <w:tcPr>
                          <w:tcW w:w="1241" w:type="dxa"/>
                          <w:tcBorders>
                            <w:top w:val="single" w:sz="6" w:space="0" w:color="000000"/>
                            <w:left w:val="single" w:sz="6" w:space="0" w:color="000000"/>
                            <w:bottom w:val="single" w:sz="6" w:space="0" w:color="000000"/>
                            <w:right w:val="single" w:sz="6" w:space="0" w:color="000000"/>
                          </w:tcBorders>
                          <w:vAlign w:val="center"/>
                          <w:hideMark/>
                        </w:tcPr>
                        <w:p w14:paraId="543D00E5" w14:textId="77777777" w:rsidR="00A31459" w:rsidRDefault="00BF2634">
                          <w:pPr>
                            <w:spacing w:line="360" w:lineRule="auto"/>
                            <w:jc w:val="center"/>
                            <w:rPr>
                              <w:sz w:val="22"/>
                              <w:szCs w:val="22"/>
                            </w:rPr>
                          </w:pPr>
                          <w:r>
                            <w:rPr>
                              <w:sz w:val="22"/>
                              <w:szCs w:val="22"/>
                            </w:rPr>
                            <w:t>6.1</w:t>
                          </w:r>
                        </w:p>
                      </w:tc>
                      <w:tc>
                        <w:tcPr>
                          <w:tcW w:w="2317" w:type="dxa"/>
                          <w:tcBorders>
                            <w:top w:val="single" w:sz="6" w:space="0" w:color="000000"/>
                            <w:left w:val="single" w:sz="6" w:space="0" w:color="000000"/>
                            <w:bottom w:val="single" w:sz="6" w:space="0" w:color="000000"/>
                            <w:right w:val="single" w:sz="6" w:space="0" w:color="000000"/>
                          </w:tcBorders>
                        </w:tcPr>
                        <w:p w14:paraId="435827F6" w14:textId="77777777" w:rsidR="00A31459" w:rsidRDefault="00BF2634">
                          <w:pPr>
                            <w:jc w:val="both"/>
                            <w:rPr>
                              <w:sz w:val="22"/>
                              <w:szCs w:val="22"/>
                            </w:rPr>
                          </w:pPr>
                          <w:r>
                            <w:rPr>
                              <w:sz w:val="22"/>
                              <w:szCs w:val="22"/>
                            </w:rPr>
                            <w:t>Prioritetinis projektų atrankos kriterijus</w:t>
                          </w:r>
                        </w:p>
                      </w:tc>
                      <w:tc>
                        <w:tcPr>
                          <w:tcW w:w="5812" w:type="dxa"/>
                          <w:tcBorders>
                            <w:top w:val="single" w:sz="6" w:space="0" w:color="000000"/>
                            <w:left w:val="single" w:sz="6" w:space="0" w:color="000000"/>
                            <w:bottom w:val="single" w:sz="6" w:space="0" w:color="000000"/>
                            <w:right w:val="single" w:sz="6" w:space="0" w:color="000000"/>
                          </w:tcBorders>
                        </w:tcPr>
                        <w:p w14:paraId="2801D459" w14:textId="24A8A263" w:rsidR="00A31459" w:rsidRDefault="00BF2634">
                          <w:pPr>
                            <w:jc w:val="both"/>
                            <w:rPr>
                              <w:sz w:val="22"/>
                              <w:szCs w:val="22"/>
                            </w:rPr>
                          </w:pPr>
                          <w:r>
                            <w:rPr>
                              <w:sz w:val="22"/>
                              <w:szCs w:val="22"/>
                            </w:rPr>
                            <w:t xml:space="preserve">Pirmumas teikiamas tų laivų reikalingų sistemų ir prietaisų įsigijimui ir įrengimui laivuose, kurie per paskutinius dvejus </w:t>
                          </w:r>
                          <w:r>
                            <w:rPr>
                              <w:sz w:val="22"/>
                              <w:szCs w:val="22"/>
                            </w:rPr>
                            <w:t>kalendorinius metus iki projekto įgyvendinimo plano pateikimo metų (dveji kalendoriniai metai ėję prieš PĮP pateikimo metus) daugiau dienų vykdė žvejybos veiklą jūroje.</w:t>
                          </w:r>
                        </w:p>
                      </w:tc>
                      <w:tc>
                        <w:tcPr>
                          <w:tcW w:w="5175" w:type="dxa"/>
                          <w:tcBorders>
                            <w:top w:val="single" w:sz="6" w:space="0" w:color="000000"/>
                            <w:left w:val="single" w:sz="6" w:space="0" w:color="000000"/>
                            <w:bottom w:val="single" w:sz="6" w:space="0" w:color="000000"/>
                            <w:right w:val="single" w:sz="6" w:space="0" w:color="000000"/>
                          </w:tcBorders>
                        </w:tcPr>
                        <w:p w14:paraId="693C14D9" w14:textId="6FE8417D" w:rsidR="00A31459" w:rsidRDefault="00BF2634">
                          <w:pPr>
                            <w:jc w:val="both"/>
                            <w:rPr>
                              <w:sz w:val="22"/>
                              <w:szCs w:val="22"/>
                            </w:rPr>
                          </w:pPr>
                          <w:r>
                            <w:rPr>
                              <w:sz w:val="22"/>
                              <w:szCs w:val="22"/>
                            </w:rPr>
                            <w:t>Atitiktis vertinama Žuvininkystės tarnybos prie Lietuvos Respublikos žemės ūkio ministe</w:t>
                          </w:r>
                          <w:r>
                            <w:rPr>
                              <w:sz w:val="22"/>
                              <w:szCs w:val="22"/>
                            </w:rPr>
                            <w:t>rijos duomenimis</w:t>
                          </w:r>
                        </w:p>
                      </w:tc>
                    </w:tr>
                  </w:tbl>
                  <w:p w14:paraId="22791920" w14:textId="77777777" w:rsidR="00A31459" w:rsidRDefault="00BF2634">
                    <w:pPr>
                      <w:spacing w:line="360" w:lineRule="auto"/>
                      <w:jc w:val="both"/>
                      <w:rPr>
                        <w:iCs/>
                        <w:color w:val="FF0000"/>
                        <w:sz w:val="22"/>
                        <w:szCs w:val="22"/>
                      </w:rPr>
                    </w:pPr>
                    <w:r>
                      <w:rPr>
                        <w:iCs/>
                        <w:sz w:val="22"/>
                        <w:szCs w:val="22"/>
                      </w:rPr>
                      <w:t>6.2. Projektas turi atitikti bendruosius projektų atrankos kriterijus nustatytus PFAT 3 priede, išskyrus  1, 6, 8 punktuose ir 2.3, 3.2.9, 3.2.10, 3.3, 3.4, 3.5, 5.1, 5.2 ir 7.2 papunkčiuose nustatytus bendruosius projektų atrankos kriterijus ir (ar) verti</w:t>
                    </w:r>
                    <w:r>
                      <w:rPr>
                        <w:iCs/>
                        <w:sz w:val="22"/>
                        <w:szCs w:val="22"/>
                      </w:rPr>
                      <w:t>nimo aspektus.</w:t>
                    </w:r>
                  </w:p>
                </w:tc>
              </w:tr>
              <w:tr w:rsidR="00A31459" w14:paraId="6B5752D8" w14:textId="77777777">
                <w:tc>
                  <w:tcPr>
                    <w:tcW w:w="14709" w:type="dxa"/>
                  </w:tcPr>
                  <w:p w14:paraId="2C58F262" w14:textId="77777777" w:rsidR="00A31459" w:rsidRDefault="00BF2634">
                    <w:pPr>
                      <w:spacing w:line="360" w:lineRule="auto"/>
                      <w:rPr>
                        <w:b/>
                        <w:sz w:val="22"/>
                        <w:szCs w:val="22"/>
                      </w:rPr>
                    </w:pPr>
                    <w:r>
                      <w:rPr>
                        <w:b/>
                        <w:sz w:val="22"/>
                        <w:szCs w:val="22"/>
                      </w:rPr>
                      <w:t xml:space="preserve">7. Reikalavimai įgyvendinus projektų veiklas </w:t>
                    </w:r>
                  </w:p>
                </w:tc>
              </w:tr>
              <w:tr w:rsidR="00A31459" w14:paraId="5BC47954" w14:textId="77777777">
                <w:tc>
                  <w:tcPr>
                    <w:tcW w:w="14709" w:type="dxa"/>
                  </w:tcPr>
                  <w:p w14:paraId="10121FFC" w14:textId="60FE32CC" w:rsidR="00A31459" w:rsidRDefault="00BF2634">
                    <w:pPr>
                      <w:spacing w:line="360" w:lineRule="auto"/>
                      <w:rPr>
                        <w:iCs/>
                        <w:sz w:val="22"/>
                        <w:szCs w:val="22"/>
                      </w:rPr>
                    </w:pPr>
                    <w:r>
                      <w:rPr>
                        <w:iCs/>
                        <w:sz w:val="22"/>
                        <w:szCs w:val="22"/>
                      </w:rPr>
                      <w:t xml:space="preserve">7.1. Negavus </w:t>
                    </w:r>
                    <w:r>
                      <w:rPr>
                        <w:sz w:val="22"/>
                        <w:szCs w:val="22"/>
                        <w:lang w:eastAsia="lt-LT"/>
                      </w:rPr>
                      <w:t>Nacionalinės mokėjimo agentūros prie Žemės ūkio ministerijos</w:t>
                    </w:r>
                    <w:r>
                      <w:rPr>
                        <w:iCs/>
                        <w:sz w:val="22"/>
                        <w:szCs w:val="22"/>
                      </w:rPr>
                      <w:t xml:space="preserve"> (toliau – Agentūra) sutikimo, 3 metus nuo projekto finansavimo pabaigos negalima perleisti, parduoti, įkeisti turto ar kitokiu būdu suvaržyti intelektinių ar daiktinių teisių į turtą, kuriam įsigyti ar sukurti skiriamos projekto paramos lėšos. Jei paramos</w:t>
                    </w:r>
                    <w:r>
                      <w:rPr>
                        <w:iCs/>
                        <w:sz w:val="22"/>
                        <w:szCs w:val="22"/>
                      </w:rPr>
                      <w:t xml:space="preserve"> gavėjas nori perleisti ar kitokiu būdu suvaržyti turtą, jis turi gauti Agentūros sutikimą, kuris gali būti suteikiamas jei parduodamas, perleidžiamas (išskyrus Aprašo 7.2 papunktyje nurodytu atveju) ar įkeičiamas žvejybos laivas, kuriame sumontuotos su pa</w:t>
                    </w:r>
                    <w:r>
                      <w:rPr>
                        <w:iCs/>
                        <w:sz w:val="22"/>
                        <w:szCs w:val="22"/>
                      </w:rPr>
                      <w:t xml:space="preserve">rama įsigytas turtas. </w:t>
                    </w:r>
                  </w:p>
                  <w:p w14:paraId="2261AF3C" w14:textId="77777777" w:rsidR="00A31459" w:rsidRDefault="00BF2634">
                    <w:pPr>
                      <w:spacing w:line="360" w:lineRule="auto"/>
                      <w:rPr>
                        <w:iCs/>
                        <w:sz w:val="22"/>
                        <w:szCs w:val="22"/>
                      </w:rPr>
                    </w:pPr>
                    <w:r>
                      <w:rPr>
                        <w:iCs/>
                        <w:sz w:val="22"/>
                        <w:szCs w:val="22"/>
                      </w:rPr>
                      <w:t>7.2. Žvejybos laivas, kurio sistemų ir (arba) prietaisų įsigijimui ir (arba) įrengimui suteikta parama pagal Aprašą, bent penkerius metus nuo projekto finansavimo pabaigos negali būti perleidžiamas už Sąjungos ribų ir jo vėliava nega</w:t>
                    </w:r>
                    <w:r>
                      <w:rPr>
                        <w:iCs/>
                        <w:sz w:val="22"/>
                        <w:szCs w:val="22"/>
                      </w:rPr>
                      <w:t>li būti pakeista į ne Sąjungos valstybės narės vėliavą.</w:t>
                    </w:r>
                  </w:p>
                  <w:p w14:paraId="20CBD16C" w14:textId="38DF35A1" w:rsidR="00A31459" w:rsidRDefault="00BF2634">
                    <w:pPr>
                      <w:spacing w:line="360" w:lineRule="auto"/>
                      <w:rPr>
                        <w:iCs/>
                        <w:sz w:val="22"/>
                        <w:szCs w:val="22"/>
                      </w:rPr>
                    </w:pPr>
                    <w:r>
                      <w:rPr>
                        <w:iCs/>
                        <w:sz w:val="22"/>
                        <w:szCs w:val="22"/>
                      </w:rPr>
                      <w:t>7.3. Nustačius pažeidimą dėl Aprašo 7.1 arba 7.2 papunktyje nustatytų  reikalavimo neįvykdymo, netinkamos finansuoti projekto išlaidos (finansinės pataisos) apskaičiuojamos kaip nustatyta PFAT 5 pried</w:t>
                    </w:r>
                    <w:r>
                      <w:rPr>
                        <w:iCs/>
                        <w:sz w:val="22"/>
                        <w:szCs w:val="22"/>
                      </w:rPr>
                      <w:t xml:space="preserve">o „Su pažeidimu susijusių netinkamų finansuoti projekto išlaidų apskaičiavimo ir taikymo metodika“ 2 punkte.  </w:t>
                    </w:r>
                  </w:p>
                  <w:p w14:paraId="188C5C7A" w14:textId="55B9CF85" w:rsidR="00A31459" w:rsidRDefault="00BF2634">
                    <w:pPr>
                      <w:spacing w:line="360" w:lineRule="auto"/>
                      <w:rPr>
                        <w:iCs/>
                        <w:sz w:val="22"/>
                        <w:szCs w:val="22"/>
                      </w:rPr>
                    </w:pPr>
                    <w:r>
                      <w:rPr>
                        <w:iCs/>
                        <w:sz w:val="22"/>
                        <w:szCs w:val="22"/>
                      </w:rPr>
                      <w:t>7.4. Tęstinumo laikotarpis (reikalavimai) netaikomi.</w:t>
                    </w:r>
                  </w:p>
                </w:tc>
              </w:tr>
              <w:tr w:rsidR="00A31459" w14:paraId="1D3C7277" w14:textId="77777777">
                <w:tc>
                  <w:tcPr>
                    <w:tcW w:w="14709" w:type="dxa"/>
                  </w:tcPr>
                  <w:p w14:paraId="1B6F7086" w14:textId="77777777" w:rsidR="00A31459" w:rsidRDefault="00BF2634">
                    <w:pPr>
                      <w:spacing w:line="360" w:lineRule="auto"/>
                      <w:rPr>
                        <w:sz w:val="22"/>
                        <w:szCs w:val="22"/>
                      </w:rPr>
                    </w:pPr>
                    <w:r>
                      <w:rPr>
                        <w:b/>
                        <w:sz w:val="22"/>
                        <w:szCs w:val="22"/>
                      </w:rPr>
                      <w:t>8. Kiti reikalavimai</w:t>
                    </w:r>
                  </w:p>
                </w:tc>
              </w:tr>
              <w:tr w:rsidR="00A31459" w14:paraId="1C530A89" w14:textId="77777777">
                <w:tc>
                  <w:tcPr>
                    <w:tcW w:w="14709" w:type="dxa"/>
                  </w:tcPr>
                  <w:p w14:paraId="32FFF208" w14:textId="77777777" w:rsidR="00A31459" w:rsidRDefault="00BF2634">
                    <w:pPr>
                      <w:tabs>
                        <w:tab w:val="left" w:pos="1134"/>
                      </w:tabs>
                      <w:spacing w:line="360" w:lineRule="auto"/>
                      <w:jc w:val="both"/>
                      <w:rPr>
                        <w:iCs/>
                        <w:sz w:val="22"/>
                        <w:szCs w:val="22"/>
                      </w:rPr>
                    </w:pPr>
                    <w:r>
                      <w:rPr>
                        <w:iCs/>
                        <w:sz w:val="22"/>
                        <w:szCs w:val="22"/>
                      </w:rPr>
                      <w:t xml:space="preserve">8.1. PĮP planas teikiamas, administruojamas ir įgyvendinamas </w:t>
                    </w:r>
                    <w:r>
                      <w:rPr>
                        <w:iCs/>
                        <w:sz w:val="22"/>
                        <w:szCs w:val="22"/>
                      </w:rPr>
                      <w:t>laikantis PFAT nustatytų reikalavimų ir tvarkos (PFAT 1 priede patvirtinti PĮP priedai neteikiami).</w:t>
                    </w:r>
                  </w:p>
                  <w:p w14:paraId="1FF4FC98" w14:textId="77777777" w:rsidR="00A31459" w:rsidRDefault="00BF2634">
                    <w:pPr>
                      <w:tabs>
                        <w:tab w:val="left" w:pos="1134"/>
                      </w:tabs>
                      <w:spacing w:line="360" w:lineRule="auto"/>
                      <w:jc w:val="both"/>
                      <w:rPr>
                        <w:sz w:val="22"/>
                        <w:szCs w:val="22"/>
                        <w:lang w:eastAsia="lt-LT"/>
                      </w:rPr>
                    </w:pPr>
                    <w:r>
                      <w:rPr>
                        <w:sz w:val="22"/>
                        <w:szCs w:val="22"/>
                        <w:lang w:eastAsia="lt-LT"/>
                      </w:rPr>
                      <w:t>8.2. Tinkamoms finansuoti išlaidoms pagrįsti turi būti pateikiami bent 2 (du) komerciniai pasiūlymai arba viešai tiekėjų pateikta informacija (internete, re</w:t>
                    </w:r>
                    <w:r>
                      <w:rPr>
                        <w:sz w:val="22"/>
                        <w:szCs w:val="22"/>
                        <w:lang w:eastAsia="lt-LT"/>
                      </w:rPr>
                      <w:t>klaminėje medžiagoje ir pan.) (su analogiškais išlaidų pagrindines savybes apibūdinančiais techniniais parametrais), o tinkama finansuoti išlaidų suma nustatoma pagal mažiausią pasiūlytą kainą, jei iki PĮP pateikimo šių prekių ar paslaugų pirkimai neatlikt</w:t>
                    </w:r>
                    <w:r>
                      <w:rPr>
                        <w:sz w:val="22"/>
                        <w:szCs w:val="22"/>
                        <w:lang w:eastAsia="lt-LT"/>
                      </w:rPr>
                      <w:t>i.</w:t>
                    </w:r>
                  </w:p>
                  <w:p w14:paraId="148B04F9" w14:textId="5E33FFD5" w:rsidR="00A31459" w:rsidRDefault="00BF2634">
                    <w:pPr>
                      <w:tabs>
                        <w:tab w:val="left" w:pos="1134"/>
                      </w:tabs>
                      <w:spacing w:line="360" w:lineRule="auto"/>
                      <w:jc w:val="both"/>
                      <w:rPr>
                        <w:iCs/>
                        <w:sz w:val="22"/>
                        <w:szCs w:val="22"/>
                      </w:rPr>
                    </w:pPr>
                    <w:r>
                      <w:rPr>
                        <w:sz w:val="22"/>
                        <w:szCs w:val="22"/>
                        <w:lang w:eastAsia="lt-LT"/>
                      </w:rPr>
                      <w:t>8.3. Jeigu pareiškėjas iki PĮP pateikimo įvykdo pirkimus, šių pirkimų dokumentus pareiškėjas turi pateikti Agentūrai kartu su PĮP.</w:t>
                    </w:r>
                  </w:p>
                  <w:p w14:paraId="109088E4" w14:textId="77777777" w:rsidR="00A31459" w:rsidRDefault="00BF2634">
                    <w:pPr>
                      <w:tabs>
                        <w:tab w:val="left" w:pos="1134"/>
                      </w:tabs>
                      <w:spacing w:line="360" w:lineRule="auto"/>
                      <w:jc w:val="both"/>
                      <w:rPr>
                        <w:iCs/>
                        <w:sz w:val="22"/>
                        <w:szCs w:val="22"/>
                      </w:rPr>
                    </w:pPr>
                    <w:r>
                      <w:rPr>
                        <w:iCs/>
                        <w:sz w:val="22"/>
                        <w:szCs w:val="22"/>
                      </w:rPr>
                      <w:t>8.4. Sprendimus dėl projektų finansavimo priima Nacionalinė mokėjimo agentūros  prie Žemės ūkio ministerijos (toliau – Age</w:t>
                    </w:r>
                    <w:r>
                      <w:rPr>
                        <w:iCs/>
                        <w:sz w:val="22"/>
                        <w:szCs w:val="22"/>
                      </w:rPr>
                      <w:t>ntūra) direktorius arba jo įgaliotas asmuo Agentūros nustatyta sprendimų dėl projektų finansavimo  priėmimo tvarka.</w:t>
                    </w:r>
                  </w:p>
                  <w:p w14:paraId="2B68B526" w14:textId="40C9961C" w:rsidR="00A31459" w:rsidRDefault="00BF2634">
                    <w:pPr>
                      <w:tabs>
                        <w:tab w:val="left" w:pos="1134"/>
                      </w:tabs>
                      <w:spacing w:line="360" w:lineRule="auto"/>
                      <w:jc w:val="both"/>
                      <w:rPr>
                        <w:iCs/>
                        <w:sz w:val="22"/>
                        <w:szCs w:val="22"/>
                      </w:rPr>
                    </w:pPr>
                    <w:r>
                      <w:rPr>
                        <w:iCs/>
                        <w:sz w:val="22"/>
                        <w:szCs w:val="22"/>
                      </w:rPr>
                      <w:t>8.5. PFAT 122–124 punktuose nustatytais terminais teikiamos veiklos ataskaitos, kuriose nurodoma pagrindinė projekto įgyvendinimo informacij</w:t>
                    </w:r>
                    <w:r>
                      <w:rPr>
                        <w:iCs/>
                        <w:sz w:val="22"/>
                        <w:szCs w:val="22"/>
                      </w:rPr>
                      <w:t>a.</w:t>
                    </w:r>
                  </w:p>
                  <w:p w14:paraId="6AFA3869" w14:textId="77777777" w:rsidR="00A31459" w:rsidRDefault="00BF2634">
                    <w:pPr>
                      <w:tabs>
                        <w:tab w:val="left" w:pos="1134"/>
                      </w:tabs>
                      <w:spacing w:line="360" w:lineRule="auto"/>
                      <w:jc w:val="both"/>
                      <w:rPr>
                        <w:iCs/>
                        <w:sz w:val="22"/>
                        <w:szCs w:val="22"/>
                      </w:rPr>
                    </w:pPr>
                    <w:r>
                      <w:rPr>
                        <w:iCs/>
                        <w:sz w:val="22"/>
                        <w:szCs w:val="22"/>
                      </w:rPr>
                      <w:t>8.6. Mokėjimo prašymų teikimo periodiškumas nustatomas paramos sutartyje. Galimų teikti mokėjimo prašymų skaičius neribojamas ir nustatomas pramos sutartyje.</w:t>
                    </w:r>
                  </w:p>
                </w:tc>
              </w:tr>
              <w:tr w:rsidR="00A31459" w14:paraId="66740C13" w14:textId="77777777">
                <w:tc>
                  <w:tcPr>
                    <w:tcW w:w="14709" w:type="dxa"/>
                  </w:tcPr>
                  <w:p w14:paraId="38C7DCF2" w14:textId="77777777" w:rsidR="00A31459" w:rsidRDefault="00BF2634">
                    <w:pPr>
                      <w:spacing w:line="360" w:lineRule="auto"/>
                      <w:rPr>
                        <w:b/>
                        <w:sz w:val="22"/>
                        <w:szCs w:val="22"/>
                      </w:rPr>
                    </w:pPr>
                    <w:r>
                      <w:rPr>
                        <w:b/>
                        <w:sz w:val="22"/>
                        <w:szCs w:val="22"/>
                      </w:rPr>
                      <w:t>IŠLAIDŲ TINKAMUMO FINANSUOTI REIKALAVIMAI</w:t>
                    </w:r>
                  </w:p>
                </w:tc>
              </w:tr>
              <w:tr w:rsidR="00A31459" w14:paraId="58A98505" w14:textId="77777777">
                <w:tc>
                  <w:tcPr>
                    <w:tcW w:w="14709" w:type="dxa"/>
                  </w:tcPr>
                  <w:p w14:paraId="0D001EC8" w14:textId="77777777" w:rsidR="00A31459" w:rsidRDefault="00BF2634">
                    <w:pPr>
                      <w:spacing w:line="360" w:lineRule="auto"/>
                      <w:jc w:val="both"/>
                      <w:rPr>
                        <w:b/>
                        <w:sz w:val="22"/>
                        <w:szCs w:val="22"/>
                      </w:rPr>
                    </w:pPr>
                    <w:r>
                      <w:rPr>
                        <w:b/>
                        <w:sz w:val="22"/>
                        <w:szCs w:val="22"/>
                      </w:rPr>
                      <w:t>9. Išlaidų tinkamumo finansuoti reikalavimai</w:t>
                    </w:r>
                  </w:p>
                </w:tc>
              </w:tr>
              <w:tr w:rsidR="00A31459" w14:paraId="64362B99" w14:textId="77777777">
                <w:tc>
                  <w:tcPr>
                    <w:tcW w:w="14709" w:type="dxa"/>
                  </w:tcPr>
                  <w:p w14:paraId="7A60EAA7" w14:textId="77777777" w:rsidR="00A31459" w:rsidRDefault="00BF2634">
                    <w:pPr>
                      <w:spacing w:line="360" w:lineRule="auto"/>
                      <w:jc w:val="both"/>
                      <w:rPr>
                        <w:sz w:val="22"/>
                        <w:szCs w:val="22"/>
                      </w:rPr>
                    </w:pPr>
                    <w:r>
                      <w:rPr>
                        <w:sz w:val="22"/>
                        <w:szCs w:val="22"/>
                      </w:rPr>
                      <w:t xml:space="preserve">9.1. </w:t>
                    </w:r>
                    <w:r>
                      <w:rPr>
                        <w:sz w:val="22"/>
                        <w:szCs w:val="22"/>
                      </w:rPr>
                      <w:t xml:space="preserve">Galimas išlaidų tinkamumo laikotarpis nuo 2023 m. sausio 1 d. iki 2029 m. gruodžio 31 d. </w:t>
                    </w:r>
                  </w:p>
                  <w:p w14:paraId="731700B3" w14:textId="77777777" w:rsidR="00A31459" w:rsidRDefault="00BF2634">
                    <w:pPr>
                      <w:spacing w:line="360" w:lineRule="auto"/>
                      <w:jc w:val="both"/>
                      <w:rPr>
                        <w:iCs/>
                        <w:sz w:val="22"/>
                        <w:szCs w:val="22"/>
                      </w:rPr>
                    </w:pPr>
                    <w:r>
                      <w:rPr>
                        <w:sz w:val="22"/>
                        <w:szCs w:val="22"/>
                      </w:rPr>
                      <w:t xml:space="preserve">9.2. </w:t>
                    </w:r>
                    <w:r>
                      <w:rPr>
                        <w:iCs/>
                        <w:sz w:val="22"/>
                        <w:szCs w:val="22"/>
                      </w:rPr>
                      <w:t xml:space="preserve">Žvejybos laivas, kurio sistemų ir (arba) prietaisų įsigijimui ir (arba) įrengimui prašoma parama pagal Aprašą, turi atitikti šiuos reikalavimus: </w:t>
                    </w:r>
                  </w:p>
                  <w:p w14:paraId="5482D2EE" w14:textId="6FE0A460" w:rsidR="00A31459" w:rsidRDefault="00BF2634">
                    <w:pPr>
                      <w:spacing w:line="360" w:lineRule="auto"/>
                      <w:jc w:val="both"/>
                      <w:rPr>
                        <w:sz w:val="22"/>
                        <w:szCs w:val="22"/>
                      </w:rPr>
                    </w:pPr>
                    <w:r>
                      <w:rPr>
                        <w:iCs/>
                        <w:sz w:val="22"/>
                        <w:szCs w:val="22"/>
                      </w:rPr>
                      <w:t xml:space="preserve">9.2.1. </w:t>
                    </w:r>
                    <w:r>
                      <w:rPr>
                        <w:sz w:val="22"/>
                        <w:szCs w:val="22"/>
                      </w:rPr>
                      <w:t>Lietuvos</w:t>
                    </w:r>
                    <w:r>
                      <w:rPr>
                        <w:sz w:val="22"/>
                        <w:szCs w:val="22"/>
                      </w:rPr>
                      <w:t xml:space="preserve"> Respublikos žvejybos laivas </w:t>
                    </w:r>
                    <w:r>
                      <w:rPr>
                        <w:iCs/>
                        <w:sz w:val="22"/>
                        <w:szCs w:val="22"/>
                      </w:rPr>
                      <w:t xml:space="preserve">PĮP pateikimo dieną pareiškėjo valdomas  </w:t>
                    </w:r>
                    <w:r>
                      <w:rPr>
                        <w:sz w:val="22"/>
                        <w:szCs w:val="22"/>
                      </w:rPr>
                      <w:t xml:space="preserve">nuosavybės teise ar kitais teisėtais pagrindais, tokiais kaip nuoma ar panauda; </w:t>
                    </w:r>
                    <w:r>
                      <w:rPr>
                        <w:iCs/>
                        <w:sz w:val="22"/>
                        <w:szCs w:val="22"/>
                      </w:rPr>
                      <w:t>9.2.2.</w:t>
                    </w:r>
                    <w:r>
                      <w:t xml:space="preserve"> </w:t>
                    </w:r>
                    <w:r>
                      <w:rPr>
                        <w:iCs/>
                        <w:sz w:val="22"/>
                        <w:szCs w:val="22"/>
                      </w:rPr>
                      <w:t>PĮP pateikimo dieną turėjo verslinės žvejybos Baltijos jūroje (be teisės žvejoti priekrantėje) leid</w:t>
                    </w:r>
                    <w:r>
                      <w:rPr>
                        <w:iCs/>
                        <w:sz w:val="22"/>
                        <w:szCs w:val="22"/>
                      </w:rPr>
                      <w:t>imą arba Lietuvos Respublikos žvejybos laivo liudijimą</w:t>
                    </w:r>
                    <w:r>
                      <w:t xml:space="preserve"> </w:t>
                    </w:r>
                    <w:r>
                      <w:rPr>
                        <w:iCs/>
                        <w:sz w:val="22"/>
                        <w:szCs w:val="22"/>
                      </w:rPr>
                      <w:t>arba verslinės žvejybos kitų jūrų vandenyse leidimą;</w:t>
                    </w:r>
                  </w:p>
                  <w:p w14:paraId="39E2D0B3" w14:textId="5EDAD33F" w:rsidR="00A31459" w:rsidRDefault="00BF2634">
                    <w:pPr>
                      <w:spacing w:line="360" w:lineRule="auto"/>
                      <w:jc w:val="both"/>
                      <w:rPr>
                        <w:sz w:val="22"/>
                        <w:szCs w:val="22"/>
                      </w:rPr>
                    </w:pPr>
                    <w:r>
                      <w:rPr>
                        <w:sz w:val="22"/>
                        <w:szCs w:val="22"/>
                      </w:rPr>
                      <w:t xml:space="preserve">9.2.3. per paskutinius dvejus kalendorinius metus iki PĮP pateikimo datos (dveji kalendoriniai metai, ėję prieš PĮP pateikimo metus) ne mažiau kaip </w:t>
                    </w:r>
                    <w:r>
                      <w:rPr>
                        <w:sz w:val="22"/>
                        <w:szCs w:val="22"/>
                      </w:rPr>
                      <w:t>60 dienų vykdė žvejybos veiklą. Jeigu PĮP pateikimo dieną žvejybos laivas yra registruotas Sąjungos žvejybos laivų registre mažiau nei dvejus metus, galima minimalų žvejybos veiklos dienų, reikalaujamų tam laivui, skaičių skaičiuoti kaip proporcingą dalį n</w:t>
                    </w:r>
                    <w:r>
                      <w:rPr>
                        <w:sz w:val="22"/>
                        <w:szCs w:val="22"/>
                      </w:rPr>
                      <w:t>uo 120 dienų per pastaruosius dvejus kalendorinius metus;</w:t>
                    </w:r>
                  </w:p>
                  <w:p w14:paraId="4D6D2D81" w14:textId="10D90FA3" w:rsidR="00A31459" w:rsidRDefault="00BF2634">
                    <w:pPr>
                      <w:spacing w:line="360" w:lineRule="auto"/>
                      <w:jc w:val="both"/>
                      <w:rPr>
                        <w:sz w:val="22"/>
                        <w:szCs w:val="22"/>
                      </w:rPr>
                    </w:pPr>
                    <w:r>
                      <w:rPr>
                        <w:sz w:val="22"/>
                        <w:szCs w:val="22"/>
                      </w:rPr>
                      <w:t>9.2.4. kai PĮP teikia pareiškėjas nurodytas Aprašo 3.3.1 papunktyje ir įsigyjamas prietaisas ar įranga nėra montuojama tik konkrečiame žvejybos laive, PĮP turi būti nurodomas bent vienas žvejybos la</w:t>
                    </w:r>
                    <w:r>
                      <w:rPr>
                        <w:sz w:val="22"/>
                        <w:szCs w:val="22"/>
                      </w:rPr>
                      <w:t>ivas (PĮP I skyriaus 1.3.3 papunktyje), kurio sistemų ir (arba) prietaisų įsigijimui ir (arba) įrengimui prašoma parama pagal Aprašą.</w:t>
                    </w:r>
                  </w:p>
                  <w:p w14:paraId="70779CD4" w14:textId="4A424E90" w:rsidR="00A31459" w:rsidRDefault="00BF2634">
                    <w:pPr>
                      <w:spacing w:line="360" w:lineRule="auto"/>
                      <w:jc w:val="both"/>
                      <w:rPr>
                        <w:sz w:val="22"/>
                        <w:szCs w:val="22"/>
                      </w:rPr>
                    </w:pPr>
                    <w:r>
                      <w:rPr>
                        <w:sz w:val="22"/>
                        <w:szCs w:val="22"/>
                      </w:rPr>
                      <w:t>9.3. Neremiamos investicijos į įrangą, kuria didinamos žvejybos laivo galimybės rasti žuvų</w:t>
                    </w:r>
                    <w:r>
                      <w:t xml:space="preserve"> (kai prašoma paramos išlaidoms </w:t>
                    </w:r>
                    <w:r>
                      <w:t xml:space="preserve">patenkančios į Aprašo 9.4.1 papunktyje nustatytą kategoriją, </w:t>
                    </w:r>
                    <w:r>
                      <w:rPr>
                        <w:sz w:val="22"/>
                        <w:szCs w:val="22"/>
                      </w:rPr>
                      <w:t>PĮP III skyriaus 3.3 papunktyje prie „Išlaidų poreikio pagrindimas“ pagrindžiama atitiktis šiam kriterijui).</w:t>
                    </w:r>
                  </w:p>
                  <w:p w14:paraId="37C87198" w14:textId="77777777" w:rsidR="00A31459" w:rsidRDefault="00BF2634">
                    <w:pPr>
                      <w:spacing w:line="360" w:lineRule="auto"/>
                      <w:jc w:val="both"/>
                      <w:rPr>
                        <w:sz w:val="22"/>
                        <w:szCs w:val="22"/>
                      </w:rPr>
                    </w:pPr>
                    <w:r>
                      <w:rPr>
                        <w:sz w:val="22"/>
                        <w:szCs w:val="22"/>
                      </w:rPr>
                      <w:t>9.4. Pagal Aprašą finansuojamų išlaidų kategorijos yra šios:</w:t>
                    </w:r>
                  </w:p>
                  <w:p w14:paraId="1FBAA25F" w14:textId="26356323" w:rsidR="00A31459" w:rsidRDefault="00BF2634">
                    <w:pPr>
                      <w:spacing w:line="360" w:lineRule="auto"/>
                      <w:jc w:val="both"/>
                      <w:rPr>
                        <w:sz w:val="22"/>
                        <w:szCs w:val="22"/>
                      </w:rPr>
                    </w:pPr>
                    <w:r>
                      <w:rPr>
                        <w:sz w:val="22"/>
                        <w:szCs w:val="22"/>
                      </w:rPr>
                      <w:t xml:space="preserve">9.4.1. sistemų ir / arba </w:t>
                    </w:r>
                    <w:r>
                      <w:rPr>
                        <w:sz w:val="22"/>
                        <w:szCs w:val="22"/>
                      </w:rPr>
                      <w:t>prietaisų, naudojamų žvejybos kontrolės tikslais, įsigijimas ir / arba įrengimas laivuose (šios kategorijos išlaidoms PĮP III skyriaus 3.3. papunktyje prie „Išlaidų poreikio pagrindimas“ nurodyti žvejybos laivo, kurio sistemų ir (arba) prietaisų įsigijimui</w:t>
                    </w:r>
                    <w:r>
                      <w:rPr>
                        <w:sz w:val="22"/>
                        <w:szCs w:val="22"/>
                      </w:rPr>
                      <w:t xml:space="preserve"> ir (arba) įrengimui prašoma parama, bendrąjį laivyno registro (CFR) numerį, jei projektas susijęs su daugiau nei vienu žvejybos laivu) :</w:t>
                    </w:r>
                  </w:p>
                  <w:p w14:paraId="762490BB" w14:textId="5FE30D6A" w:rsidR="00A31459" w:rsidRDefault="00BF2634">
                    <w:pPr>
                      <w:spacing w:line="360" w:lineRule="auto"/>
                      <w:jc w:val="both"/>
                      <w:rPr>
                        <w:sz w:val="22"/>
                        <w:szCs w:val="22"/>
                      </w:rPr>
                    </w:pPr>
                    <w:r>
                      <w:rPr>
                        <w:sz w:val="22"/>
                        <w:szCs w:val="22"/>
                      </w:rPr>
                      <w:t>9.4.1.1. laivo buvimo vietos nustatymo ir / arba elektroninio žvejybos duomenų registravimo ir perdavimo sistemų (toli</w:t>
                    </w:r>
                    <w:r>
                      <w:rPr>
                        <w:sz w:val="22"/>
                        <w:szCs w:val="22"/>
                      </w:rPr>
                      <w:t>au – EDPS) duomenų perdavimui reikalingos įrangos ir (arba) programinės įrangos (įskaitant fizinės ir programinės įrangos palaikymą), iš jų mobiliojo ryšio aparatas (nešiojamasis įrenginys, turintis mobilaus interneto ir kitas ryšio funkcijas), tinkamas fi</w:t>
                    </w:r>
                    <w:r>
                      <w:rPr>
                        <w:sz w:val="22"/>
                        <w:szCs w:val="22"/>
                      </w:rPr>
                      <w:t>nansuoti tik Aprašo 3.3.1 papunktyje nurodytiems pareiškėjams, kai numatoma jį naudoti elektroniniam žvejybos duomenų pildymui ir laivo buvimo vietos nustatymui žvejybos veiklos metu (naudojant Žuvininkystės tarnybos prie Lietuvos Respublikos žemės ūkio mi</w:t>
                    </w:r>
                    <w:r>
                      <w:rPr>
                        <w:sz w:val="22"/>
                        <w:szCs w:val="22"/>
                      </w:rPr>
                      <w:t>nisterijos rekomenduojamas veikiančias mobiliąsias aplikacijas ar kitas žvejybos veiklai stebėti skirtas priemones); mobiliojo ryšio aparato atsparumą skysčiams pagal IP (angl. Ingress Protection Rating) sertifikavimą (apsaugos laipsnių klasifikacijos sist</w:t>
                    </w:r>
                    <w:r>
                      <w:rPr>
                        <w:sz w:val="22"/>
                        <w:szCs w:val="22"/>
                      </w:rPr>
                      <w:t>ema, kuri nusako elektros įrenginio apvalkalo atsparumą tam tikriems aplinkos veiksniams bei daiktams pagal tarptautinį standartą IEC 60529. Pirmasis skaičius nurodo atsparumą kietiesiems kūnams arba daiktams, pavyzdžiui, dulkėms. Jo vertė yra nuo 0 iki 6.</w:t>
                    </w:r>
                    <w:r>
                      <w:rPr>
                        <w:sz w:val="22"/>
                        <w:szCs w:val="22"/>
                      </w:rPr>
                      <w:t xml:space="preserve"> Antrasis skaičius nurodo atsparumą skysčiams, pavyzdžiui, vandeniui. Jo vertė (yra nuo 0 iki 8)) apibūdinanti reikšmė turi būti nemažesnė nei 6. Vieno mobiliojo ryšio aparato tinkamų finansuoti išlaidų vertė gali sudaryti ne daugiau kaip 530 Eur (be PVM).</w:t>
                    </w:r>
                    <w:r>
                      <w:rPr>
                        <w:sz w:val="22"/>
                        <w:szCs w:val="22"/>
                      </w:rPr>
                      <w:t xml:space="preserve"> Pareiškėjas įsigyjamų mobiliųjų aparatų kiekį turi pagrįsti PĮP (II skyriaus 2.2 papunktyje „Projektu sprendžiamos problemos“), atsižvelgdamas į tai,  kiek daugiausiai vienu metu žvejybos laivų vykdo žvejybos veiklą jūroje (remiantis ataskaitinių metų pra</w:t>
                    </w:r>
                    <w:r>
                      <w:rPr>
                        <w:sz w:val="22"/>
                        <w:szCs w:val="22"/>
                      </w:rPr>
                      <w:t>ktika). Jei Pareiškėjas jau pagal Aprašą su parama įsigijo maksimalų pagrįstą mobiliųjų aparatų kiekį, naujo mobiliojo ryšio aparato įsigijimas, vietoje ankščiau pagal Aprašą su parama įsigyto, tinkamas remti ne ankščiau nei po 18 mėn. (lyginamos įsigijimo</w:t>
                    </w:r>
                    <w:r>
                      <w:rPr>
                        <w:sz w:val="22"/>
                        <w:szCs w:val="22"/>
                      </w:rPr>
                      <w:t xml:space="preserve"> datos); </w:t>
                    </w:r>
                  </w:p>
                  <w:p w14:paraId="73D15648" w14:textId="77777777" w:rsidR="00A31459" w:rsidRDefault="00BF2634">
                    <w:pPr>
                      <w:spacing w:line="360" w:lineRule="auto"/>
                      <w:jc w:val="both"/>
                      <w:rPr>
                        <w:sz w:val="22"/>
                        <w:szCs w:val="22"/>
                      </w:rPr>
                    </w:pPr>
                    <w:r>
                      <w:rPr>
                        <w:sz w:val="22"/>
                        <w:szCs w:val="22"/>
                      </w:rPr>
                      <w:t>9.4.1.2. nuotolinio elektroninio stebėjimo sistemų, įskaitant nuotolinio stebėjimo kameras (angl. CCTV),  sensorius, duomenų įrašymo ir saugojimo prietaisus ir (arba) programinę įrangą;</w:t>
                    </w:r>
                  </w:p>
                  <w:p w14:paraId="3C4A2C73" w14:textId="77777777" w:rsidR="00A31459" w:rsidRDefault="00BF2634">
                    <w:pPr>
                      <w:spacing w:line="360" w:lineRule="auto"/>
                      <w:jc w:val="both"/>
                      <w:rPr>
                        <w:sz w:val="22"/>
                        <w:szCs w:val="22"/>
                      </w:rPr>
                    </w:pPr>
                    <w:r>
                      <w:rPr>
                        <w:sz w:val="22"/>
                        <w:szCs w:val="22"/>
                      </w:rPr>
                      <w:t>9.4.1.3. nuolatinio varomojo variklio galios matavimo ir įra</w:t>
                    </w:r>
                    <w:r>
                      <w:rPr>
                        <w:sz w:val="22"/>
                        <w:szCs w:val="22"/>
                      </w:rPr>
                      <w:t>šymo prietaisų ir (arba) programinės įrangos;</w:t>
                    </w:r>
                  </w:p>
                  <w:p w14:paraId="53E35790" w14:textId="44AADC29" w:rsidR="00A31459" w:rsidRDefault="00BF2634">
                    <w:pPr>
                      <w:spacing w:line="360" w:lineRule="auto"/>
                      <w:jc w:val="both"/>
                      <w:rPr>
                        <w:color w:val="000000"/>
                        <w:sz w:val="22"/>
                        <w:szCs w:val="22"/>
                        <w:lang w:eastAsia="lt-LT"/>
                      </w:rPr>
                    </w:pPr>
                    <w:r>
                      <w:rPr>
                        <w:color w:val="000000"/>
                        <w:sz w:val="22"/>
                        <w:szCs w:val="22"/>
                        <w:lang w:eastAsia="lt-LT"/>
                      </w:rPr>
                      <w:t xml:space="preserve">9.4.2. </w:t>
                    </w:r>
                    <w:r w:rsidR="000F13C4">
                      <w:rPr>
                        <w:color w:val="000000"/>
                        <w:szCs w:val="24"/>
                        <w:lang w:eastAsia="lt-LT"/>
                      </w:rPr>
                      <w:t>informavimo apie projektą išlaidos. Šios kategorijos išlaidos apskaičiuojamos taikant fiksuotąjį įkainį taip, kaip nurodyta Aprašo 10.2–10.5 papunkčiuose;</w:t>
                    </w:r>
                  </w:p>
                  <w:p w14:paraId="53A2FF7C" w14:textId="74B864D5" w:rsidR="00A31459" w:rsidRDefault="00BF2634">
                    <w:pPr>
                      <w:spacing w:line="360" w:lineRule="auto"/>
                      <w:jc w:val="both"/>
                      <w:rPr>
                        <w:color w:val="000000"/>
                        <w:sz w:val="22"/>
                        <w:szCs w:val="22"/>
                        <w:lang w:eastAsia="lt-LT"/>
                      </w:rPr>
                    </w:pPr>
                    <w:r>
                      <w:rPr>
                        <w:color w:val="000000"/>
                        <w:sz w:val="22"/>
                        <w:szCs w:val="22"/>
                        <w:lang w:eastAsia="lt-LT"/>
                      </w:rPr>
                      <w:t xml:space="preserve">9.4.3. kitos netiesioginės projekto išlaidos būtinos projektui įgyvendinti. Netiesioginėms išlaidoms apmokėti taikoma 7 proc. netiesioginių išlaidų fiksuotoji norma, skaičiuojama nuo Aprašo 9.4.1.–9.4.2. papunkčiuose nustatytų tiesioginių išlaidų. </w:t>
                    </w:r>
                  </w:p>
                  <w:p w14:paraId="2F301F86" w14:textId="77777777" w:rsidR="00A31459" w:rsidRDefault="00BF2634">
                    <w:pPr>
                      <w:spacing w:line="360" w:lineRule="auto"/>
                      <w:jc w:val="both"/>
                      <w:rPr>
                        <w:color w:val="000000"/>
                        <w:sz w:val="22"/>
                        <w:szCs w:val="22"/>
                        <w:lang w:eastAsia="lt-LT"/>
                      </w:rPr>
                    </w:pPr>
                    <w:r>
                      <w:rPr>
                        <w:color w:val="000000"/>
                        <w:sz w:val="22"/>
                        <w:szCs w:val="22"/>
                        <w:lang w:eastAsia="lt-LT"/>
                      </w:rPr>
                      <w:t>9.5. Ti</w:t>
                    </w:r>
                    <w:r>
                      <w:rPr>
                        <w:color w:val="000000"/>
                        <w:sz w:val="22"/>
                        <w:szCs w:val="22"/>
                        <w:lang w:eastAsia="lt-LT"/>
                      </w:rPr>
                      <w:t>nkamos finansuoti projekto išlaidos privalo atitikti projektų išlaidų reikalavimus nustatytus PFAT V skyriuje.</w:t>
                    </w:r>
                  </w:p>
                </w:tc>
              </w:tr>
              <w:tr w:rsidR="00A31459" w14:paraId="0A70F1F1" w14:textId="77777777">
                <w:trPr>
                  <w:trHeight w:val="349"/>
                </w:trPr>
                <w:tc>
                  <w:tcPr>
                    <w:tcW w:w="14709" w:type="dxa"/>
                  </w:tcPr>
                  <w:p w14:paraId="0D337735" w14:textId="77777777" w:rsidR="00A31459" w:rsidRDefault="00BF2634">
                    <w:pPr>
                      <w:jc w:val="both"/>
                      <w:rPr>
                        <w:sz w:val="22"/>
                        <w:szCs w:val="22"/>
                      </w:rPr>
                    </w:pPr>
                    <w:r>
                      <w:rPr>
                        <w:b/>
                        <w:sz w:val="22"/>
                        <w:szCs w:val="22"/>
                      </w:rPr>
                      <w:t>10. Projektų veiklų įgyvendinimui taikomi supaprastintai apmokamų išlaidų dydžiai</w:t>
                    </w:r>
                  </w:p>
                </w:tc>
              </w:tr>
              <w:tr w:rsidR="00A31459" w14:paraId="4B58D8E2" w14:textId="77777777">
                <w:tc>
                  <w:tcPr>
                    <w:tcW w:w="14709" w:type="dxa"/>
                  </w:tcPr>
                  <w:p w14:paraId="29FE5B2E" w14:textId="77777777" w:rsidR="00A31459" w:rsidRDefault="00BF2634">
                    <w:pPr>
                      <w:spacing w:line="360" w:lineRule="auto"/>
                      <w:jc w:val="both"/>
                      <w:rPr>
                        <w:bCs/>
                        <w:sz w:val="22"/>
                        <w:szCs w:val="22"/>
                      </w:rPr>
                    </w:pPr>
                    <w:r>
                      <w:rPr>
                        <w:bCs/>
                        <w:sz w:val="22"/>
                        <w:szCs w:val="22"/>
                      </w:rPr>
                      <w:t>Supaprastintai apmokamų išlaidų dydžių registras:</w:t>
                    </w:r>
                  </w:p>
                  <w:p w14:paraId="1DFCC922" w14:textId="77777777" w:rsidR="00A31459" w:rsidRDefault="00BF2634">
                    <w:pPr>
                      <w:spacing w:line="360" w:lineRule="auto"/>
                      <w:rPr>
                        <w:rFonts w:eastAsia="Calibri"/>
                        <w:color w:val="0563C1"/>
                        <w:sz w:val="22"/>
                        <w:szCs w:val="22"/>
                        <w:u w:val="single"/>
                      </w:rPr>
                    </w:pPr>
                    <w:r>
                      <w:rPr>
                        <w:rFonts w:eastAsia="Calibri"/>
                        <w:color w:val="0563C1"/>
                        <w:sz w:val="22"/>
                        <w:szCs w:val="22"/>
                        <w:u w:val="single"/>
                      </w:rPr>
                      <w:t>https://2021.esinvesticijos.lt/dokumentai/supaprastintai-apmokamu-islaidu-dydziu-registras</w:t>
                    </w:r>
                  </w:p>
                  <w:p w14:paraId="05BCD387" w14:textId="77777777" w:rsidR="00A31459" w:rsidRDefault="00BF2634">
                    <w:pPr>
                      <w:spacing w:line="360" w:lineRule="auto"/>
                      <w:jc w:val="both"/>
                      <w:rPr>
                        <w:bCs/>
                        <w:sz w:val="22"/>
                        <w:szCs w:val="22"/>
                      </w:rPr>
                    </w:pPr>
                    <w:r>
                      <w:rPr>
                        <w:bCs/>
                        <w:sz w:val="22"/>
                        <w:szCs w:val="22"/>
                      </w:rPr>
                      <w:t>Parengti fiksuotųjų dydžių tyrimai EJRŽAF lėšomis finansuojamoms veikloms:</w:t>
                    </w:r>
                  </w:p>
                  <w:p w14:paraId="380BA208" w14:textId="77777777" w:rsidR="00A31459" w:rsidRDefault="00BF2634">
                    <w:pPr>
                      <w:spacing w:line="360" w:lineRule="auto"/>
                      <w:jc w:val="both"/>
                      <w:rPr>
                        <w:rFonts w:eastAsia="Calibri"/>
                        <w:color w:val="0563C1"/>
                        <w:sz w:val="22"/>
                        <w:szCs w:val="22"/>
                        <w:u w:val="single"/>
                      </w:rPr>
                    </w:pPr>
                    <w:r>
                      <w:rPr>
                        <w:rFonts w:eastAsia="Calibri"/>
                        <w:color w:val="0563C1"/>
                        <w:sz w:val="22"/>
                        <w:szCs w:val="22"/>
                        <w:u w:val="single"/>
                      </w:rPr>
                      <w:t>https://www.esf.lt/veiklos-sritys/metodines-pagalbos-centras/parengti-fiksuotuju-dydziu-ty</w:t>
                    </w:r>
                    <w:r>
                      <w:rPr>
                        <w:rFonts w:eastAsia="Calibri"/>
                        <w:color w:val="0563C1"/>
                        <w:sz w:val="22"/>
                        <w:szCs w:val="22"/>
                        <w:u w:val="single"/>
                      </w:rPr>
                      <w:t>rimai/1105#c-47/t-81</w:t>
                    </w:r>
                  </w:p>
                  <w:tbl>
                    <w:tblPr>
                      <w:tblW w:w="14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
                      <w:gridCol w:w="5108"/>
                      <w:gridCol w:w="2835"/>
                      <w:gridCol w:w="2840"/>
                      <w:gridCol w:w="2877"/>
                    </w:tblGrid>
                    <w:tr w:rsidR="00A31459" w14:paraId="715975EB" w14:textId="77777777">
                      <w:trPr>
                        <w:trHeight w:val="768"/>
                      </w:trPr>
                      <w:tc>
                        <w:tcPr>
                          <w:tcW w:w="724" w:type="dxa"/>
                          <w:tcBorders>
                            <w:top w:val="single" w:sz="8" w:space="0" w:color="auto"/>
                            <w:left w:val="single" w:sz="8" w:space="0" w:color="auto"/>
                            <w:bottom w:val="single" w:sz="8" w:space="0" w:color="auto"/>
                            <w:right w:val="single" w:sz="8" w:space="0" w:color="auto"/>
                          </w:tcBorders>
                        </w:tcPr>
                        <w:p w14:paraId="3153EB64" w14:textId="77777777" w:rsidR="00A31459" w:rsidRDefault="00A31459">
                          <w:pPr>
                            <w:jc w:val="center"/>
                            <w:rPr>
                              <w:b/>
                              <w:bCs/>
                              <w:sz w:val="22"/>
                              <w:szCs w:val="22"/>
                            </w:rPr>
                          </w:pPr>
                        </w:p>
                      </w:tc>
                      <w:tc>
                        <w:tcPr>
                          <w:tcW w:w="5108" w:type="dxa"/>
                          <w:tcBorders>
                            <w:top w:val="single" w:sz="8" w:space="0" w:color="auto"/>
                            <w:left w:val="single" w:sz="8" w:space="0" w:color="auto"/>
                            <w:bottom w:val="single" w:sz="8" w:space="0" w:color="auto"/>
                            <w:right w:val="single" w:sz="8" w:space="0" w:color="auto"/>
                          </w:tcBorders>
                          <w:vAlign w:val="center"/>
                        </w:tcPr>
                        <w:p w14:paraId="7B7A3709" w14:textId="77777777" w:rsidR="00A31459" w:rsidRDefault="00BF2634">
                          <w:pPr>
                            <w:jc w:val="center"/>
                            <w:rPr>
                              <w:b/>
                              <w:bCs/>
                              <w:sz w:val="22"/>
                              <w:szCs w:val="22"/>
                            </w:rPr>
                          </w:pPr>
                          <w:r>
                            <w:rPr>
                              <w:b/>
                              <w:bCs/>
                              <w:sz w:val="22"/>
                              <w:szCs w:val="22"/>
                            </w:rPr>
                            <w:t>Veiklos ir (ar) išlaidos, kurioms taikomi supaprastintai apmokamų išlaidų dydžiai</w:t>
                          </w:r>
                        </w:p>
                      </w:tc>
                      <w:tc>
                        <w:tcPr>
                          <w:tcW w:w="2835" w:type="dxa"/>
                          <w:tcBorders>
                            <w:top w:val="single" w:sz="8" w:space="0" w:color="auto"/>
                            <w:left w:val="single" w:sz="8" w:space="0" w:color="auto"/>
                            <w:bottom w:val="single" w:sz="8" w:space="0" w:color="auto"/>
                            <w:right w:val="single" w:sz="8" w:space="0" w:color="auto"/>
                          </w:tcBorders>
                          <w:vAlign w:val="center"/>
                        </w:tcPr>
                        <w:p w14:paraId="1A9E6110" w14:textId="77777777" w:rsidR="00A31459" w:rsidRDefault="00BF2634">
                          <w:pPr>
                            <w:jc w:val="center"/>
                            <w:rPr>
                              <w:b/>
                              <w:bCs/>
                              <w:sz w:val="22"/>
                              <w:szCs w:val="22"/>
                            </w:rPr>
                          </w:pPr>
                          <w:r>
                            <w:rPr>
                              <w:b/>
                              <w:bCs/>
                              <w:sz w:val="22"/>
                              <w:szCs w:val="22"/>
                            </w:rPr>
                            <w:t>Supaprastintai apmokamų išlaidų dydžio kodas</w:t>
                          </w:r>
                        </w:p>
                      </w:tc>
                      <w:tc>
                        <w:tcPr>
                          <w:tcW w:w="2840" w:type="dxa"/>
                          <w:tcBorders>
                            <w:top w:val="single" w:sz="8" w:space="0" w:color="auto"/>
                            <w:left w:val="single" w:sz="8" w:space="0" w:color="auto"/>
                            <w:bottom w:val="single" w:sz="8" w:space="0" w:color="auto"/>
                            <w:right w:val="single" w:sz="8" w:space="0" w:color="auto"/>
                          </w:tcBorders>
                          <w:vAlign w:val="center"/>
                        </w:tcPr>
                        <w:p w14:paraId="48FE61FA" w14:textId="77777777" w:rsidR="00A31459" w:rsidRDefault="00BF2634">
                          <w:pPr>
                            <w:jc w:val="center"/>
                            <w:rPr>
                              <w:b/>
                              <w:bCs/>
                              <w:i/>
                              <w:iCs/>
                              <w:color w:val="808080"/>
                              <w:sz w:val="22"/>
                              <w:szCs w:val="22"/>
                            </w:rPr>
                          </w:pPr>
                          <w:r>
                            <w:rPr>
                              <w:b/>
                              <w:bCs/>
                              <w:sz w:val="22"/>
                              <w:szCs w:val="22"/>
                            </w:rPr>
                            <w:t>Supaprastintai apmokamų išlaidų dydžio versija</w:t>
                          </w:r>
                        </w:p>
                      </w:tc>
                      <w:tc>
                        <w:tcPr>
                          <w:tcW w:w="2877" w:type="dxa"/>
                          <w:tcBorders>
                            <w:top w:val="single" w:sz="8" w:space="0" w:color="auto"/>
                            <w:left w:val="single" w:sz="8" w:space="0" w:color="auto"/>
                            <w:bottom w:val="single" w:sz="8" w:space="0" w:color="auto"/>
                            <w:right w:val="single" w:sz="8" w:space="0" w:color="auto"/>
                          </w:tcBorders>
                          <w:vAlign w:val="center"/>
                        </w:tcPr>
                        <w:p w14:paraId="62019261" w14:textId="77777777" w:rsidR="00A31459" w:rsidRDefault="00BF2634">
                          <w:pPr>
                            <w:jc w:val="center"/>
                            <w:rPr>
                              <w:b/>
                              <w:bCs/>
                              <w:sz w:val="22"/>
                              <w:szCs w:val="22"/>
                            </w:rPr>
                          </w:pPr>
                          <w:r>
                            <w:rPr>
                              <w:b/>
                              <w:bCs/>
                              <w:sz w:val="22"/>
                              <w:szCs w:val="22"/>
                            </w:rPr>
                            <w:t>Supaprastintai apmokamų išlaidų dydžio pavadinimas</w:t>
                          </w:r>
                        </w:p>
                      </w:tc>
                    </w:tr>
                    <w:tr w:rsidR="00B531C1" w14:paraId="19B05535" w14:textId="77777777">
                      <w:trPr>
                        <w:trHeight w:val="454"/>
                      </w:trPr>
                      <w:tc>
                        <w:tcPr>
                          <w:tcW w:w="724" w:type="dxa"/>
                          <w:tcBorders>
                            <w:top w:val="single" w:sz="8" w:space="0" w:color="auto"/>
                            <w:left w:val="single" w:sz="8" w:space="0" w:color="auto"/>
                            <w:bottom w:val="single" w:sz="8" w:space="0" w:color="auto"/>
                            <w:right w:val="single" w:sz="8" w:space="0" w:color="auto"/>
                          </w:tcBorders>
                        </w:tcPr>
                        <w:p w14:paraId="100D9AAE" w14:textId="5DB6CC63" w:rsidR="00B531C1" w:rsidRDefault="00B531C1" w:rsidP="00B531C1">
                          <w:pPr>
                            <w:jc w:val="center"/>
                            <w:rPr>
                              <w:sz w:val="22"/>
                              <w:szCs w:val="22"/>
                            </w:rPr>
                          </w:pPr>
                          <w:r>
                            <w:rPr>
                              <w:sz w:val="22"/>
                              <w:szCs w:val="22"/>
                            </w:rPr>
                            <w:t>10.1.</w:t>
                          </w:r>
                        </w:p>
                      </w:tc>
                      <w:tc>
                        <w:tcPr>
                          <w:tcW w:w="5108" w:type="dxa"/>
                          <w:tcBorders>
                            <w:top w:val="single" w:sz="8" w:space="0" w:color="auto"/>
                            <w:left w:val="single" w:sz="8" w:space="0" w:color="auto"/>
                            <w:bottom w:val="single" w:sz="8" w:space="0" w:color="auto"/>
                            <w:right w:val="single" w:sz="8" w:space="0" w:color="auto"/>
                          </w:tcBorders>
                          <w:shd w:val="clear" w:color="auto" w:fill="auto"/>
                        </w:tcPr>
                        <w:p w14:paraId="74F3C4AC" w14:textId="500B3057" w:rsidR="00B531C1" w:rsidRDefault="00B531C1" w:rsidP="00B531C1">
                          <w:pPr>
                            <w:rPr>
                              <w:sz w:val="22"/>
                              <w:szCs w:val="22"/>
                            </w:rPr>
                          </w:pPr>
                          <w:r>
                            <w:rPr>
                              <w:szCs w:val="24"/>
                            </w:rPr>
                            <w:t>Netiesioginės projekto išlaidos skaičiuojamos nuo tinkamų finansuoti tiesioginių išlaidų</w:t>
                          </w:r>
                        </w:p>
                      </w:tc>
                      <w:tc>
                        <w:tcPr>
                          <w:tcW w:w="2835" w:type="dxa"/>
                          <w:tcBorders>
                            <w:top w:val="single" w:sz="8" w:space="0" w:color="auto"/>
                            <w:left w:val="single" w:sz="8" w:space="0" w:color="auto"/>
                            <w:bottom w:val="single" w:sz="8" w:space="0" w:color="auto"/>
                            <w:right w:val="single" w:sz="8" w:space="0" w:color="auto"/>
                          </w:tcBorders>
                          <w:shd w:val="clear" w:color="auto" w:fill="auto"/>
                          <w:vAlign w:val="center"/>
                        </w:tcPr>
                        <w:p w14:paraId="46CCF4EB" w14:textId="3702A77E" w:rsidR="00B531C1" w:rsidRDefault="00B531C1" w:rsidP="00B531C1">
                          <w:pPr>
                            <w:jc w:val="center"/>
                            <w:rPr>
                              <w:sz w:val="22"/>
                              <w:szCs w:val="22"/>
                            </w:rPr>
                          </w:pPr>
                          <w:r>
                            <w:rPr>
                              <w:szCs w:val="24"/>
                            </w:rPr>
                            <w:t>FN-01</w:t>
                          </w:r>
                        </w:p>
                      </w:tc>
                      <w:tc>
                        <w:tcPr>
                          <w:tcW w:w="2840" w:type="dxa"/>
                          <w:tcBorders>
                            <w:top w:val="single" w:sz="8" w:space="0" w:color="auto"/>
                            <w:left w:val="single" w:sz="8" w:space="0" w:color="auto"/>
                            <w:bottom w:val="single" w:sz="8" w:space="0" w:color="auto"/>
                            <w:right w:val="single" w:sz="8" w:space="0" w:color="auto"/>
                          </w:tcBorders>
                          <w:shd w:val="clear" w:color="auto" w:fill="auto"/>
                          <w:vAlign w:val="center"/>
                        </w:tcPr>
                        <w:p w14:paraId="3FDCADB8" w14:textId="67FBE72A" w:rsidR="00B531C1" w:rsidRDefault="00B531C1" w:rsidP="00B531C1">
                          <w:pPr>
                            <w:jc w:val="center"/>
                            <w:rPr>
                              <w:sz w:val="22"/>
                              <w:szCs w:val="22"/>
                            </w:rPr>
                          </w:pPr>
                          <w:r>
                            <w:rPr>
                              <w:szCs w:val="24"/>
                            </w:rPr>
                            <w:t>7 proc.</w:t>
                          </w:r>
                        </w:p>
                      </w:tc>
                      <w:tc>
                        <w:tcPr>
                          <w:tcW w:w="2877" w:type="dxa"/>
                          <w:tcBorders>
                            <w:top w:val="single" w:sz="8" w:space="0" w:color="auto"/>
                            <w:left w:val="single" w:sz="8" w:space="0" w:color="auto"/>
                            <w:bottom w:val="single" w:sz="8" w:space="0" w:color="auto"/>
                            <w:right w:val="single" w:sz="8" w:space="0" w:color="auto"/>
                          </w:tcBorders>
                          <w:shd w:val="clear" w:color="auto" w:fill="auto"/>
                          <w:vAlign w:val="center"/>
                        </w:tcPr>
                        <w:p w14:paraId="1001373A" w14:textId="455121A5" w:rsidR="00B531C1" w:rsidRDefault="00B531C1" w:rsidP="00B531C1">
                          <w:pPr>
                            <w:jc w:val="center"/>
                            <w:rPr>
                              <w:sz w:val="22"/>
                              <w:szCs w:val="22"/>
                            </w:rPr>
                          </w:pPr>
                          <w:r>
                            <w:rPr>
                              <w:szCs w:val="24"/>
                            </w:rPr>
                            <w:t>Iki 7 proc. fiksuotoji norma</w:t>
                          </w:r>
                        </w:p>
                      </w:tc>
                    </w:tr>
                    <w:tr w:rsidR="00A7129E" w14:paraId="363BD815" w14:textId="77777777" w:rsidTr="00FB5FBC">
                      <w:trPr>
                        <w:trHeight w:val="454"/>
                      </w:trPr>
                      <w:tc>
                        <w:tcPr>
                          <w:tcW w:w="724" w:type="dxa"/>
                          <w:tcBorders>
                            <w:top w:val="single" w:sz="8" w:space="0" w:color="auto"/>
                            <w:left w:val="single" w:sz="8" w:space="0" w:color="auto"/>
                            <w:bottom w:val="single" w:sz="8" w:space="0" w:color="auto"/>
                            <w:right w:val="single" w:sz="8" w:space="0" w:color="auto"/>
                          </w:tcBorders>
                        </w:tcPr>
                        <w:p w14:paraId="751B55C7" w14:textId="4E78B97D" w:rsidR="00A7129E" w:rsidRDefault="00A7129E">
                          <w:pPr>
                            <w:jc w:val="center"/>
                            <w:rPr>
                              <w:sz w:val="22"/>
                              <w:szCs w:val="22"/>
                            </w:rPr>
                          </w:pPr>
                          <w:r>
                            <w:rPr>
                              <w:color w:val="000000"/>
                              <w:sz w:val="22"/>
                              <w:szCs w:val="22"/>
                            </w:rPr>
                            <w:t>10.2.</w:t>
                          </w:r>
                        </w:p>
                      </w:tc>
                      <w:tc>
                        <w:tcPr>
                          <w:tcW w:w="5108" w:type="dxa"/>
                          <w:vMerge w:val="restart"/>
                          <w:tcBorders>
                            <w:top w:val="single" w:sz="8" w:space="0" w:color="auto"/>
                            <w:left w:val="single" w:sz="8" w:space="0" w:color="auto"/>
                            <w:right w:val="single" w:sz="8" w:space="0" w:color="auto"/>
                          </w:tcBorders>
                          <w:shd w:val="clear" w:color="auto" w:fill="auto"/>
                        </w:tcPr>
                        <w:p w14:paraId="01D073EA" w14:textId="77777777" w:rsidR="00A7129E" w:rsidRDefault="00A7129E" w:rsidP="00A7129E">
                          <w:pPr>
                            <w:rPr>
                              <w:szCs w:val="24"/>
                            </w:rPr>
                          </w:pPr>
                          <w:r>
                            <w:rPr>
                              <w:szCs w:val="24"/>
                            </w:rPr>
                            <w:t>Fiksuotąją sumą sudaro visų pirmojo privalomų matomumo ir informavimo priemonių rinkinio išlaidos, kai:</w:t>
                          </w:r>
                        </w:p>
                        <w:p w14:paraId="34FB7DB3" w14:textId="77777777" w:rsidR="00A7129E" w:rsidRDefault="00A7129E" w:rsidP="00A7129E">
                          <w:pPr>
                            <w:rPr>
                              <w:szCs w:val="24"/>
                            </w:rPr>
                          </w:pPr>
                          <w:r>
                            <w:rPr>
                              <w:szCs w:val="24"/>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14:paraId="2F11FD85" w14:textId="77777777" w:rsidR="00A7129E" w:rsidRDefault="00A7129E" w:rsidP="00A7129E">
                          <w:pPr>
                            <w:rPr>
                              <w:szCs w:val="24"/>
                            </w:rPr>
                          </w:pPr>
                          <w:r>
                            <w:rPr>
                              <w:szCs w:val="24"/>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14:paraId="34B6B79E" w14:textId="6037985A" w:rsidR="00A7129E" w:rsidRDefault="00A7129E" w:rsidP="00A7129E">
                          <w:pPr>
                            <w:rPr>
                              <w:sz w:val="22"/>
                              <w:szCs w:val="22"/>
                            </w:rPr>
                          </w:pPr>
                          <w:r>
                            <w:rPr>
                              <w:szCs w:val="24"/>
                            </w:rPr>
                            <w:t>c) visuomenei arba dalyviams skirtuose dokumentuose ir komunikacijos medžiagoje, susijusioje su veiksmo įgyvendinimu, gerai matomai pateiktas pareiškimas, kuriame akcentuojama gaunama ES parama;</w:t>
                          </w:r>
                        </w:p>
                      </w:tc>
                      <w:tc>
                        <w:tcPr>
                          <w:tcW w:w="2835" w:type="dxa"/>
                          <w:tcBorders>
                            <w:top w:val="single" w:sz="8" w:space="0" w:color="auto"/>
                            <w:left w:val="single" w:sz="8" w:space="0" w:color="auto"/>
                            <w:bottom w:val="single" w:sz="8" w:space="0" w:color="auto"/>
                            <w:right w:val="single" w:sz="8" w:space="0" w:color="auto"/>
                          </w:tcBorders>
                          <w:shd w:val="clear" w:color="auto" w:fill="auto"/>
                          <w:vAlign w:val="center"/>
                        </w:tcPr>
                        <w:p w14:paraId="60AEF9D8" w14:textId="0CA7F8D8" w:rsidR="00A7129E" w:rsidRDefault="00A7129E">
                          <w:pPr>
                            <w:jc w:val="center"/>
                            <w:rPr>
                              <w:sz w:val="22"/>
                              <w:szCs w:val="22"/>
                            </w:rPr>
                          </w:pPr>
                          <w:r>
                            <w:rPr>
                              <w:color w:val="000000"/>
                              <w:szCs w:val="24"/>
                            </w:rPr>
                            <w:t>FS-01-01</w:t>
                          </w:r>
                        </w:p>
                      </w:tc>
                      <w:tc>
                        <w:tcPr>
                          <w:tcW w:w="2840" w:type="dxa"/>
                          <w:tcBorders>
                            <w:top w:val="single" w:sz="8" w:space="0" w:color="auto"/>
                            <w:left w:val="single" w:sz="8" w:space="0" w:color="auto"/>
                            <w:bottom w:val="single" w:sz="8" w:space="0" w:color="auto"/>
                            <w:right w:val="single" w:sz="8" w:space="0" w:color="auto"/>
                          </w:tcBorders>
                          <w:shd w:val="clear" w:color="auto" w:fill="auto"/>
                          <w:vAlign w:val="center"/>
                        </w:tcPr>
                        <w:p w14:paraId="33B3BE51" w14:textId="2FCBCDD5" w:rsidR="00A7129E" w:rsidRDefault="00A7129E">
                          <w:pPr>
                            <w:jc w:val="center"/>
                            <w:rPr>
                              <w:sz w:val="22"/>
                              <w:szCs w:val="22"/>
                            </w:rPr>
                          </w:pPr>
                          <w:r>
                            <w:rPr>
                              <w:color w:val="000000"/>
                              <w:szCs w:val="24"/>
                            </w:rPr>
                            <w:t>-</w:t>
                          </w:r>
                        </w:p>
                      </w:tc>
                      <w:tc>
                        <w:tcPr>
                          <w:tcW w:w="2877" w:type="dxa"/>
                          <w:tcBorders>
                            <w:top w:val="single" w:sz="8" w:space="0" w:color="auto"/>
                            <w:left w:val="single" w:sz="8" w:space="0" w:color="auto"/>
                            <w:bottom w:val="single" w:sz="8" w:space="0" w:color="auto"/>
                            <w:right w:val="single" w:sz="8" w:space="0" w:color="auto"/>
                          </w:tcBorders>
                          <w:shd w:val="clear" w:color="auto" w:fill="auto"/>
                          <w:vAlign w:val="center"/>
                        </w:tcPr>
                        <w:p w14:paraId="11990404" w14:textId="5F6DAA49" w:rsidR="00A7129E" w:rsidRDefault="00A7129E">
                          <w:pPr>
                            <w:jc w:val="center"/>
                            <w:rPr>
                              <w:sz w:val="22"/>
                              <w:szCs w:val="22"/>
                            </w:rPr>
                          </w:pPr>
                          <w:r>
                            <w:rPr>
                              <w:color w:val="000000"/>
                              <w:szCs w:val="24"/>
                            </w:rPr>
                            <w:t>Įgyvendintų privalomų matomumo ir informavimo priemonių apie ES fondų investicijų veiklas fiksuotoji suma, pirmojo rinkinio FS be PVM</w:t>
                          </w:r>
                        </w:p>
                      </w:tc>
                    </w:tr>
                    <w:tr w:rsidR="00A7129E" w14:paraId="5482A62F" w14:textId="77777777" w:rsidTr="00BF2634">
                      <w:trPr>
                        <w:trHeight w:val="454"/>
                      </w:trPr>
                      <w:tc>
                        <w:tcPr>
                          <w:tcW w:w="724" w:type="dxa"/>
                          <w:tcBorders>
                            <w:top w:val="single" w:sz="8" w:space="0" w:color="auto"/>
                            <w:left w:val="single" w:sz="8" w:space="0" w:color="auto"/>
                            <w:bottom w:val="single" w:sz="8" w:space="0" w:color="auto"/>
                            <w:right w:val="single" w:sz="8" w:space="0" w:color="auto"/>
                          </w:tcBorders>
                        </w:tcPr>
                        <w:p w14:paraId="2C1850EC" w14:textId="697BBD11" w:rsidR="00A7129E" w:rsidRDefault="00A7129E">
                          <w:pPr>
                            <w:jc w:val="center"/>
                            <w:rPr>
                              <w:sz w:val="22"/>
                              <w:szCs w:val="22"/>
                            </w:rPr>
                          </w:pPr>
                          <w:r>
                            <w:rPr>
                              <w:color w:val="000000"/>
                              <w:sz w:val="22"/>
                              <w:szCs w:val="22"/>
                            </w:rPr>
                            <w:t>10.3.</w:t>
                          </w:r>
                        </w:p>
                      </w:tc>
                      <w:tc>
                        <w:tcPr>
                          <w:tcW w:w="5108" w:type="dxa"/>
                          <w:vMerge/>
                          <w:tcBorders>
                            <w:left w:val="single" w:sz="8" w:space="0" w:color="auto"/>
                            <w:bottom w:val="single" w:sz="8" w:space="0" w:color="auto"/>
                            <w:right w:val="single" w:sz="8" w:space="0" w:color="auto"/>
                          </w:tcBorders>
                          <w:shd w:val="clear" w:color="auto" w:fill="auto"/>
                        </w:tcPr>
                        <w:p w14:paraId="3BE52F3A" w14:textId="77777777" w:rsidR="00A7129E" w:rsidRDefault="00A7129E">
                          <w:pPr>
                            <w:rPr>
                              <w:sz w:val="22"/>
                              <w:szCs w:val="22"/>
                            </w:rPr>
                          </w:pPr>
                        </w:p>
                      </w:tc>
                      <w:tc>
                        <w:tcPr>
                          <w:tcW w:w="2835" w:type="dxa"/>
                          <w:tcBorders>
                            <w:top w:val="single" w:sz="8" w:space="0" w:color="auto"/>
                            <w:left w:val="single" w:sz="8" w:space="0" w:color="auto"/>
                            <w:bottom w:val="single" w:sz="8" w:space="0" w:color="auto"/>
                            <w:right w:val="single" w:sz="8" w:space="0" w:color="auto"/>
                          </w:tcBorders>
                          <w:shd w:val="clear" w:color="auto" w:fill="auto"/>
                          <w:vAlign w:val="center"/>
                        </w:tcPr>
                        <w:p w14:paraId="6251851B" w14:textId="4F17F5B0" w:rsidR="00A7129E" w:rsidRDefault="00A7129E">
                          <w:pPr>
                            <w:jc w:val="center"/>
                            <w:rPr>
                              <w:sz w:val="22"/>
                              <w:szCs w:val="22"/>
                            </w:rPr>
                          </w:pPr>
                          <w:r>
                            <w:rPr>
                              <w:color w:val="000000"/>
                              <w:szCs w:val="24"/>
                            </w:rPr>
                            <w:t>FS-01-02</w:t>
                          </w:r>
                        </w:p>
                      </w:tc>
                      <w:tc>
                        <w:tcPr>
                          <w:tcW w:w="2840" w:type="dxa"/>
                          <w:tcBorders>
                            <w:top w:val="single" w:sz="8" w:space="0" w:color="auto"/>
                            <w:left w:val="single" w:sz="8" w:space="0" w:color="auto"/>
                            <w:bottom w:val="single" w:sz="8" w:space="0" w:color="auto"/>
                            <w:right w:val="single" w:sz="8" w:space="0" w:color="auto"/>
                          </w:tcBorders>
                          <w:shd w:val="clear" w:color="auto" w:fill="auto"/>
                          <w:vAlign w:val="center"/>
                        </w:tcPr>
                        <w:p w14:paraId="6C6C501F" w14:textId="193BADA3" w:rsidR="00A7129E" w:rsidRDefault="00A7129E">
                          <w:pPr>
                            <w:jc w:val="center"/>
                            <w:rPr>
                              <w:sz w:val="22"/>
                              <w:szCs w:val="22"/>
                            </w:rPr>
                          </w:pPr>
                          <w:r>
                            <w:rPr>
                              <w:color w:val="000000"/>
                              <w:szCs w:val="24"/>
                            </w:rPr>
                            <w:t>-</w:t>
                          </w:r>
                        </w:p>
                      </w:tc>
                      <w:tc>
                        <w:tcPr>
                          <w:tcW w:w="2877" w:type="dxa"/>
                          <w:tcBorders>
                            <w:top w:val="single" w:sz="8" w:space="0" w:color="auto"/>
                            <w:left w:val="single" w:sz="8" w:space="0" w:color="auto"/>
                            <w:bottom w:val="single" w:sz="8" w:space="0" w:color="auto"/>
                            <w:right w:val="single" w:sz="8" w:space="0" w:color="auto"/>
                          </w:tcBorders>
                          <w:shd w:val="clear" w:color="auto" w:fill="auto"/>
                          <w:vAlign w:val="center"/>
                        </w:tcPr>
                        <w:p w14:paraId="124AA402" w14:textId="3AECDCBB" w:rsidR="00A7129E" w:rsidRDefault="00A7129E" w:rsidP="00BF2634">
                          <w:pPr>
                            <w:spacing w:before="200"/>
                            <w:jc w:val="center"/>
                            <w:rPr>
                              <w:sz w:val="22"/>
                              <w:szCs w:val="22"/>
                            </w:rPr>
                          </w:pPr>
                          <w:bookmarkStart w:id="0" w:name="_GoBack"/>
                          <w:bookmarkEnd w:id="0"/>
                          <w:r>
                            <w:rPr>
                              <w:color w:val="000000"/>
                              <w:szCs w:val="24"/>
                            </w:rPr>
                            <w:t>Įgyvendintų privalomų matomumo ir informavimo priemonių apie ES fondų investicijų veiklas fiksuotoji suma, pirmojo rinkinio FS su PVM</w:t>
                          </w:r>
                        </w:p>
                      </w:tc>
                    </w:tr>
                    <w:tr w:rsidR="00A7129E" w14:paraId="6D1A413D" w14:textId="77777777" w:rsidTr="00016A83">
                      <w:trPr>
                        <w:trHeight w:val="454"/>
                      </w:trPr>
                      <w:tc>
                        <w:tcPr>
                          <w:tcW w:w="724" w:type="dxa"/>
                          <w:tcBorders>
                            <w:top w:val="single" w:sz="8" w:space="0" w:color="auto"/>
                            <w:left w:val="single" w:sz="8" w:space="0" w:color="auto"/>
                            <w:bottom w:val="single" w:sz="8" w:space="0" w:color="auto"/>
                            <w:right w:val="single" w:sz="8" w:space="0" w:color="auto"/>
                          </w:tcBorders>
                        </w:tcPr>
                        <w:p w14:paraId="0BE9A846" w14:textId="40DE8680" w:rsidR="00A7129E" w:rsidRDefault="00A7129E">
                          <w:pPr>
                            <w:jc w:val="center"/>
                            <w:rPr>
                              <w:sz w:val="22"/>
                              <w:szCs w:val="22"/>
                            </w:rPr>
                          </w:pPr>
                          <w:r>
                            <w:rPr>
                              <w:sz w:val="22"/>
                              <w:szCs w:val="22"/>
                            </w:rPr>
                            <w:t>10.4.</w:t>
                          </w:r>
                        </w:p>
                      </w:tc>
                      <w:tc>
                        <w:tcPr>
                          <w:tcW w:w="5108" w:type="dxa"/>
                          <w:vMerge w:val="restart"/>
                          <w:tcBorders>
                            <w:top w:val="single" w:sz="8" w:space="0" w:color="auto"/>
                            <w:left w:val="single" w:sz="8" w:space="0" w:color="auto"/>
                            <w:right w:val="single" w:sz="8" w:space="0" w:color="auto"/>
                          </w:tcBorders>
                          <w:shd w:val="clear" w:color="auto" w:fill="auto"/>
                        </w:tcPr>
                        <w:p w14:paraId="6A6C1700" w14:textId="77777777" w:rsidR="00A7129E" w:rsidRDefault="00A7129E" w:rsidP="00A7129E">
                          <w:pPr>
                            <w:rPr>
                              <w:szCs w:val="24"/>
                            </w:rPr>
                          </w:pPr>
                          <w:r>
                            <w:rPr>
                              <w:szCs w:val="24"/>
                            </w:rPr>
                            <w:t>Fiksuotąją sumą sudaro visų antrojo privalomų matomumo ir informavimo priemonių rinkinio išlaidos, kai:</w:t>
                          </w:r>
                        </w:p>
                        <w:p w14:paraId="4FBB592E" w14:textId="77777777" w:rsidR="00A7129E" w:rsidRDefault="00A7129E" w:rsidP="00A7129E">
                          <w:pPr>
                            <w:rPr>
                              <w:szCs w:val="24"/>
                            </w:rPr>
                          </w:pPr>
                          <w:r>
                            <w:rPr>
                              <w:szCs w:val="24"/>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14:paraId="61590F0D" w14:textId="77777777" w:rsidR="00A7129E" w:rsidRDefault="00A7129E" w:rsidP="00A7129E">
                          <w:pPr>
                            <w:rPr>
                              <w:szCs w:val="24"/>
                            </w:rPr>
                          </w:pPr>
                          <w:r>
                            <w:rPr>
                              <w:szCs w:val="24"/>
                            </w:rPr>
                            <w:t>b) visuomenei arba dalyviams skirtuose dokumentuose ir komunikacijos medžiagoje, susijusioje su veiksmo įgyvendinimu, gerai matomai pateiktas pareiškimas, kuriame akcentuojama gaunama ES parama;</w:t>
                          </w:r>
                        </w:p>
                        <w:p w14:paraId="1DE943B3" w14:textId="30A361A8" w:rsidR="00A7129E" w:rsidRDefault="00A7129E" w:rsidP="00A7129E">
                          <w:pPr>
                            <w:rPr>
                              <w:sz w:val="22"/>
                              <w:szCs w:val="22"/>
                            </w:rPr>
                          </w:pPr>
                          <w:r>
                            <w:rPr>
                              <w:szCs w:val="24"/>
                            </w:rPr>
                            <w:t>c) kai tik pradedami fiziškai vykdyti veiksmai, susiję su fizinėmis investicijomis, arba sumontuojama nupirkta įranga, visuomenei gerai matomoje vietoje iškabinamos ilgalaikės lentelės ar informacinės lentos su ES emblema.</w:t>
                          </w:r>
                        </w:p>
                      </w:tc>
                      <w:tc>
                        <w:tcPr>
                          <w:tcW w:w="2835" w:type="dxa"/>
                          <w:tcBorders>
                            <w:top w:val="single" w:sz="8" w:space="0" w:color="auto"/>
                            <w:left w:val="single" w:sz="8" w:space="0" w:color="auto"/>
                            <w:bottom w:val="single" w:sz="8" w:space="0" w:color="auto"/>
                            <w:right w:val="single" w:sz="8" w:space="0" w:color="auto"/>
                          </w:tcBorders>
                          <w:shd w:val="clear" w:color="auto" w:fill="auto"/>
                          <w:vAlign w:val="center"/>
                        </w:tcPr>
                        <w:p w14:paraId="18D6DB55" w14:textId="379CFBD5" w:rsidR="00A7129E" w:rsidRDefault="00A7129E">
                          <w:pPr>
                            <w:jc w:val="center"/>
                            <w:rPr>
                              <w:sz w:val="22"/>
                              <w:szCs w:val="22"/>
                            </w:rPr>
                          </w:pPr>
                          <w:r>
                            <w:rPr>
                              <w:color w:val="000000"/>
                              <w:szCs w:val="24"/>
                            </w:rPr>
                            <w:t>FS-01-03</w:t>
                          </w:r>
                        </w:p>
                      </w:tc>
                      <w:tc>
                        <w:tcPr>
                          <w:tcW w:w="2840" w:type="dxa"/>
                          <w:tcBorders>
                            <w:top w:val="single" w:sz="8" w:space="0" w:color="auto"/>
                            <w:left w:val="single" w:sz="8" w:space="0" w:color="auto"/>
                            <w:bottom w:val="single" w:sz="8" w:space="0" w:color="auto"/>
                            <w:right w:val="single" w:sz="8" w:space="0" w:color="auto"/>
                          </w:tcBorders>
                          <w:shd w:val="clear" w:color="auto" w:fill="auto"/>
                          <w:vAlign w:val="center"/>
                        </w:tcPr>
                        <w:p w14:paraId="05A9134A" w14:textId="5CD4757A" w:rsidR="00A7129E" w:rsidRDefault="00A7129E">
                          <w:pPr>
                            <w:jc w:val="center"/>
                            <w:rPr>
                              <w:sz w:val="22"/>
                              <w:szCs w:val="22"/>
                            </w:rPr>
                          </w:pPr>
                          <w:r>
                            <w:rPr>
                              <w:szCs w:val="24"/>
                            </w:rPr>
                            <w:t>-</w:t>
                          </w:r>
                        </w:p>
                      </w:tc>
                      <w:tc>
                        <w:tcPr>
                          <w:tcW w:w="2877" w:type="dxa"/>
                          <w:tcBorders>
                            <w:top w:val="single" w:sz="8" w:space="0" w:color="auto"/>
                            <w:left w:val="single" w:sz="8" w:space="0" w:color="auto"/>
                            <w:bottom w:val="single" w:sz="8" w:space="0" w:color="auto"/>
                            <w:right w:val="single" w:sz="8" w:space="0" w:color="auto"/>
                          </w:tcBorders>
                          <w:shd w:val="clear" w:color="auto" w:fill="auto"/>
                          <w:vAlign w:val="center"/>
                        </w:tcPr>
                        <w:p w14:paraId="4255B554" w14:textId="2E390CB0" w:rsidR="00A7129E" w:rsidRDefault="00A7129E">
                          <w:pPr>
                            <w:jc w:val="center"/>
                            <w:rPr>
                              <w:sz w:val="22"/>
                              <w:szCs w:val="22"/>
                            </w:rPr>
                          </w:pPr>
                          <w:r>
                            <w:rPr>
                              <w:color w:val="000000"/>
                              <w:szCs w:val="24"/>
                            </w:rPr>
                            <w:t>Įgyvendintų privalomų matomumo ir informavimo priemonių apie ES fondų investicijų veiklas fiksuotoji suma, antrojo rinkinio FS be PVM</w:t>
                          </w:r>
                        </w:p>
                      </w:tc>
                    </w:tr>
                    <w:tr w:rsidR="00A7129E" w14:paraId="24F1B293" w14:textId="77777777" w:rsidTr="00016A83">
                      <w:trPr>
                        <w:trHeight w:val="454"/>
                      </w:trPr>
                      <w:tc>
                        <w:tcPr>
                          <w:tcW w:w="724" w:type="dxa"/>
                          <w:tcBorders>
                            <w:top w:val="single" w:sz="8" w:space="0" w:color="auto"/>
                            <w:left w:val="single" w:sz="8" w:space="0" w:color="auto"/>
                            <w:bottom w:val="single" w:sz="8" w:space="0" w:color="auto"/>
                            <w:right w:val="single" w:sz="8" w:space="0" w:color="auto"/>
                          </w:tcBorders>
                        </w:tcPr>
                        <w:p w14:paraId="3F092492" w14:textId="69FD87EA" w:rsidR="00A7129E" w:rsidRDefault="00A7129E">
                          <w:pPr>
                            <w:jc w:val="center"/>
                            <w:rPr>
                              <w:sz w:val="22"/>
                              <w:szCs w:val="22"/>
                            </w:rPr>
                          </w:pPr>
                          <w:r>
                            <w:rPr>
                              <w:sz w:val="22"/>
                              <w:szCs w:val="22"/>
                            </w:rPr>
                            <w:t>10.5.</w:t>
                          </w:r>
                        </w:p>
                      </w:tc>
                      <w:tc>
                        <w:tcPr>
                          <w:tcW w:w="5108" w:type="dxa"/>
                          <w:vMerge/>
                          <w:tcBorders>
                            <w:left w:val="single" w:sz="8" w:space="0" w:color="auto"/>
                            <w:bottom w:val="single" w:sz="8" w:space="0" w:color="auto"/>
                            <w:right w:val="single" w:sz="8" w:space="0" w:color="auto"/>
                          </w:tcBorders>
                          <w:shd w:val="clear" w:color="auto" w:fill="auto"/>
                        </w:tcPr>
                        <w:p w14:paraId="5CCCBED8" w14:textId="77777777" w:rsidR="00A7129E" w:rsidRDefault="00A7129E">
                          <w:pPr>
                            <w:rPr>
                              <w:sz w:val="22"/>
                              <w:szCs w:val="22"/>
                            </w:rPr>
                          </w:pPr>
                        </w:p>
                      </w:tc>
                      <w:tc>
                        <w:tcPr>
                          <w:tcW w:w="2835" w:type="dxa"/>
                          <w:tcBorders>
                            <w:top w:val="single" w:sz="8" w:space="0" w:color="auto"/>
                            <w:left w:val="single" w:sz="8" w:space="0" w:color="auto"/>
                            <w:bottom w:val="single" w:sz="8" w:space="0" w:color="auto"/>
                            <w:right w:val="single" w:sz="8" w:space="0" w:color="auto"/>
                          </w:tcBorders>
                          <w:shd w:val="clear" w:color="auto" w:fill="auto"/>
                          <w:vAlign w:val="center"/>
                        </w:tcPr>
                        <w:p w14:paraId="35C23B16" w14:textId="6A8039E9" w:rsidR="00A7129E" w:rsidRDefault="00A7129E">
                          <w:pPr>
                            <w:jc w:val="center"/>
                            <w:rPr>
                              <w:sz w:val="22"/>
                              <w:szCs w:val="22"/>
                            </w:rPr>
                          </w:pPr>
                          <w:r>
                            <w:rPr>
                              <w:color w:val="000000"/>
                              <w:szCs w:val="24"/>
                            </w:rPr>
                            <w:t>FS-01-04</w:t>
                          </w:r>
                        </w:p>
                      </w:tc>
                      <w:tc>
                        <w:tcPr>
                          <w:tcW w:w="2840" w:type="dxa"/>
                          <w:tcBorders>
                            <w:top w:val="single" w:sz="8" w:space="0" w:color="auto"/>
                            <w:left w:val="single" w:sz="8" w:space="0" w:color="auto"/>
                            <w:bottom w:val="single" w:sz="8" w:space="0" w:color="auto"/>
                            <w:right w:val="single" w:sz="8" w:space="0" w:color="auto"/>
                          </w:tcBorders>
                          <w:shd w:val="clear" w:color="auto" w:fill="auto"/>
                          <w:vAlign w:val="center"/>
                        </w:tcPr>
                        <w:p w14:paraId="776193EE" w14:textId="7C7BE11D" w:rsidR="00A7129E" w:rsidRDefault="00A7129E">
                          <w:pPr>
                            <w:jc w:val="center"/>
                            <w:rPr>
                              <w:sz w:val="22"/>
                              <w:szCs w:val="22"/>
                            </w:rPr>
                          </w:pPr>
                          <w:r>
                            <w:rPr>
                              <w:szCs w:val="24"/>
                            </w:rPr>
                            <w:t>-</w:t>
                          </w:r>
                        </w:p>
                      </w:tc>
                      <w:tc>
                        <w:tcPr>
                          <w:tcW w:w="2877" w:type="dxa"/>
                          <w:tcBorders>
                            <w:top w:val="single" w:sz="8" w:space="0" w:color="auto"/>
                            <w:left w:val="single" w:sz="8" w:space="0" w:color="auto"/>
                            <w:bottom w:val="single" w:sz="8" w:space="0" w:color="auto"/>
                            <w:right w:val="single" w:sz="8" w:space="0" w:color="auto"/>
                          </w:tcBorders>
                          <w:shd w:val="clear" w:color="auto" w:fill="auto"/>
                          <w:vAlign w:val="center"/>
                        </w:tcPr>
                        <w:p w14:paraId="7575029A" w14:textId="52F9E6DF" w:rsidR="00A7129E" w:rsidRDefault="00A7129E">
                          <w:pPr>
                            <w:jc w:val="center"/>
                            <w:rPr>
                              <w:sz w:val="22"/>
                              <w:szCs w:val="22"/>
                            </w:rPr>
                          </w:pPr>
                          <w:r>
                            <w:rPr>
                              <w:color w:val="000000"/>
                              <w:szCs w:val="24"/>
                            </w:rPr>
                            <w:t>Įgyvendintų privalomų matomumo ir informavimo priemonių apie ES fondų investicijų veiklas fiksuotoji suma, antrojo rinkinio FS su PVM</w:t>
                          </w:r>
                        </w:p>
                      </w:tc>
                    </w:tr>
                  </w:tbl>
                  <w:p w14:paraId="1CC1A161" w14:textId="77777777" w:rsidR="00A31459" w:rsidRDefault="00A31459">
                    <w:pPr>
                      <w:jc w:val="both"/>
                      <w:rPr>
                        <w:i/>
                        <w:iCs/>
                        <w:sz w:val="22"/>
                        <w:szCs w:val="22"/>
                      </w:rPr>
                    </w:pPr>
                  </w:p>
                </w:tc>
              </w:tr>
            </w:tbl>
            <w:p w14:paraId="2A853D5B" w14:textId="77777777" w:rsidR="00A31459" w:rsidRDefault="00A31459">
              <w:pPr>
                <w:spacing w:line="276" w:lineRule="auto"/>
                <w:jc w:val="center"/>
                <w:rPr>
                  <w:rFonts w:ascii="Calibri" w:eastAsia="Calibri" w:hAnsi="Calibri"/>
                  <w:sz w:val="22"/>
                  <w:szCs w:val="22"/>
                </w:rPr>
              </w:pPr>
            </w:p>
            <w:p w14:paraId="548F8B13" w14:textId="77777777" w:rsidR="00A31459" w:rsidRDefault="00A31459">
              <w:pPr>
                <w:rPr>
                  <w:sz w:val="18"/>
                  <w:szCs w:val="18"/>
                </w:rPr>
              </w:pPr>
            </w:p>
            <w:p w14:paraId="7652211F" w14:textId="190A09CB" w:rsidR="00A31459" w:rsidRDefault="00BF2634">
              <w:pPr>
                <w:spacing w:line="276" w:lineRule="auto"/>
                <w:jc w:val="center"/>
                <w:rPr>
                  <w:rFonts w:ascii="Calibri" w:eastAsia="Calibri" w:hAnsi="Calibri"/>
                  <w:sz w:val="22"/>
                  <w:szCs w:val="22"/>
                </w:rPr>
              </w:pPr>
              <w:r>
                <w:rPr>
                  <w:rFonts w:ascii="Calibri" w:eastAsia="Calibri" w:hAnsi="Calibri"/>
                  <w:sz w:val="22"/>
                  <w:szCs w:val="22"/>
                </w:rPr>
                <w:t>________________________________</w:t>
              </w:r>
            </w:p>
            <w:p w14:paraId="6FA88C70" w14:textId="77777777" w:rsidR="00A31459" w:rsidRDefault="00BF2634">
              <w:pPr>
                <w:rPr>
                  <w:color w:val="000000"/>
                  <w:sz w:val="20"/>
                </w:rPr>
              </w:pPr>
            </w:p>
          </w:sdtContent>
        </w:sdt>
      </w:sdtContent>
    </w:sdt>
    <w:sectPr w:rsidR="00A31459">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701" w:right="567" w:bottom="1134" w:left="1134" w:header="709" w:footer="567" w:gutter="0"/>
      <w:pgNumType w:start="1" w:chapStyle="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B851E1" w14:textId="77777777" w:rsidR="00A31459" w:rsidRDefault="00BF2634">
      <w:pPr>
        <w:rPr>
          <w:sz w:val="22"/>
          <w:szCs w:val="22"/>
        </w:rPr>
      </w:pPr>
      <w:r>
        <w:rPr>
          <w:sz w:val="22"/>
          <w:szCs w:val="22"/>
        </w:rPr>
        <w:separator/>
      </w:r>
    </w:p>
  </w:endnote>
  <w:endnote w:type="continuationSeparator" w:id="0">
    <w:p w14:paraId="23539DD0" w14:textId="77777777" w:rsidR="00A31459" w:rsidRDefault="00BF2634">
      <w:pPr>
        <w:rPr>
          <w:sz w:val="22"/>
          <w:szCs w:val="22"/>
        </w:rPr>
      </w:pPr>
      <w:r>
        <w:rPr>
          <w:sz w:val="22"/>
          <w:szCs w:val="22"/>
        </w:rPr>
        <w:continuationSeparator/>
      </w:r>
    </w:p>
  </w:endnote>
  <w:endnote w:type="continuationNotice" w:id="1">
    <w:p w14:paraId="1BDD88CF" w14:textId="77777777" w:rsidR="00A31459" w:rsidRDefault="00A3145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5FBAD6" w14:textId="77777777" w:rsidR="00A31459" w:rsidRDefault="00A3145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487BDA" w14:textId="77777777" w:rsidR="00A31459" w:rsidRDefault="00A31459">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530DB" w14:textId="77777777" w:rsidR="00A31459" w:rsidRDefault="00A3145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290C5F" w14:textId="77777777" w:rsidR="00A31459" w:rsidRDefault="00BF2634">
      <w:pPr>
        <w:rPr>
          <w:sz w:val="22"/>
          <w:szCs w:val="22"/>
        </w:rPr>
      </w:pPr>
      <w:r>
        <w:rPr>
          <w:sz w:val="22"/>
          <w:szCs w:val="22"/>
        </w:rPr>
        <w:separator/>
      </w:r>
    </w:p>
  </w:footnote>
  <w:footnote w:type="continuationSeparator" w:id="0">
    <w:p w14:paraId="644AB361" w14:textId="77777777" w:rsidR="00A31459" w:rsidRDefault="00BF2634">
      <w:pPr>
        <w:rPr>
          <w:sz w:val="22"/>
          <w:szCs w:val="22"/>
        </w:rPr>
      </w:pPr>
      <w:r>
        <w:rPr>
          <w:sz w:val="22"/>
          <w:szCs w:val="22"/>
        </w:rPr>
        <w:continuationSeparator/>
      </w:r>
    </w:p>
  </w:footnote>
  <w:footnote w:type="continuationNotice" w:id="1">
    <w:p w14:paraId="7B257D86" w14:textId="77777777" w:rsidR="00A31459" w:rsidRDefault="00A31459">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3BA98" w14:textId="77777777" w:rsidR="00A31459" w:rsidRDefault="00A3145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C0EA2B" w14:textId="19E56602" w:rsidR="00A31459" w:rsidRDefault="00BF263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8</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FB62F" w14:textId="77777777" w:rsidR="00A31459" w:rsidRDefault="00A3145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F13C4"/>
    <w:rsid w:val="004E704C"/>
    <w:rsid w:val="00A31459"/>
    <w:rsid w:val="00A361B0"/>
    <w:rsid w:val="00A7129E"/>
    <w:rsid w:val="00B531C1"/>
    <w:rsid w:val="00BF26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C6BA3B"/>
  <w15:docId w15:val="{1895FAE4-9591-4B2A-8495-A7A692A79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11132">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2562439">
      <w:bodyDiv w:val="1"/>
      <w:marLeft w:val="0"/>
      <w:marRight w:val="0"/>
      <w:marTop w:val="0"/>
      <w:marBottom w:val="0"/>
      <w:divBdr>
        <w:top w:val="none" w:sz="0" w:space="0" w:color="auto"/>
        <w:left w:val="none" w:sz="0" w:space="0" w:color="auto"/>
        <w:bottom w:val="none" w:sz="0" w:space="0" w:color="auto"/>
        <w:right w:val="none" w:sz="0" w:space="0" w:color="auto"/>
      </w:divBdr>
      <w:divsChild>
        <w:div w:id="712119074">
          <w:marLeft w:val="0"/>
          <w:marRight w:val="0"/>
          <w:marTop w:val="0"/>
          <w:marBottom w:val="0"/>
          <w:divBdr>
            <w:top w:val="none" w:sz="0" w:space="0" w:color="auto"/>
            <w:left w:val="none" w:sz="0" w:space="0" w:color="auto"/>
            <w:bottom w:val="none" w:sz="0" w:space="0" w:color="auto"/>
            <w:right w:val="none" w:sz="0" w:space="0" w:color="auto"/>
          </w:divBdr>
        </w:div>
        <w:div w:id="1916283100">
          <w:marLeft w:val="0"/>
          <w:marRight w:val="0"/>
          <w:marTop w:val="0"/>
          <w:marBottom w:val="0"/>
          <w:divBdr>
            <w:top w:val="none" w:sz="0" w:space="0" w:color="auto"/>
            <w:left w:val="none" w:sz="0" w:space="0" w:color="auto"/>
            <w:bottom w:val="none" w:sz="0" w:space="0" w:color="auto"/>
            <w:right w:val="none" w:sz="0" w:space="0" w:color="auto"/>
          </w:divBdr>
          <w:divsChild>
            <w:div w:id="133061835">
              <w:marLeft w:val="0"/>
              <w:marRight w:val="0"/>
              <w:marTop w:val="0"/>
              <w:marBottom w:val="0"/>
              <w:divBdr>
                <w:top w:val="none" w:sz="0" w:space="0" w:color="auto"/>
                <w:left w:val="none" w:sz="0" w:space="0" w:color="auto"/>
                <w:bottom w:val="none" w:sz="0" w:space="0" w:color="auto"/>
                <w:right w:val="none" w:sz="0" w:space="0" w:color="auto"/>
              </w:divBdr>
            </w:div>
            <w:div w:id="1792168311">
              <w:marLeft w:val="0"/>
              <w:marRight w:val="0"/>
              <w:marTop w:val="0"/>
              <w:marBottom w:val="0"/>
              <w:divBdr>
                <w:top w:val="none" w:sz="0" w:space="0" w:color="auto"/>
                <w:left w:val="none" w:sz="0" w:space="0" w:color="auto"/>
                <w:bottom w:val="none" w:sz="0" w:space="0" w:color="auto"/>
                <w:right w:val="none" w:sz="0" w:space="0" w:color="auto"/>
              </w:divBdr>
            </w:div>
            <w:div w:id="1333416786">
              <w:marLeft w:val="0"/>
              <w:marRight w:val="0"/>
              <w:marTop w:val="0"/>
              <w:marBottom w:val="0"/>
              <w:divBdr>
                <w:top w:val="none" w:sz="0" w:space="0" w:color="auto"/>
                <w:left w:val="none" w:sz="0" w:space="0" w:color="auto"/>
                <w:bottom w:val="none" w:sz="0" w:space="0" w:color="auto"/>
                <w:right w:val="none" w:sz="0" w:space="0" w:color="auto"/>
              </w:divBdr>
            </w:div>
            <w:div w:id="54494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30381">
      <w:bodyDiv w:val="1"/>
      <w:marLeft w:val="0"/>
      <w:marRight w:val="0"/>
      <w:marTop w:val="0"/>
      <w:marBottom w:val="0"/>
      <w:divBdr>
        <w:top w:val="none" w:sz="0" w:space="0" w:color="auto"/>
        <w:left w:val="none" w:sz="0" w:space="0" w:color="auto"/>
        <w:bottom w:val="none" w:sz="0" w:space="0" w:color="auto"/>
        <w:right w:val="none" w:sz="0" w:space="0" w:color="auto"/>
      </w:divBdr>
    </w:div>
    <w:div w:id="91247504">
      <w:bodyDiv w:val="1"/>
      <w:marLeft w:val="0"/>
      <w:marRight w:val="0"/>
      <w:marTop w:val="0"/>
      <w:marBottom w:val="0"/>
      <w:divBdr>
        <w:top w:val="none" w:sz="0" w:space="0" w:color="auto"/>
        <w:left w:val="none" w:sz="0" w:space="0" w:color="auto"/>
        <w:bottom w:val="none" w:sz="0" w:space="0" w:color="auto"/>
        <w:right w:val="none" w:sz="0" w:space="0" w:color="auto"/>
      </w:divBdr>
      <w:divsChild>
        <w:div w:id="2081902871">
          <w:marLeft w:val="446"/>
          <w:marRight w:val="0"/>
          <w:marTop w:val="0"/>
          <w:marBottom w:val="0"/>
          <w:divBdr>
            <w:top w:val="none" w:sz="0" w:space="0" w:color="auto"/>
            <w:left w:val="none" w:sz="0" w:space="0" w:color="auto"/>
            <w:bottom w:val="none" w:sz="0" w:space="0" w:color="auto"/>
            <w:right w:val="none" w:sz="0" w:space="0" w:color="auto"/>
          </w:divBdr>
        </w:div>
      </w:divsChild>
    </w:div>
    <w:div w:id="212083458">
      <w:bodyDiv w:val="1"/>
      <w:marLeft w:val="0"/>
      <w:marRight w:val="0"/>
      <w:marTop w:val="0"/>
      <w:marBottom w:val="0"/>
      <w:divBdr>
        <w:top w:val="none" w:sz="0" w:space="0" w:color="auto"/>
        <w:left w:val="none" w:sz="0" w:space="0" w:color="auto"/>
        <w:bottom w:val="none" w:sz="0" w:space="0" w:color="auto"/>
        <w:right w:val="none" w:sz="0" w:space="0" w:color="auto"/>
      </w:divBdr>
      <w:divsChild>
        <w:div w:id="1238393623">
          <w:marLeft w:val="446"/>
          <w:marRight w:val="0"/>
          <w:marTop w:val="0"/>
          <w:marBottom w:val="0"/>
          <w:divBdr>
            <w:top w:val="none" w:sz="0" w:space="0" w:color="auto"/>
            <w:left w:val="none" w:sz="0" w:space="0" w:color="auto"/>
            <w:bottom w:val="none" w:sz="0" w:space="0" w:color="auto"/>
            <w:right w:val="none" w:sz="0" w:space="0" w:color="auto"/>
          </w:divBdr>
        </w:div>
      </w:divsChild>
    </w:div>
    <w:div w:id="221061134">
      <w:bodyDiv w:val="1"/>
      <w:marLeft w:val="0"/>
      <w:marRight w:val="0"/>
      <w:marTop w:val="0"/>
      <w:marBottom w:val="0"/>
      <w:divBdr>
        <w:top w:val="none" w:sz="0" w:space="0" w:color="auto"/>
        <w:left w:val="none" w:sz="0" w:space="0" w:color="auto"/>
        <w:bottom w:val="none" w:sz="0" w:space="0" w:color="auto"/>
        <w:right w:val="none" w:sz="0" w:space="0" w:color="auto"/>
      </w:divBdr>
    </w:div>
    <w:div w:id="235556488">
      <w:bodyDiv w:val="1"/>
      <w:marLeft w:val="0"/>
      <w:marRight w:val="0"/>
      <w:marTop w:val="0"/>
      <w:marBottom w:val="0"/>
      <w:divBdr>
        <w:top w:val="none" w:sz="0" w:space="0" w:color="auto"/>
        <w:left w:val="none" w:sz="0" w:space="0" w:color="auto"/>
        <w:bottom w:val="none" w:sz="0" w:space="0" w:color="auto"/>
        <w:right w:val="none" w:sz="0" w:space="0" w:color="auto"/>
      </w:divBdr>
    </w:div>
    <w:div w:id="262886091">
      <w:bodyDiv w:val="1"/>
      <w:marLeft w:val="0"/>
      <w:marRight w:val="0"/>
      <w:marTop w:val="0"/>
      <w:marBottom w:val="0"/>
      <w:divBdr>
        <w:top w:val="none" w:sz="0" w:space="0" w:color="auto"/>
        <w:left w:val="none" w:sz="0" w:space="0" w:color="auto"/>
        <w:bottom w:val="none" w:sz="0" w:space="0" w:color="auto"/>
        <w:right w:val="none" w:sz="0" w:space="0" w:color="auto"/>
      </w:divBdr>
      <w:divsChild>
        <w:div w:id="1415514460">
          <w:marLeft w:val="0"/>
          <w:marRight w:val="0"/>
          <w:marTop w:val="0"/>
          <w:marBottom w:val="0"/>
          <w:divBdr>
            <w:top w:val="none" w:sz="0" w:space="0" w:color="auto"/>
            <w:left w:val="none" w:sz="0" w:space="0" w:color="auto"/>
            <w:bottom w:val="none" w:sz="0" w:space="0" w:color="auto"/>
            <w:right w:val="none" w:sz="0" w:space="0" w:color="auto"/>
          </w:divBdr>
        </w:div>
      </w:divsChild>
    </w:div>
    <w:div w:id="271130996">
      <w:bodyDiv w:val="1"/>
      <w:marLeft w:val="0"/>
      <w:marRight w:val="0"/>
      <w:marTop w:val="0"/>
      <w:marBottom w:val="0"/>
      <w:divBdr>
        <w:top w:val="none" w:sz="0" w:space="0" w:color="auto"/>
        <w:left w:val="none" w:sz="0" w:space="0" w:color="auto"/>
        <w:bottom w:val="none" w:sz="0" w:space="0" w:color="auto"/>
        <w:right w:val="none" w:sz="0" w:space="0" w:color="auto"/>
      </w:divBdr>
      <w:divsChild>
        <w:div w:id="1573394383">
          <w:marLeft w:val="0"/>
          <w:marRight w:val="0"/>
          <w:marTop w:val="0"/>
          <w:marBottom w:val="0"/>
          <w:divBdr>
            <w:top w:val="none" w:sz="0" w:space="0" w:color="auto"/>
            <w:left w:val="none" w:sz="0" w:space="0" w:color="auto"/>
            <w:bottom w:val="none" w:sz="0" w:space="0" w:color="auto"/>
            <w:right w:val="none" w:sz="0" w:space="0" w:color="auto"/>
          </w:divBdr>
        </w:div>
        <w:div w:id="1867716201">
          <w:marLeft w:val="0"/>
          <w:marRight w:val="0"/>
          <w:marTop w:val="0"/>
          <w:marBottom w:val="0"/>
          <w:divBdr>
            <w:top w:val="none" w:sz="0" w:space="0" w:color="auto"/>
            <w:left w:val="none" w:sz="0" w:space="0" w:color="auto"/>
            <w:bottom w:val="none" w:sz="0" w:space="0" w:color="auto"/>
            <w:right w:val="none" w:sz="0" w:space="0" w:color="auto"/>
          </w:divBdr>
        </w:div>
        <w:div w:id="977416641">
          <w:marLeft w:val="0"/>
          <w:marRight w:val="0"/>
          <w:marTop w:val="0"/>
          <w:marBottom w:val="0"/>
          <w:divBdr>
            <w:top w:val="none" w:sz="0" w:space="0" w:color="auto"/>
            <w:left w:val="none" w:sz="0" w:space="0" w:color="auto"/>
            <w:bottom w:val="none" w:sz="0" w:space="0" w:color="auto"/>
            <w:right w:val="none" w:sz="0" w:space="0" w:color="auto"/>
          </w:divBdr>
        </w:div>
        <w:div w:id="1479032433">
          <w:marLeft w:val="0"/>
          <w:marRight w:val="0"/>
          <w:marTop w:val="0"/>
          <w:marBottom w:val="0"/>
          <w:divBdr>
            <w:top w:val="none" w:sz="0" w:space="0" w:color="auto"/>
            <w:left w:val="none" w:sz="0" w:space="0" w:color="auto"/>
            <w:bottom w:val="none" w:sz="0" w:space="0" w:color="auto"/>
            <w:right w:val="none" w:sz="0" w:space="0" w:color="auto"/>
          </w:divBdr>
        </w:div>
        <w:div w:id="191263045">
          <w:marLeft w:val="0"/>
          <w:marRight w:val="0"/>
          <w:marTop w:val="0"/>
          <w:marBottom w:val="0"/>
          <w:divBdr>
            <w:top w:val="none" w:sz="0" w:space="0" w:color="auto"/>
            <w:left w:val="none" w:sz="0" w:space="0" w:color="auto"/>
            <w:bottom w:val="none" w:sz="0" w:space="0" w:color="auto"/>
            <w:right w:val="none" w:sz="0" w:space="0" w:color="auto"/>
          </w:divBdr>
        </w:div>
        <w:div w:id="32776620">
          <w:marLeft w:val="0"/>
          <w:marRight w:val="0"/>
          <w:marTop w:val="0"/>
          <w:marBottom w:val="0"/>
          <w:divBdr>
            <w:top w:val="none" w:sz="0" w:space="0" w:color="auto"/>
            <w:left w:val="none" w:sz="0" w:space="0" w:color="auto"/>
            <w:bottom w:val="none" w:sz="0" w:space="0" w:color="auto"/>
            <w:right w:val="none" w:sz="0" w:space="0" w:color="auto"/>
          </w:divBdr>
        </w:div>
        <w:div w:id="1693258545">
          <w:marLeft w:val="0"/>
          <w:marRight w:val="0"/>
          <w:marTop w:val="0"/>
          <w:marBottom w:val="0"/>
          <w:divBdr>
            <w:top w:val="none" w:sz="0" w:space="0" w:color="auto"/>
            <w:left w:val="none" w:sz="0" w:space="0" w:color="auto"/>
            <w:bottom w:val="none" w:sz="0" w:space="0" w:color="auto"/>
            <w:right w:val="none" w:sz="0" w:space="0" w:color="auto"/>
          </w:divBdr>
        </w:div>
        <w:div w:id="1126313397">
          <w:marLeft w:val="0"/>
          <w:marRight w:val="0"/>
          <w:marTop w:val="0"/>
          <w:marBottom w:val="0"/>
          <w:divBdr>
            <w:top w:val="none" w:sz="0" w:space="0" w:color="auto"/>
            <w:left w:val="none" w:sz="0" w:space="0" w:color="auto"/>
            <w:bottom w:val="none" w:sz="0" w:space="0" w:color="auto"/>
            <w:right w:val="none" w:sz="0" w:space="0" w:color="auto"/>
          </w:divBdr>
        </w:div>
        <w:div w:id="437264226">
          <w:marLeft w:val="0"/>
          <w:marRight w:val="0"/>
          <w:marTop w:val="0"/>
          <w:marBottom w:val="0"/>
          <w:divBdr>
            <w:top w:val="none" w:sz="0" w:space="0" w:color="auto"/>
            <w:left w:val="none" w:sz="0" w:space="0" w:color="auto"/>
            <w:bottom w:val="none" w:sz="0" w:space="0" w:color="auto"/>
            <w:right w:val="none" w:sz="0" w:space="0" w:color="auto"/>
          </w:divBdr>
        </w:div>
      </w:divsChild>
    </w:div>
    <w:div w:id="274486292">
      <w:bodyDiv w:val="1"/>
      <w:marLeft w:val="0"/>
      <w:marRight w:val="0"/>
      <w:marTop w:val="0"/>
      <w:marBottom w:val="0"/>
      <w:divBdr>
        <w:top w:val="none" w:sz="0" w:space="0" w:color="auto"/>
        <w:left w:val="none" w:sz="0" w:space="0" w:color="auto"/>
        <w:bottom w:val="none" w:sz="0" w:space="0" w:color="auto"/>
        <w:right w:val="none" w:sz="0" w:space="0" w:color="auto"/>
      </w:divBdr>
      <w:divsChild>
        <w:div w:id="775439935">
          <w:marLeft w:val="0"/>
          <w:marRight w:val="0"/>
          <w:marTop w:val="0"/>
          <w:marBottom w:val="0"/>
          <w:divBdr>
            <w:top w:val="none" w:sz="0" w:space="0" w:color="auto"/>
            <w:left w:val="none" w:sz="0" w:space="0" w:color="auto"/>
            <w:bottom w:val="none" w:sz="0" w:space="0" w:color="auto"/>
            <w:right w:val="none" w:sz="0" w:space="0" w:color="auto"/>
          </w:divBdr>
        </w:div>
        <w:div w:id="614680587">
          <w:marLeft w:val="0"/>
          <w:marRight w:val="0"/>
          <w:marTop w:val="0"/>
          <w:marBottom w:val="0"/>
          <w:divBdr>
            <w:top w:val="none" w:sz="0" w:space="0" w:color="auto"/>
            <w:left w:val="none" w:sz="0" w:space="0" w:color="auto"/>
            <w:bottom w:val="none" w:sz="0" w:space="0" w:color="auto"/>
            <w:right w:val="none" w:sz="0" w:space="0" w:color="auto"/>
          </w:divBdr>
        </w:div>
        <w:div w:id="1584989174">
          <w:marLeft w:val="0"/>
          <w:marRight w:val="0"/>
          <w:marTop w:val="0"/>
          <w:marBottom w:val="0"/>
          <w:divBdr>
            <w:top w:val="none" w:sz="0" w:space="0" w:color="auto"/>
            <w:left w:val="none" w:sz="0" w:space="0" w:color="auto"/>
            <w:bottom w:val="none" w:sz="0" w:space="0" w:color="auto"/>
            <w:right w:val="none" w:sz="0" w:space="0" w:color="auto"/>
          </w:divBdr>
        </w:div>
      </w:divsChild>
    </w:div>
    <w:div w:id="351953545">
      <w:bodyDiv w:val="1"/>
      <w:marLeft w:val="0"/>
      <w:marRight w:val="0"/>
      <w:marTop w:val="0"/>
      <w:marBottom w:val="0"/>
      <w:divBdr>
        <w:top w:val="none" w:sz="0" w:space="0" w:color="auto"/>
        <w:left w:val="none" w:sz="0" w:space="0" w:color="auto"/>
        <w:bottom w:val="none" w:sz="0" w:space="0" w:color="auto"/>
        <w:right w:val="none" w:sz="0" w:space="0" w:color="auto"/>
      </w:divBdr>
    </w:div>
    <w:div w:id="502748521">
      <w:bodyDiv w:val="1"/>
      <w:marLeft w:val="0"/>
      <w:marRight w:val="0"/>
      <w:marTop w:val="0"/>
      <w:marBottom w:val="0"/>
      <w:divBdr>
        <w:top w:val="none" w:sz="0" w:space="0" w:color="auto"/>
        <w:left w:val="none" w:sz="0" w:space="0" w:color="auto"/>
        <w:bottom w:val="none" w:sz="0" w:space="0" w:color="auto"/>
        <w:right w:val="none" w:sz="0" w:space="0" w:color="auto"/>
      </w:divBdr>
    </w:div>
    <w:div w:id="598220633">
      <w:bodyDiv w:val="1"/>
      <w:marLeft w:val="0"/>
      <w:marRight w:val="0"/>
      <w:marTop w:val="0"/>
      <w:marBottom w:val="0"/>
      <w:divBdr>
        <w:top w:val="none" w:sz="0" w:space="0" w:color="auto"/>
        <w:left w:val="none" w:sz="0" w:space="0" w:color="auto"/>
        <w:bottom w:val="none" w:sz="0" w:space="0" w:color="auto"/>
        <w:right w:val="none" w:sz="0" w:space="0" w:color="auto"/>
      </w:divBdr>
    </w:div>
    <w:div w:id="630211064">
      <w:bodyDiv w:val="1"/>
      <w:marLeft w:val="0"/>
      <w:marRight w:val="0"/>
      <w:marTop w:val="0"/>
      <w:marBottom w:val="0"/>
      <w:divBdr>
        <w:top w:val="none" w:sz="0" w:space="0" w:color="auto"/>
        <w:left w:val="none" w:sz="0" w:space="0" w:color="auto"/>
        <w:bottom w:val="none" w:sz="0" w:space="0" w:color="auto"/>
        <w:right w:val="none" w:sz="0" w:space="0" w:color="auto"/>
      </w:divBdr>
    </w:div>
    <w:div w:id="661202103">
      <w:bodyDiv w:val="1"/>
      <w:marLeft w:val="0"/>
      <w:marRight w:val="0"/>
      <w:marTop w:val="0"/>
      <w:marBottom w:val="0"/>
      <w:divBdr>
        <w:top w:val="none" w:sz="0" w:space="0" w:color="auto"/>
        <w:left w:val="none" w:sz="0" w:space="0" w:color="auto"/>
        <w:bottom w:val="none" w:sz="0" w:space="0" w:color="auto"/>
        <w:right w:val="none" w:sz="0" w:space="0" w:color="auto"/>
      </w:divBdr>
      <w:divsChild>
        <w:div w:id="1267612576">
          <w:marLeft w:val="0"/>
          <w:marRight w:val="0"/>
          <w:marTop w:val="0"/>
          <w:marBottom w:val="0"/>
          <w:divBdr>
            <w:top w:val="none" w:sz="0" w:space="0" w:color="auto"/>
            <w:left w:val="none" w:sz="0" w:space="0" w:color="auto"/>
            <w:bottom w:val="none" w:sz="0" w:space="0" w:color="auto"/>
            <w:right w:val="none" w:sz="0" w:space="0" w:color="auto"/>
          </w:divBdr>
        </w:div>
        <w:div w:id="139689206">
          <w:marLeft w:val="0"/>
          <w:marRight w:val="0"/>
          <w:marTop w:val="0"/>
          <w:marBottom w:val="0"/>
          <w:divBdr>
            <w:top w:val="none" w:sz="0" w:space="0" w:color="auto"/>
            <w:left w:val="none" w:sz="0" w:space="0" w:color="auto"/>
            <w:bottom w:val="none" w:sz="0" w:space="0" w:color="auto"/>
            <w:right w:val="none" w:sz="0" w:space="0" w:color="auto"/>
          </w:divBdr>
        </w:div>
        <w:div w:id="181477081">
          <w:marLeft w:val="0"/>
          <w:marRight w:val="0"/>
          <w:marTop w:val="0"/>
          <w:marBottom w:val="0"/>
          <w:divBdr>
            <w:top w:val="none" w:sz="0" w:space="0" w:color="auto"/>
            <w:left w:val="none" w:sz="0" w:space="0" w:color="auto"/>
            <w:bottom w:val="none" w:sz="0" w:space="0" w:color="auto"/>
            <w:right w:val="none" w:sz="0" w:space="0" w:color="auto"/>
          </w:divBdr>
        </w:div>
        <w:div w:id="1904289178">
          <w:marLeft w:val="0"/>
          <w:marRight w:val="0"/>
          <w:marTop w:val="0"/>
          <w:marBottom w:val="0"/>
          <w:divBdr>
            <w:top w:val="none" w:sz="0" w:space="0" w:color="auto"/>
            <w:left w:val="none" w:sz="0" w:space="0" w:color="auto"/>
            <w:bottom w:val="none" w:sz="0" w:space="0" w:color="auto"/>
            <w:right w:val="none" w:sz="0" w:space="0" w:color="auto"/>
          </w:divBdr>
        </w:div>
        <w:div w:id="649359269">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06112646">
      <w:bodyDiv w:val="1"/>
      <w:marLeft w:val="0"/>
      <w:marRight w:val="0"/>
      <w:marTop w:val="0"/>
      <w:marBottom w:val="0"/>
      <w:divBdr>
        <w:top w:val="none" w:sz="0" w:space="0" w:color="auto"/>
        <w:left w:val="none" w:sz="0" w:space="0" w:color="auto"/>
        <w:bottom w:val="none" w:sz="0" w:space="0" w:color="auto"/>
        <w:right w:val="none" w:sz="0" w:space="0" w:color="auto"/>
      </w:divBdr>
    </w:div>
    <w:div w:id="1014764693">
      <w:bodyDiv w:val="1"/>
      <w:marLeft w:val="0"/>
      <w:marRight w:val="0"/>
      <w:marTop w:val="0"/>
      <w:marBottom w:val="0"/>
      <w:divBdr>
        <w:top w:val="none" w:sz="0" w:space="0" w:color="auto"/>
        <w:left w:val="none" w:sz="0" w:space="0" w:color="auto"/>
        <w:bottom w:val="none" w:sz="0" w:space="0" w:color="auto"/>
        <w:right w:val="none" w:sz="0" w:space="0" w:color="auto"/>
      </w:divBdr>
    </w:div>
    <w:div w:id="1361392069">
      <w:bodyDiv w:val="1"/>
      <w:marLeft w:val="0"/>
      <w:marRight w:val="0"/>
      <w:marTop w:val="0"/>
      <w:marBottom w:val="0"/>
      <w:divBdr>
        <w:top w:val="none" w:sz="0" w:space="0" w:color="auto"/>
        <w:left w:val="none" w:sz="0" w:space="0" w:color="auto"/>
        <w:bottom w:val="none" w:sz="0" w:space="0" w:color="auto"/>
        <w:right w:val="none" w:sz="0" w:space="0" w:color="auto"/>
      </w:divBdr>
      <w:divsChild>
        <w:div w:id="1186864956">
          <w:marLeft w:val="446"/>
          <w:marRight w:val="0"/>
          <w:marTop w:val="0"/>
          <w:marBottom w:val="0"/>
          <w:divBdr>
            <w:top w:val="none" w:sz="0" w:space="0" w:color="auto"/>
            <w:left w:val="none" w:sz="0" w:space="0" w:color="auto"/>
            <w:bottom w:val="none" w:sz="0" w:space="0" w:color="auto"/>
            <w:right w:val="none" w:sz="0" w:space="0" w:color="auto"/>
          </w:divBdr>
        </w:div>
      </w:divsChild>
    </w:div>
    <w:div w:id="1414736235">
      <w:bodyDiv w:val="1"/>
      <w:marLeft w:val="0"/>
      <w:marRight w:val="0"/>
      <w:marTop w:val="0"/>
      <w:marBottom w:val="0"/>
      <w:divBdr>
        <w:top w:val="none" w:sz="0" w:space="0" w:color="auto"/>
        <w:left w:val="none" w:sz="0" w:space="0" w:color="auto"/>
        <w:bottom w:val="none" w:sz="0" w:space="0" w:color="auto"/>
        <w:right w:val="none" w:sz="0" w:space="0" w:color="auto"/>
      </w:divBdr>
    </w:div>
    <w:div w:id="1466854293">
      <w:bodyDiv w:val="1"/>
      <w:marLeft w:val="0"/>
      <w:marRight w:val="0"/>
      <w:marTop w:val="0"/>
      <w:marBottom w:val="0"/>
      <w:divBdr>
        <w:top w:val="none" w:sz="0" w:space="0" w:color="auto"/>
        <w:left w:val="none" w:sz="0" w:space="0" w:color="auto"/>
        <w:bottom w:val="none" w:sz="0" w:space="0" w:color="auto"/>
        <w:right w:val="none" w:sz="0" w:space="0" w:color="auto"/>
      </w:divBdr>
    </w:div>
    <w:div w:id="1474366370">
      <w:bodyDiv w:val="1"/>
      <w:marLeft w:val="0"/>
      <w:marRight w:val="0"/>
      <w:marTop w:val="0"/>
      <w:marBottom w:val="0"/>
      <w:divBdr>
        <w:top w:val="none" w:sz="0" w:space="0" w:color="auto"/>
        <w:left w:val="none" w:sz="0" w:space="0" w:color="auto"/>
        <w:bottom w:val="none" w:sz="0" w:space="0" w:color="auto"/>
        <w:right w:val="none" w:sz="0" w:space="0" w:color="auto"/>
      </w:divBdr>
    </w:div>
    <w:div w:id="1504278628">
      <w:bodyDiv w:val="1"/>
      <w:marLeft w:val="0"/>
      <w:marRight w:val="0"/>
      <w:marTop w:val="0"/>
      <w:marBottom w:val="0"/>
      <w:divBdr>
        <w:top w:val="none" w:sz="0" w:space="0" w:color="auto"/>
        <w:left w:val="none" w:sz="0" w:space="0" w:color="auto"/>
        <w:bottom w:val="none" w:sz="0" w:space="0" w:color="auto"/>
        <w:right w:val="none" w:sz="0" w:space="0" w:color="auto"/>
      </w:divBdr>
    </w:div>
    <w:div w:id="1520849118">
      <w:bodyDiv w:val="1"/>
      <w:marLeft w:val="0"/>
      <w:marRight w:val="0"/>
      <w:marTop w:val="0"/>
      <w:marBottom w:val="0"/>
      <w:divBdr>
        <w:top w:val="none" w:sz="0" w:space="0" w:color="auto"/>
        <w:left w:val="none" w:sz="0" w:space="0" w:color="auto"/>
        <w:bottom w:val="none" w:sz="0" w:space="0" w:color="auto"/>
        <w:right w:val="none" w:sz="0" w:space="0" w:color="auto"/>
      </w:divBdr>
      <w:divsChild>
        <w:div w:id="802508287">
          <w:marLeft w:val="0"/>
          <w:marRight w:val="0"/>
          <w:marTop w:val="0"/>
          <w:marBottom w:val="0"/>
          <w:divBdr>
            <w:top w:val="none" w:sz="0" w:space="0" w:color="auto"/>
            <w:left w:val="none" w:sz="0" w:space="0" w:color="auto"/>
            <w:bottom w:val="none" w:sz="0" w:space="0" w:color="auto"/>
            <w:right w:val="none" w:sz="0" w:space="0" w:color="auto"/>
          </w:divBdr>
        </w:div>
      </w:divsChild>
    </w:div>
    <w:div w:id="1563787025">
      <w:bodyDiv w:val="1"/>
      <w:marLeft w:val="0"/>
      <w:marRight w:val="0"/>
      <w:marTop w:val="0"/>
      <w:marBottom w:val="0"/>
      <w:divBdr>
        <w:top w:val="none" w:sz="0" w:space="0" w:color="auto"/>
        <w:left w:val="none" w:sz="0" w:space="0" w:color="auto"/>
        <w:bottom w:val="none" w:sz="0" w:space="0" w:color="auto"/>
        <w:right w:val="none" w:sz="0" w:space="0" w:color="auto"/>
      </w:divBdr>
      <w:divsChild>
        <w:div w:id="1994026120">
          <w:marLeft w:val="0"/>
          <w:marRight w:val="0"/>
          <w:marTop w:val="0"/>
          <w:marBottom w:val="0"/>
          <w:divBdr>
            <w:top w:val="none" w:sz="0" w:space="0" w:color="auto"/>
            <w:left w:val="none" w:sz="0" w:space="0" w:color="auto"/>
            <w:bottom w:val="none" w:sz="0" w:space="0" w:color="auto"/>
            <w:right w:val="none" w:sz="0" w:space="0" w:color="auto"/>
          </w:divBdr>
        </w:div>
        <w:div w:id="1160459668">
          <w:marLeft w:val="0"/>
          <w:marRight w:val="0"/>
          <w:marTop w:val="0"/>
          <w:marBottom w:val="0"/>
          <w:divBdr>
            <w:top w:val="none" w:sz="0" w:space="0" w:color="auto"/>
            <w:left w:val="none" w:sz="0" w:space="0" w:color="auto"/>
            <w:bottom w:val="none" w:sz="0" w:space="0" w:color="auto"/>
            <w:right w:val="none" w:sz="0" w:space="0" w:color="auto"/>
          </w:divBdr>
        </w:div>
        <w:div w:id="260456465">
          <w:marLeft w:val="0"/>
          <w:marRight w:val="0"/>
          <w:marTop w:val="0"/>
          <w:marBottom w:val="0"/>
          <w:divBdr>
            <w:top w:val="none" w:sz="0" w:space="0" w:color="auto"/>
            <w:left w:val="none" w:sz="0" w:space="0" w:color="auto"/>
            <w:bottom w:val="none" w:sz="0" w:space="0" w:color="auto"/>
            <w:right w:val="none" w:sz="0" w:space="0" w:color="auto"/>
          </w:divBdr>
        </w:div>
      </w:divsChild>
    </w:div>
    <w:div w:id="1585215089">
      <w:bodyDiv w:val="1"/>
      <w:marLeft w:val="0"/>
      <w:marRight w:val="0"/>
      <w:marTop w:val="0"/>
      <w:marBottom w:val="0"/>
      <w:divBdr>
        <w:top w:val="none" w:sz="0" w:space="0" w:color="auto"/>
        <w:left w:val="none" w:sz="0" w:space="0" w:color="auto"/>
        <w:bottom w:val="none" w:sz="0" w:space="0" w:color="auto"/>
        <w:right w:val="none" w:sz="0" w:space="0" w:color="auto"/>
      </w:divBdr>
    </w:div>
    <w:div w:id="1602880403">
      <w:bodyDiv w:val="1"/>
      <w:marLeft w:val="0"/>
      <w:marRight w:val="0"/>
      <w:marTop w:val="0"/>
      <w:marBottom w:val="0"/>
      <w:divBdr>
        <w:top w:val="none" w:sz="0" w:space="0" w:color="auto"/>
        <w:left w:val="none" w:sz="0" w:space="0" w:color="auto"/>
        <w:bottom w:val="none" w:sz="0" w:space="0" w:color="auto"/>
        <w:right w:val="none" w:sz="0" w:space="0" w:color="auto"/>
      </w:divBdr>
    </w:div>
    <w:div w:id="1609123385">
      <w:bodyDiv w:val="1"/>
      <w:marLeft w:val="0"/>
      <w:marRight w:val="0"/>
      <w:marTop w:val="0"/>
      <w:marBottom w:val="0"/>
      <w:divBdr>
        <w:top w:val="none" w:sz="0" w:space="0" w:color="auto"/>
        <w:left w:val="none" w:sz="0" w:space="0" w:color="auto"/>
        <w:bottom w:val="none" w:sz="0" w:space="0" w:color="auto"/>
        <w:right w:val="none" w:sz="0" w:space="0" w:color="auto"/>
      </w:divBdr>
    </w:div>
    <w:div w:id="1611234276">
      <w:bodyDiv w:val="1"/>
      <w:marLeft w:val="0"/>
      <w:marRight w:val="0"/>
      <w:marTop w:val="0"/>
      <w:marBottom w:val="0"/>
      <w:divBdr>
        <w:top w:val="none" w:sz="0" w:space="0" w:color="auto"/>
        <w:left w:val="none" w:sz="0" w:space="0" w:color="auto"/>
        <w:bottom w:val="none" w:sz="0" w:space="0" w:color="auto"/>
        <w:right w:val="none" w:sz="0" w:space="0" w:color="auto"/>
      </w:divBdr>
      <w:divsChild>
        <w:div w:id="813258447">
          <w:marLeft w:val="446"/>
          <w:marRight w:val="0"/>
          <w:marTop w:val="0"/>
          <w:marBottom w:val="0"/>
          <w:divBdr>
            <w:top w:val="none" w:sz="0" w:space="0" w:color="auto"/>
            <w:left w:val="none" w:sz="0" w:space="0" w:color="auto"/>
            <w:bottom w:val="none" w:sz="0" w:space="0" w:color="auto"/>
            <w:right w:val="none" w:sz="0" w:space="0" w:color="auto"/>
          </w:divBdr>
        </w:div>
      </w:divsChild>
    </w:div>
    <w:div w:id="1790782374">
      <w:bodyDiv w:val="1"/>
      <w:marLeft w:val="0"/>
      <w:marRight w:val="0"/>
      <w:marTop w:val="0"/>
      <w:marBottom w:val="0"/>
      <w:divBdr>
        <w:top w:val="none" w:sz="0" w:space="0" w:color="auto"/>
        <w:left w:val="none" w:sz="0" w:space="0" w:color="auto"/>
        <w:bottom w:val="none" w:sz="0" w:space="0" w:color="auto"/>
        <w:right w:val="none" w:sz="0" w:space="0" w:color="auto"/>
      </w:divBdr>
    </w:div>
    <w:div w:id="179421005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2960750">
      <w:bodyDiv w:val="1"/>
      <w:marLeft w:val="0"/>
      <w:marRight w:val="0"/>
      <w:marTop w:val="0"/>
      <w:marBottom w:val="0"/>
      <w:divBdr>
        <w:top w:val="none" w:sz="0" w:space="0" w:color="auto"/>
        <w:left w:val="none" w:sz="0" w:space="0" w:color="auto"/>
        <w:bottom w:val="none" w:sz="0" w:space="0" w:color="auto"/>
        <w:right w:val="none" w:sz="0" w:space="0" w:color="auto"/>
      </w:divBdr>
      <w:divsChild>
        <w:div w:id="1227373952">
          <w:marLeft w:val="0"/>
          <w:marRight w:val="0"/>
          <w:marTop w:val="0"/>
          <w:marBottom w:val="0"/>
          <w:divBdr>
            <w:top w:val="none" w:sz="0" w:space="0" w:color="auto"/>
            <w:left w:val="none" w:sz="0" w:space="0" w:color="auto"/>
            <w:bottom w:val="none" w:sz="0" w:space="0" w:color="auto"/>
            <w:right w:val="none" w:sz="0" w:space="0" w:color="auto"/>
          </w:divBdr>
          <w:divsChild>
            <w:div w:id="1124033246">
              <w:marLeft w:val="0"/>
              <w:marRight w:val="0"/>
              <w:marTop w:val="0"/>
              <w:marBottom w:val="0"/>
              <w:divBdr>
                <w:top w:val="none" w:sz="0" w:space="0" w:color="auto"/>
                <w:left w:val="none" w:sz="0" w:space="0" w:color="auto"/>
                <w:bottom w:val="none" w:sz="0" w:space="0" w:color="auto"/>
                <w:right w:val="none" w:sz="0" w:space="0" w:color="auto"/>
              </w:divBdr>
            </w:div>
            <w:div w:id="243730600">
              <w:marLeft w:val="0"/>
              <w:marRight w:val="0"/>
              <w:marTop w:val="0"/>
              <w:marBottom w:val="0"/>
              <w:divBdr>
                <w:top w:val="none" w:sz="0" w:space="0" w:color="auto"/>
                <w:left w:val="none" w:sz="0" w:space="0" w:color="auto"/>
                <w:bottom w:val="none" w:sz="0" w:space="0" w:color="auto"/>
                <w:right w:val="none" w:sz="0" w:space="0" w:color="auto"/>
              </w:divBdr>
            </w:div>
            <w:div w:id="530458689">
              <w:marLeft w:val="0"/>
              <w:marRight w:val="0"/>
              <w:marTop w:val="0"/>
              <w:marBottom w:val="0"/>
              <w:divBdr>
                <w:top w:val="none" w:sz="0" w:space="0" w:color="auto"/>
                <w:left w:val="none" w:sz="0" w:space="0" w:color="auto"/>
                <w:bottom w:val="none" w:sz="0" w:space="0" w:color="auto"/>
                <w:right w:val="none" w:sz="0" w:space="0" w:color="auto"/>
              </w:divBdr>
            </w:div>
          </w:divsChild>
        </w:div>
        <w:div w:id="1929271068">
          <w:marLeft w:val="0"/>
          <w:marRight w:val="0"/>
          <w:marTop w:val="0"/>
          <w:marBottom w:val="0"/>
          <w:divBdr>
            <w:top w:val="none" w:sz="0" w:space="0" w:color="auto"/>
            <w:left w:val="none" w:sz="0" w:space="0" w:color="auto"/>
            <w:bottom w:val="none" w:sz="0" w:space="0" w:color="auto"/>
            <w:right w:val="none" w:sz="0" w:space="0" w:color="auto"/>
          </w:divBdr>
        </w:div>
      </w:divsChild>
    </w:div>
    <w:div w:id="1870416335">
      <w:bodyDiv w:val="1"/>
      <w:marLeft w:val="0"/>
      <w:marRight w:val="0"/>
      <w:marTop w:val="0"/>
      <w:marBottom w:val="0"/>
      <w:divBdr>
        <w:top w:val="none" w:sz="0" w:space="0" w:color="auto"/>
        <w:left w:val="none" w:sz="0" w:space="0" w:color="auto"/>
        <w:bottom w:val="none" w:sz="0" w:space="0" w:color="auto"/>
        <w:right w:val="none" w:sz="0" w:space="0" w:color="auto"/>
      </w:divBdr>
      <w:divsChild>
        <w:div w:id="269554679">
          <w:marLeft w:val="446"/>
          <w:marRight w:val="0"/>
          <w:marTop w:val="0"/>
          <w:marBottom w:val="0"/>
          <w:divBdr>
            <w:top w:val="none" w:sz="0" w:space="0" w:color="auto"/>
            <w:left w:val="none" w:sz="0" w:space="0" w:color="auto"/>
            <w:bottom w:val="none" w:sz="0" w:space="0" w:color="auto"/>
            <w:right w:val="none" w:sz="0" w:space="0" w:color="auto"/>
          </w:divBdr>
        </w:div>
      </w:divsChild>
    </w:div>
    <w:div w:id="1998604283">
      <w:bodyDiv w:val="1"/>
      <w:marLeft w:val="0"/>
      <w:marRight w:val="0"/>
      <w:marTop w:val="0"/>
      <w:marBottom w:val="0"/>
      <w:divBdr>
        <w:top w:val="none" w:sz="0" w:space="0" w:color="auto"/>
        <w:left w:val="none" w:sz="0" w:space="0" w:color="auto"/>
        <w:bottom w:val="none" w:sz="0" w:space="0" w:color="auto"/>
        <w:right w:val="none" w:sz="0" w:space="0" w:color="auto"/>
      </w:divBdr>
    </w:div>
    <w:div w:id="2066219496">
      <w:bodyDiv w:val="1"/>
      <w:marLeft w:val="0"/>
      <w:marRight w:val="0"/>
      <w:marTop w:val="0"/>
      <w:marBottom w:val="0"/>
      <w:divBdr>
        <w:top w:val="none" w:sz="0" w:space="0" w:color="auto"/>
        <w:left w:val="none" w:sz="0" w:space="0" w:color="auto"/>
        <w:bottom w:val="none" w:sz="0" w:space="0" w:color="auto"/>
        <w:right w:val="none" w:sz="0" w:space="0" w:color="auto"/>
      </w:divBdr>
      <w:divsChild>
        <w:div w:id="1423526875">
          <w:marLeft w:val="0"/>
          <w:marRight w:val="0"/>
          <w:marTop w:val="0"/>
          <w:marBottom w:val="0"/>
          <w:divBdr>
            <w:top w:val="none" w:sz="0" w:space="0" w:color="auto"/>
            <w:left w:val="none" w:sz="0" w:space="0" w:color="auto"/>
            <w:bottom w:val="none" w:sz="0" w:space="0" w:color="auto"/>
            <w:right w:val="none" w:sz="0" w:space="0" w:color="auto"/>
          </w:divBdr>
        </w:div>
        <w:div w:id="1564295319">
          <w:marLeft w:val="0"/>
          <w:marRight w:val="0"/>
          <w:marTop w:val="0"/>
          <w:marBottom w:val="0"/>
          <w:divBdr>
            <w:top w:val="none" w:sz="0" w:space="0" w:color="auto"/>
            <w:left w:val="none" w:sz="0" w:space="0" w:color="auto"/>
            <w:bottom w:val="none" w:sz="0" w:space="0" w:color="auto"/>
            <w:right w:val="none" w:sz="0" w:space="0" w:color="auto"/>
          </w:divBdr>
          <w:divsChild>
            <w:div w:id="627443274">
              <w:marLeft w:val="0"/>
              <w:marRight w:val="0"/>
              <w:marTop w:val="0"/>
              <w:marBottom w:val="0"/>
              <w:divBdr>
                <w:top w:val="none" w:sz="0" w:space="0" w:color="auto"/>
                <w:left w:val="none" w:sz="0" w:space="0" w:color="auto"/>
                <w:bottom w:val="none" w:sz="0" w:space="0" w:color="auto"/>
                <w:right w:val="none" w:sz="0" w:space="0" w:color="auto"/>
              </w:divBdr>
            </w:div>
            <w:div w:id="157507153">
              <w:marLeft w:val="0"/>
              <w:marRight w:val="0"/>
              <w:marTop w:val="0"/>
              <w:marBottom w:val="0"/>
              <w:divBdr>
                <w:top w:val="none" w:sz="0" w:space="0" w:color="auto"/>
                <w:left w:val="none" w:sz="0" w:space="0" w:color="auto"/>
                <w:bottom w:val="none" w:sz="0" w:space="0" w:color="auto"/>
                <w:right w:val="none" w:sz="0" w:space="0" w:color="auto"/>
              </w:divBdr>
              <w:divsChild>
                <w:div w:id="1517843175">
                  <w:marLeft w:val="0"/>
                  <w:marRight w:val="0"/>
                  <w:marTop w:val="0"/>
                  <w:marBottom w:val="0"/>
                  <w:divBdr>
                    <w:top w:val="none" w:sz="0" w:space="0" w:color="auto"/>
                    <w:left w:val="none" w:sz="0" w:space="0" w:color="auto"/>
                    <w:bottom w:val="none" w:sz="0" w:space="0" w:color="auto"/>
                    <w:right w:val="none" w:sz="0" w:space="0" w:color="auto"/>
                  </w:divBdr>
                </w:div>
                <w:div w:id="750195003">
                  <w:marLeft w:val="0"/>
                  <w:marRight w:val="0"/>
                  <w:marTop w:val="0"/>
                  <w:marBottom w:val="0"/>
                  <w:divBdr>
                    <w:top w:val="none" w:sz="0" w:space="0" w:color="auto"/>
                    <w:left w:val="none" w:sz="0" w:space="0" w:color="auto"/>
                    <w:bottom w:val="none" w:sz="0" w:space="0" w:color="auto"/>
                    <w:right w:val="none" w:sz="0" w:space="0" w:color="auto"/>
                  </w:divBdr>
                </w:div>
                <w:div w:id="5447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297696">
          <w:marLeft w:val="0"/>
          <w:marRight w:val="0"/>
          <w:marTop w:val="0"/>
          <w:marBottom w:val="0"/>
          <w:divBdr>
            <w:top w:val="none" w:sz="0" w:space="0" w:color="auto"/>
            <w:left w:val="none" w:sz="0" w:space="0" w:color="auto"/>
            <w:bottom w:val="none" w:sz="0" w:space="0" w:color="auto"/>
            <w:right w:val="none" w:sz="0" w:space="0" w:color="auto"/>
          </w:divBdr>
        </w:div>
        <w:div w:id="335690516">
          <w:marLeft w:val="0"/>
          <w:marRight w:val="0"/>
          <w:marTop w:val="0"/>
          <w:marBottom w:val="0"/>
          <w:divBdr>
            <w:top w:val="none" w:sz="0" w:space="0" w:color="auto"/>
            <w:left w:val="none" w:sz="0" w:space="0" w:color="auto"/>
            <w:bottom w:val="none" w:sz="0" w:space="0" w:color="auto"/>
            <w:right w:val="none" w:sz="0" w:space="0" w:color="auto"/>
          </w:divBdr>
        </w:div>
        <w:div w:id="391006292">
          <w:marLeft w:val="0"/>
          <w:marRight w:val="0"/>
          <w:marTop w:val="0"/>
          <w:marBottom w:val="0"/>
          <w:divBdr>
            <w:top w:val="none" w:sz="0" w:space="0" w:color="auto"/>
            <w:left w:val="none" w:sz="0" w:space="0" w:color="auto"/>
            <w:bottom w:val="none" w:sz="0" w:space="0" w:color="auto"/>
            <w:right w:val="none" w:sz="0" w:space="0" w:color="auto"/>
          </w:divBdr>
        </w:div>
        <w:div w:id="1532642025">
          <w:marLeft w:val="0"/>
          <w:marRight w:val="0"/>
          <w:marTop w:val="0"/>
          <w:marBottom w:val="0"/>
          <w:divBdr>
            <w:top w:val="none" w:sz="0" w:space="0" w:color="auto"/>
            <w:left w:val="none" w:sz="0" w:space="0" w:color="auto"/>
            <w:bottom w:val="none" w:sz="0" w:space="0" w:color="auto"/>
            <w:right w:val="none" w:sz="0" w:space="0" w:color="auto"/>
          </w:divBdr>
        </w:div>
        <w:div w:id="37316441">
          <w:marLeft w:val="0"/>
          <w:marRight w:val="0"/>
          <w:marTop w:val="0"/>
          <w:marBottom w:val="0"/>
          <w:divBdr>
            <w:top w:val="none" w:sz="0" w:space="0" w:color="auto"/>
            <w:left w:val="none" w:sz="0" w:space="0" w:color="auto"/>
            <w:bottom w:val="none" w:sz="0" w:space="0" w:color="auto"/>
            <w:right w:val="none" w:sz="0" w:space="0" w:color="auto"/>
          </w:divBdr>
        </w:div>
      </w:divsChild>
    </w:div>
    <w:div w:id="2102723246">
      <w:bodyDiv w:val="1"/>
      <w:marLeft w:val="0"/>
      <w:marRight w:val="0"/>
      <w:marTop w:val="0"/>
      <w:marBottom w:val="0"/>
      <w:divBdr>
        <w:top w:val="none" w:sz="0" w:space="0" w:color="auto"/>
        <w:left w:val="none" w:sz="0" w:space="0" w:color="auto"/>
        <w:bottom w:val="none" w:sz="0" w:space="0" w:color="auto"/>
        <w:right w:val="none" w:sz="0" w:space="0" w:color="auto"/>
      </w:divBdr>
    </w:div>
    <w:div w:id="2108961736">
      <w:bodyDiv w:val="1"/>
      <w:marLeft w:val="0"/>
      <w:marRight w:val="0"/>
      <w:marTop w:val="0"/>
      <w:marBottom w:val="0"/>
      <w:divBdr>
        <w:top w:val="none" w:sz="0" w:space="0" w:color="auto"/>
        <w:left w:val="none" w:sz="0" w:space="0" w:color="auto"/>
        <w:bottom w:val="none" w:sz="0" w:space="0" w:color="auto"/>
        <w:right w:val="none" w:sz="0" w:space="0" w:color="auto"/>
      </w:divBdr>
    </w:div>
    <w:div w:id="21351005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Parts xmlns="http://lrs.lt/TAIS/DocParts">
  <Part Type="pagrindine" DocPartId="94f30a2cd7dc44afbcab92e206fe57ae" PartId="54327b126a5942c2bcab0d72040f30bd"/>
  <Part Type="patvirtinta" Title="LIETUVOS ŽUVININKYSTĖS SEKTORIAUS 2021‒2027 METŲ PROGRAMOS PIRMOJO PRIORITETO „TAUSIOS ŽVEJYBOS SKATINIMAS IR VANDENS BIOLOGINIŲ IŠTEKLIŲ ATKŪRIMAS IR IŠSAUGOJIMAS“ PRIEMONĖS „REIKALINGŲ SISTEMŲ IR PRIETAISŲ ĮSIGIJIMAS IR ĮRENGIMAS LAIVUOSE“ PROJEKTŲ FINANSAVIMO SĄLYGŲ APRAŠAS" DocPartId="3bbcdb0c354b4541ab43f1b2277e0dd0" PartId="b152aba8a0704d70ad73c29814f57b17">
    <Part Type="skyrius" Nr="1" Title="BENDROS NUOSTATOS" DocPartId="5165f472a9a045898f4950342e853281" PartId="a243c44fd9ae47b29af0e948a0bf11ea"/>
  </Part>
</Part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81bdba5e-b18c-4c8c-b425-bdf6d075d995"/>
    <ds:schemaRef ds:uri="db96e512-6920-4eea-b1bf-b81a54d2aa3c"/>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9F656CB1-3F75-4326-8410-B2B6F4440849}">
  <ds:schemaRefs>
    <ds:schemaRef ds:uri="http://lrs.lt/TAIS/DocParts"/>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687C6F12-B2F4-4F1F-A00E-D59A64F85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9</Pages>
  <Words>12001</Words>
  <Characters>6841</Characters>
  <Application>Microsoft Office Word</Application>
  <DocSecurity>0</DocSecurity>
  <Lines>57</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18805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JŪRĖNIENĖ Jolanta</cp:lastModifiedBy>
  <cp:revision>4</cp:revision>
  <dcterms:created xsi:type="dcterms:W3CDTF">2023-11-22T20:11:00Z</dcterms:created>
  <dcterms:modified xsi:type="dcterms:W3CDTF">2023-11-22T20:35:00Z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y fmtid="{D5CDD505-2E9C-101B-9397-08002B2CF9AE}" pid="3" name="GrammarlyDocumentId">
    <vt:lpwstr>d0472e3b0dd498cda461620e58dd69f3b81b72b6d7d9015161fb42db26a39dd1</vt:lpwstr>
  </property>
</Properties>
</file>