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 pr."/>
        <w:tag w:val="part_48bedcdc77cd42148aa79d4e014eef8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Valstybinio visuomenės sveikatos stiprinimo fondo lėšomis finansuojamų projektų finansavimo ir administravimo tvarkos aprašo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sdt>
            <w:sdtPr>
              <w:alias w:val="Numeris"/>
              <w:tag w:val="nr_48bedcdc77cd42148aa79d4e014eef81"/>
              <w:lock w:val="sdtLocked"/>
              <w:richText/>
            </w:sdtPr>
            <w:sdtContent>
              <w:r>
                <w:rPr>
                  <w:szCs w:val="24"/>
                  <w:lang w:eastAsia="lt-LT"/>
                </w:rPr>
                <w:t>4</w:t>
              </w:r>
            </w:sdtContent>
          </w:sdt>
          <w:r>
            <w:rPr>
              <w:szCs w:val="24"/>
              <w:lang w:eastAsia="lt-LT"/>
            </w:rPr>
            <w:t xml:space="preserve"> priedas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jc w:val="both"/>
            <w:rPr>
              <w:rFonts w:eastAsia="Calibri"/>
              <w:sz w:val="10"/>
              <w:szCs w:val="10"/>
            </w:rPr>
          </w:pPr>
        </w:p>
        <w:sdt>
          <w:sdtPr>
            <w:alias w:val="Pavadinimas"/>
            <w:tag w:val="title_48bedcdc77cd42148aa79d4e014eef81"/>
            <w:lock w:val="sdtLocked"/>
            <w:richText/>
          </w:sdtPr>
          <w:sdtContent>
            <w:p>
              <w:pPr>
                <w:ind w:firstLine="48"/>
                <w:jc w:val="center"/>
                <w:rPr>
                  <w:rFonts w:eastAsia="Calibri"/>
                  <w:b/>
                  <w:szCs w:val="24"/>
                </w:rPr>
              </w:pPr>
              <w:r>
                <w:rPr>
                  <w:rFonts w:ascii="Calibri" w:eastAsia="Calibri" w:hAnsi="Calibri"/>
                  <w:b/>
                  <w:sz w:val="22"/>
                  <w:szCs w:val="24"/>
                </w:rPr>
                <w:t>(</w:t>
              </w:r>
              <w:r>
                <w:rPr>
                  <w:rFonts w:eastAsia="Calibri"/>
                  <w:b/>
                  <w:bCs/>
                  <w:szCs w:val="24"/>
                </w:rPr>
                <w:t>Valstybinio visuomenės sveikatos stiprinimo fondo lėšomis</w:t>
              </w:r>
              <w:r>
                <w:rPr>
                  <w:rFonts w:eastAsia="Calibri"/>
                  <w:b/>
                  <w:szCs w:val="24"/>
                </w:rPr>
                <w:t xml:space="preserve"> finansuojamo projekto</w:t>
              </w:r>
            </w:p>
            <w:p>
              <w:pPr>
                <w:jc w:val="center"/>
                <w:rPr>
                  <w:b/>
                  <w:szCs w:val="24"/>
                </w:rPr>
              </w:pPr>
              <w:r>
                <w:rPr>
                  <w:b/>
                  <w:szCs w:val="24"/>
                </w:rPr>
                <w:t>paraiškos administracinės atitikties vertinimo forma)</w:t>
              </w:r>
            </w:p>
          </w:sdtContent>
        </w:sdt>
        <w:p>
          <w:pPr>
            <w:jc w:val="center"/>
            <w:rPr>
              <w:szCs w:val="24"/>
            </w:rPr>
          </w:pPr>
        </w:p>
        <w:p>
          <w:pPr>
            <w:jc w:val="center"/>
            <w:rPr>
              <w:szCs w:val="24"/>
            </w:rPr>
          </w:pPr>
          <w:r>
            <w:rPr>
              <w:szCs w:val="24"/>
            </w:rPr>
            <w:t>____________________</w:t>
          </w:r>
        </w:p>
        <w:p>
          <w:pPr>
            <w:jc w:val="center"/>
            <w:rPr>
              <w:szCs w:val="24"/>
            </w:rPr>
          </w:pPr>
          <w:r>
            <w:rPr>
              <w:szCs w:val="24"/>
            </w:rPr>
            <w:t>(projekto registracijos numeris)</w:t>
          </w:r>
        </w:p>
        <w:p>
          <w:pPr>
            <w:jc w:val="center"/>
            <w:rPr>
              <w:szCs w:val="24"/>
            </w:rPr>
          </w:pPr>
        </w:p>
        <w:p>
          <w:pPr>
            <w:jc w:val="center"/>
            <w:rPr>
              <w:szCs w:val="24"/>
            </w:rPr>
          </w:pPr>
          <w:r>
            <w:rPr>
              <w:szCs w:val="24"/>
            </w:rPr>
            <w:t>________________________________________________________________________________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8"/>
          </w:tblGrid>
          <w:tr>
            <w:tc>
              <w:tcPr>
                <w:tcW w:w="9854" w:type="dxa"/>
                <w:tcBorders>
                  <w:top w:val="nil"/>
                  <w:left w:val="nil"/>
                  <w:bottom w:val="single" w:sz="4" w:space="0" w:color="auto"/>
                  <w:right w:val="nil"/>
                </w:tcBorders>
                <w:shd w:val="clear" w:color="auto" w:fill="auto"/>
              </w:tcPr>
              <w:p>
                <w:pPr>
                  <w:jc w:val="center"/>
                  <w:rPr>
                    <w:szCs w:val="24"/>
                  </w:rPr>
                </w:pPr>
                <w:r>
                  <w:rPr>
                    <w:szCs w:val="24"/>
                  </w:rPr>
                  <w:t>(organizacijos pavadinimas)</w:t>
                </w:r>
              </w:p>
              <w:p>
                <w:pPr>
                  <w:jc w:val="center"/>
                  <w:rPr>
                    <w:szCs w:val="24"/>
                  </w:rPr>
                </w:pPr>
              </w:p>
              <w:p>
                <w:pPr>
                  <w:jc w:val="center"/>
                  <w:rPr>
                    <w:szCs w:val="24"/>
                  </w:rPr>
                </w:pPr>
              </w:p>
            </w:tc>
          </w:tr>
        </w:tbl>
        <w:p>
          <w:pPr>
            <w:jc w:val="center"/>
            <w:rPr>
              <w:szCs w:val="24"/>
            </w:rPr>
          </w:pPr>
          <w:r>
            <w:rPr>
              <w:szCs w:val="24"/>
            </w:rPr>
            <w:t>(projekto pavadinimas)</w:t>
          </w:r>
        </w:p>
        <w:p>
          <w:pPr>
            <w:rPr>
              <w:szCs w:val="24"/>
            </w:rPr>
          </w:pPr>
        </w:p>
        <w:sdt>
          <w:sdtPr>
            <w:alias w:val="lentele"/>
            <w:tag w:val="part_111c5e465d0043a18c3f7622309a9a7b"/>
            <w:lock w:val="sdtLocked"/>
            <w:richText/>
          </w:sdtPr>
          <w:sdtContent>
            <w:sdt>
              <w:sdtPr>
                <w:alias w:val="Pavadinimas"/>
                <w:tag w:val="title_111c5e465d0043a18c3f7622309a9a7b"/>
                <w:lock w:val="sdtLocked"/>
                <w:richText/>
              </w:sdtPr>
              <w:sdtContent>
                <w:p>
                  <w:pPr>
                    <w:jc w:val="center"/>
                    <w:rPr>
                      <w:rFonts w:eastAsia="Calibri"/>
                      <w:b/>
                      <w:szCs w:val="24"/>
                    </w:rPr>
                  </w:pPr>
                  <w:r>
                    <w:rPr>
                      <w:rFonts w:eastAsia="Calibri"/>
                      <w:b/>
                      <w:bCs/>
                      <w:szCs w:val="24"/>
                    </w:rPr>
                    <w:t>VALSTYBINIO VISUOMENĖS SVEIKATOS STIPRINIMO FONDO LĖŠOMIS</w:t>
                  </w:r>
                  <w:r>
                    <w:rPr>
                      <w:rFonts w:eastAsia="Calibri"/>
                      <w:b/>
                      <w:szCs w:val="24"/>
                    </w:rPr>
                    <w:t xml:space="preserve"> FINANSUOJAMO PROJEKTO PARAIŠKOS </w:t>
                  </w:r>
                </w:p>
                <w:p>
                  <w:pPr>
                    <w:jc w:val="center"/>
                    <w:rPr>
                      <w:rFonts w:eastAsia="Calibri"/>
                      <w:b/>
                      <w:szCs w:val="24"/>
                    </w:rPr>
                  </w:pPr>
                  <w:r>
                    <w:rPr>
                      <w:rFonts w:eastAsia="Calibri"/>
                      <w:b/>
                      <w:szCs w:val="24"/>
                    </w:rPr>
                    <w:t>ADMINISTRACINĖS ATITIKTIES VERTINIMO KLAUSIMYNAS</w:t>
                  </w:r>
                </w:p>
              </w:sdtContent>
            </w:sdt>
            <w:p>
              <w:pPr>
                <w:jc w:val="center"/>
                <w:rPr>
                  <w:b/>
                  <w:sz w:val="20"/>
                  <w:szCs w:val="24"/>
                  <w:lang w:val="en-GB"/>
                </w:rPr>
              </w:pPr>
            </w:p>
            <w:tbl>
              <w:tblPr>
                <w:tblW w:w="0" w:type="auto"/>
                <w:tblInd w:w="3085" w:type="dxa"/>
                <w:tblLook w:val="04A0" w:firstRow="1" w:lastRow="0" w:firstColumn="1" w:lastColumn="0" w:noHBand="0" w:noVBand="1"/>
              </w:tblPr>
              <w:tblGrid>
                <w:gridCol w:w="2268"/>
                <w:gridCol w:w="1701"/>
              </w:tblGrid>
              <w:tr>
                <w:tc>
                  <w:tcPr>
                    <w:tcW w:w="2268" w:type="dxa"/>
                    <w:tcBorders>
                      <w:bottom w:val="single" w:sz="4" w:space="0" w:color="auto"/>
                    </w:tcBorders>
                    <w:shd w:val="clear" w:color="auto" w:fill="auto"/>
                  </w:tcPr>
                  <w:p>
                    <w:pPr>
                      <w:jc w:val="center"/>
                      <w:rPr>
                        <w:spacing w:val="-2"/>
                        <w:szCs w:val="24"/>
                        <w:lang w:val="en-GB"/>
                      </w:rPr>
                    </w:pPr>
                  </w:p>
                </w:tc>
                <w:tc>
                  <w:tcPr>
                    <w:tcW w:w="1701" w:type="dxa"/>
                    <w:shd w:val="clear" w:color="auto" w:fill="auto"/>
                  </w:tcPr>
                  <w:p>
                    <w:pPr>
                      <w:rPr>
                        <w:spacing w:val="-2"/>
                        <w:szCs w:val="24"/>
                        <w:u w:val="single"/>
                        <w:lang w:val="en-GB"/>
                      </w:rPr>
                    </w:pPr>
                    <w:r>
                      <w:rPr>
                        <w:spacing w:val="-2"/>
                        <w:szCs w:val="24"/>
                        <w:lang w:val="en-GB"/>
                      </w:rPr>
                      <w:t>Nr. AVF-</w:t>
                    </w:r>
                  </w:p>
                </w:tc>
              </w:tr>
            </w:tbl>
            <w:p/>
          </w:sdtContent>
        </w:sdt>
        <w:sdt>
          <w:sdtPr>
            <w:alias w:val="pastraipa"/>
            <w:tag w:val="part_9798e826be00440e9cec7ea44f883cd9"/>
            <w:lock w:val="sdtLocked"/>
            <w:richText/>
          </w:sdtPr>
          <w:sdtContent>
            <w:p>
              <w:pPr>
                <w:ind w:firstLine="2790"/>
                <w:jc w:val="both"/>
                <w:rPr>
                  <w:szCs w:val="24"/>
                </w:rPr>
              </w:pPr>
              <w:r>
                <w:rPr>
                  <w:szCs w:val="24"/>
                </w:rPr>
                <w:t>(dokumento registravimo data ir numeris)</w:t>
              </w:r>
            </w:p>
            <w:p>
              <w:pPr>
                <w:tabs>
                  <w:tab w:val="left" w:pos="720"/>
                </w:tabs>
                <w:jc w:val="both"/>
                <w:rPr>
                  <w:b/>
                  <w:sz w:val="20"/>
                  <w:szCs w:val="24"/>
                </w:rPr>
              </w:pPr>
            </w:p>
            <w:p>
              <w:pPr>
                <w:tabs>
                  <w:tab w:val="left" w:pos="720"/>
                </w:tabs>
                <w:jc w:val="both"/>
                <w:rPr>
                  <w:b/>
                  <w:sz w:val="20"/>
                  <w:szCs w:val="24"/>
                </w:rPr>
              </w:pPr>
            </w:p>
          </w:sdtContent>
        </w:sdt>
        <w:sdt>
          <w:sdtPr>
            <w:alias w:val="lentele"/>
            <w:tag w:val="part_ec1ec00c9f2f45a794f8d63d729bb297"/>
            <w:lock w:val="sdtLocked"/>
            <w:richText/>
          </w:sdtPr>
          <w:sdtContent>
            <w:tbl>
              <w:tblPr>
                <w:tblW w:w="100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6"/>
                <w:gridCol w:w="7379"/>
                <w:gridCol w:w="992"/>
                <w:gridCol w:w="978"/>
              </w:tblGrid>
              <w:tr>
                <w:trPr>
                  <w:cantSplit/>
                </w:trPr>
                <w:tc>
                  <w:tcPr>
                    <w:tcW w:w="696" w:type="dxa"/>
                    <w:vAlign w:val="center"/>
                  </w:tcPr>
                  <w:p>
                    <w:pPr>
                      <w:jc w:val="center"/>
                      <w:rPr>
                        <w:b/>
                        <w:bCs/>
                        <w:szCs w:val="24"/>
                      </w:rPr>
                    </w:pPr>
                    <w:r>
                      <w:rPr>
                        <w:b/>
                        <w:bCs/>
                        <w:szCs w:val="24"/>
                      </w:rPr>
                      <w:t>Eil.</w:t>
                    </w:r>
                  </w:p>
                  <w:p>
                    <w:pPr>
                      <w:jc w:val="center"/>
                      <w:rPr>
                        <w:b/>
                        <w:bCs/>
                        <w:szCs w:val="24"/>
                      </w:rPr>
                    </w:pPr>
                    <w:r>
                      <w:rPr>
                        <w:b/>
                        <w:bCs/>
                        <w:szCs w:val="24"/>
                      </w:rPr>
                      <w:t>Nr.</w:t>
                    </w:r>
                  </w:p>
                </w:tc>
                <w:tc>
                  <w:tcPr>
                    <w:tcW w:w="7379" w:type="dxa"/>
                    <w:vAlign w:val="center"/>
                  </w:tcPr>
                  <w:p>
                    <w:pPr>
                      <w:jc w:val="center"/>
                      <w:rPr>
                        <w:b/>
                        <w:bCs/>
                        <w:szCs w:val="24"/>
                      </w:rPr>
                    </w:pPr>
                    <w:r>
                      <w:rPr>
                        <w:b/>
                        <w:bCs/>
                        <w:szCs w:val="24"/>
                      </w:rPr>
                      <w:t>Administracinės atitikties vertinimo reikalavimai</w:t>
                    </w:r>
                  </w:p>
                </w:tc>
                <w:tc>
                  <w:tcPr>
                    <w:tcW w:w="992" w:type="dxa"/>
                    <w:vAlign w:val="center"/>
                  </w:tcPr>
                  <w:p>
                    <w:pPr>
                      <w:jc w:val="center"/>
                      <w:rPr>
                        <w:b/>
                        <w:bCs/>
                        <w:szCs w:val="24"/>
                      </w:rPr>
                    </w:pPr>
                    <w:r>
                      <w:rPr>
                        <w:b/>
                        <w:bCs/>
                        <w:szCs w:val="24"/>
                      </w:rPr>
                      <w:t>Taip</w:t>
                    </w:r>
                  </w:p>
                </w:tc>
                <w:tc>
                  <w:tcPr>
                    <w:tcW w:w="978" w:type="dxa"/>
                    <w:vAlign w:val="center"/>
                  </w:tcPr>
                  <w:p>
                    <w:pPr>
                      <w:jc w:val="center"/>
                      <w:rPr>
                        <w:b/>
                        <w:bCs/>
                        <w:szCs w:val="24"/>
                      </w:rPr>
                    </w:pPr>
                    <w:r>
                      <w:rPr>
                        <w:b/>
                        <w:bCs/>
                        <w:szCs w:val="24"/>
                      </w:rPr>
                      <w:t>Ne</w:t>
                    </w:r>
                  </w:p>
                </w:tc>
              </w:tr>
              <w:tr>
                <w:trPr>
                  <w:cantSplit/>
                </w:trPr>
                <w:tc>
                  <w:tcPr>
                    <w:tcW w:w="696" w:type="dxa"/>
                  </w:tcPr>
                  <w:p>
                    <w:pPr>
                      <w:tabs>
                        <w:tab w:val="left" w:pos="277"/>
                      </w:tabs>
                      <w:jc w:val="center"/>
                      <w:rPr>
                        <w:sz w:val="22"/>
                        <w:szCs w:val="22"/>
                      </w:rPr>
                    </w:pPr>
                    <w:r>
                      <w:rPr>
                        <w:sz w:val="22"/>
                        <w:szCs w:val="22"/>
                      </w:rPr>
                      <w:t>1.</w:t>
                    </w:r>
                  </w:p>
                </w:tc>
                <w:tc>
                  <w:tcPr>
                    <w:tcW w:w="7379" w:type="dxa"/>
                  </w:tcPr>
                  <w:p>
                    <w:pPr>
                      <w:jc w:val="both"/>
                      <w:rPr>
                        <w:sz w:val="22"/>
                        <w:szCs w:val="22"/>
                      </w:rPr>
                    </w:pPr>
                    <w:r>
                      <w:rPr>
                        <w:sz w:val="22"/>
                        <w:szCs w:val="22"/>
                      </w:rPr>
                      <w:t>Pareiškėjo organizacijos statusas atitinka Fondo tarybos patvirtintą galimą pareiškėjo statusą konkrečiai visuomenės sveikatos išsaugojimo ir stiprinimo veiklai (Tvarkos aprašo 4</w:t>
                    </w:r>
                    <w:r>
                      <w:rPr>
                        <w:sz w:val="22"/>
                        <w:szCs w:val="22"/>
                        <w:lang w:val="en-US"/>
                      </w:rPr>
                      <w:t>2</w:t>
                    </w:r>
                    <w:r>
                      <w:rPr>
                        <w:sz w:val="22"/>
                        <w:szCs w:val="22"/>
                      </w:rPr>
                      <w:t>.4 papunktis)</w:t>
                    </w:r>
                  </w:p>
                </w:tc>
                <w:tc>
                  <w:tcPr>
                    <w:tcW w:w="992" w:type="dxa"/>
                    <w:vAlign w:val="center"/>
                  </w:tcPr>
                  <w:p>
                    <w:pPr>
                      <w:jc w:val="center"/>
                      <w:rPr>
                        <w:szCs w:val="24"/>
                      </w:rPr>
                    </w:pPr>
                  </w:p>
                </w:tc>
                <w:tc>
                  <w:tcPr>
                    <w:tcW w:w="978" w:type="dxa"/>
                    <w:vAlign w:val="center"/>
                  </w:tcPr>
                  <w:p>
                    <w:pPr>
                      <w:jc w:val="center"/>
                      <w:rPr>
                        <w:szCs w:val="24"/>
                      </w:rPr>
                    </w:pPr>
                  </w:p>
                </w:tc>
              </w:tr>
              <w:tr>
                <w:trPr>
                  <w:cantSplit/>
                </w:trPr>
                <w:tc>
                  <w:tcPr>
                    <w:tcW w:w="696" w:type="dxa"/>
                  </w:tcPr>
                  <w:p>
                    <w:pPr>
                      <w:jc w:val="center"/>
                      <w:rPr>
                        <w:sz w:val="22"/>
                        <w:szCs w:val="22"/>
                      </w:rPr>
                    </w:pPr>
                    <w:r>
                      <w:rPr>
                        <w:sz w:val="22"/>
                        <w:szCs w:val="22"/>
                      </w:rPr>
                      <w:t xml:space="preserve">2. </w:t>
                    </w:r>
                  </w:p>
                </w:tc>
                <w:tc>
                  <w:tcPr>
                    <w:tcW w:w="7379" w:type="dxa"/>
                  </w:tcPr>
                  <w:p>
                    <w:pPr>
                      <w:jc w:val="both"/>
                      <w:rPr>
                        <w:sz w:val="22"/>
                        <w:szCs w:val="22"/>
                      </w:rPr>
                    </w:pPr>
                    <w:r>
                      <w:rPr>
                        <w:sz w:val="22"/>
                        <w:szCs w:val="22"/>
                      </w:rPr>
                      <w:t>Paraiškos forma atitinka Tvarkos aprašo 1 priede pateiktą formą (Tvarkos aprašo 24.1 papunktis)</w:t>
                    </w:r>
                  </w:p>
                </w:tc>
                <w:tc>
                  <w:tcPr>
                    <w:tcW w:w="992" w:type="dxa"/>
                    <w:vAlign w:val="center"/>
                  </w:tcPr>
                  <w:p>
                    <w:pPr>
                      <w:jc w:val="center"/>
                      <w:rPr>
                        <w:szCs w:val="24"/>
                      </w:rPr>
                    </w:pPr>
                  </w:p>
                </w:tc>
                <w:tc>
                  <w:tcPr>
                    <w:tcW w:w="978" w:type="dxa"/>
                    <w:vAlign w:val="center"/>
                  </w:tcPr>
                  <w:p>
                    <w:pPr>
                      <w:jc w:val="center"/>
                      <w:rPr>
                        <w:szCs w:val="24"/>
                      </w:rPr>
                    </w:pPr>
                  </w:p>
                </w:tc>
              </w:tr>
              <w:tr>
                <w:trPr>
                  <w:cantSplit/>
                </w:trPr>
                <w:tc>
                  <w:tcPr>
                    <w:tcW w:w="696" w:type="dxa"/>
                  </w:tcPr>
                  <w:p>
                    <w:pPr>
                      <w:jc w:val="center"/>
                      <w:rPr>
                        <w:sz w:val="22"/>
                        <w:szCs w:val="22"/>
                        <w:lang w:val="en-US"/>
                      </w:rPr>
                    </w:pPr>
                    <w:r>
                      <w:rPr>
                        <w:sz w:val="22"/>
                        <w:szCs w:val="22"/>
                        <w:lang w:val="en-US"/>
                      </w:rPr>
                      <w:t>3.</w:t>
                    </w:r>
                  </w:p>
                </w:tc>
                <w:tc>
                  <w:tcPr>
                    <w:tcW w:w="7379" w:type="dxa"/>
                  </w:tcPr>
                  <w:p>
                    <w:pPr>
                      <w:jc w:val="both"/>
                      <w:rPr>
                        <w:sz w:val="22"/>
                        <w:szCs w:val="22"/>
                      </w:rPr>
                    </w:pPr>
                    <w:r>
                      <w:rPr>
                        <w:sz w:val="22"/>
                        <w:szCs w:val="22"/>
                      </w:rPr>
                      <w:t>Paraiška pateikta Word formatu (Tvarkos aprašo 24.1.1 papunktis)</w:t>
                    </w:r>
                  </w:p>
                </w:tc>
                <w:tc>
                  <w:tcPr>
                    <w:tcW w:w="992" w:type="dxa"/>
                    <w:vAlign w:val="center"/>
                  </w:tcPr>
                  <w:p>
                    <w:pPr>
                      <w:jc w:val="center"/>
                      <w:rPr>
                        <w:szCs w:val="24"/>
                      </w:rPr>
                    </w:pPr>
                  </w:p>
                </w:tc>
                <w:tc>
                  <w:tcPr>
                    <w:tcW w:w="978" w:type="dxa"/>
                    <w:vAlign w:val="center"/>
                  </w:tcPr>
                  <w:p>
                    <w:pPr>
                      <w:jc w:val="center"/>
                      <w:rPr>
                        <w:szCs w:val="24"/>
                      </w:rPr>
                    </w:pPr>
                  </w:p>
                </w:tc>
              </w:tr>
              <w:tr>
                <w:trPr>
                  <w:cantSplit/>
                </w:trPr>
                <w:tc>
                  <w:tcPr>
                    <w:tcW w:w="696" w:type="dxa"/>
                  </w:tcPr>
                  <w:p>
                    <w:pPr>
                      <w:jc w:val="center"/>
                      <w:rPr>
                        <w:sz w:val="22"/>
                        <w:szCs w:val="22"/>
                      </w:rPr>
                    </w:pPr>
                    <w:r>
                      <w:rPr>
                        <w:sz w:val="22"/>
                        <w:szCs w:val="22"/>
                      </w:rPr>
                      <w:t>4.</w:t>
                    </w:r>
                  </w:p>
                </w:tc>
                <w:tc>
                  <w:tcPr>
                    <w:tcW w:w="7379" w:type="dxa"/>
                  </w:tcPr>
                  <w:p>
                    <w:pPr>
                      <w:jc w:val="both"/>
                      <w:rPr>
                        <w:sz w:val="22"/>
                        <w:szCs w:val="22"/>
                      </w:rPr>
                    </w:pPr>
                    <w:r>
                      <w:rPr>
                        <w:sz w:val="22"/>
                        <w:szCs w:val="22"/>
                      </w:rPr>
                      <w:t>Paraiška pateikta PDF formatu vientisu dokumentu su visais priedais (Tvarkos aprašo 24.1.</w:t>
                    </w:r>
                    <w:r>
                      <w:rPr>
                        <w:sz w:val="22"/>
                        <w:szCs w:val="22"/>
                        <w:lang w:val="en-US"/>
                      </w:rPr>
                      <w:t>2</w:t>
                    </w:r>
                    <w:r>
                      <w:rPr>
                        <w:sz w:val="22"/>
                        <w:szCs w:val="22"/>
                      </w:rPr>
                      <w:t xml:space="preserve"> papunktis)</w:t>
                    </w:r>
                  </w:p>
                </w:tc>
                <w:tc>
                  <w:tcPr>
                    <w:tcW w:w="992" w:type="dxa"/>
                    <w:vAlign w:val="center"/>
                  </w:tcPr>
                  <w:p>
                    <w:pPr>
                      <w:jc w:val="center"/>
                      <w:rPr>
                        <w:szCs w:val="24"/>
                      </w:rPr>
                    </w:pPr>
                  </w:p>
                </w:tc>
                <w:tc>
                  <w:tcPr>
                    <w:tcW w:w="978" w:type="dxa"/>
                    <w:vAlign w:val="center"/>
                  </w:tcPr>
                  <w:p>
                    <w:pPr>
                      <w:jc w:val="center"/>
                      <w:rPr>
                        <w:szCs w:val="24"/>
                      </w:rPr>
                    </w:pPr>
                  </w:p>
                </w:tc>
              </w:tr>
              <w:tr>
                <w:trPr>
                  <w:cantSplit/>
                </w:trPr>
                <w:tc>
                  <w:tcPr>
                    <w:tcW w:w="696" w:type="dxa"/>
                  </w:tcPr>
                  <w:p>
                    <w:pPr>
                      <w:jc w:val="center"/>
                      <w:rPr>
                        <w:sz w:val="22"/>
                        <w:szCs w:val="22"/>
                      </w:rPr>
                    </w:pPr>
                    <w:r>
                      <w:rPr>
                        <w:sz w:val="22"/>
                        <w:szCs w:val="22"/>
                      </w:rPr>
                      <w:t xml:space="preserve">5. </w:t>
                    </w:r>
                  </w:p>
                </w:tc>
                <w:tc>
                  <w:tcPr>
                    <w:tcW w:w="7379" w:type="dxa"/>
                  </w:tcPr>
                  <w:p>
                    <w:pPr>
                      <w:jc w:val="both"/>
                      <w:rPr>
                        <w:sz w:val="22"/>
                        <w:szCs w:val="22"/>
                      </w:rPr>
                    </w:pPr>
                    <w:r>
                      <w:rPr>
                        <w:sz w:val="22"/>
                        <w:szCs w:val="22"/>
                      </w:rPr>
                      <w:t>Visos paraiškos dalys užpildytos tinkamai, pagal paraiškos dalyse pateiktus teikiamos informacijos aprašymus, nurodymus (Tvarkos aprašo 42.3 papunktis)</w:t>
                    </w:r>
                  </w:p>
                </w:tc>
                <w:tc>
                  <w:tcPr>
                    <w:tcW w:w="992" w:type="dxa"/>
                    <w:vAlign w:val="center"/>
                  </w:tcPr>
                  <w:p>
                    <w:pPr>
                      <w:jc w:val="center"/>
                      <w:rPr>
                        <w:szCs w:val="24"/>
                      </w:rPr>
                    </w:pPr>
                  </w:p>
                </w:tc>
                <w:tc>
                  <w:tcPr>
                    <w:tcW w:w="978" w:type="dxa"/>
                    <w:vAlign w:val="center"/>
                  </w:tcPr>
                  <w:p>
                    <w:pPr>
                      <w:jc w:val="center"/>
                      <w:rPr>
                        <w:szCs w:val="24"/>
                      </w:rPr>
                    </w:pPr>
                  </w:p>
                </w:tc>
              </w:tr>
              <w:tr>
                <w:trPr>
                  <w:cantSplit/>
                </w:trPr>
                <w:tc>
                  <w:tcPr>
                    <w:tcW w:w="696" w:type="dxa"/>
                  </w:tcPr>
                  <w:p>
                    <w:pPr>
                      <w:jc w:val="center"/>
                      <w:rPr>
                        <w:sz w:val="22"/>
                        <w:szCs w:val="22"/>
                      </w:rPr>
                    </w:pPr>
                    <w:r>
                      <w:rPr>
                        <w:sz w:val="22"/>
                        <w:szCs w:val="22"/>
                      </w:rPr>
                      <w:t xml:space="preserve">6. </w:t>
                    </w:r>
                  </w:p>
                </w:tc>
                <w:tc>
                  <w:tcPr>
                    <w:tcW w:w="7379" w:type="dxa"/>
                  </w:tcPr>
                  <w:p>
                    <w:pPr>
                      <w:jc w:val="both"/>
                      <w:rPr>
                        <w:sz w:val="22"/>
                        <w:szCs w:val="22"/>
                      </w:rPr>
                    </w:pPr>
                    <w:r>
                      <w:rPr>
                        <w:sz w:val="22"/>
                        <w:szCs w:val="22"/>
                      </w:rPr>
                      <w:t>Paraiška užpildyta lietuvių kalba, kompiuteriu (Tvarkos aprašo 20 punktas)</w:t>
                    </w:r>
                  </w:p>
                </w:tc>
                <w:tc>
                  <w:tcPr>
                    <w:tcW w:w="992" w:type="dxa"/>
                    <w:vAlign w:val="center"/>
                  </w:tcPr>
                  <w:p>
                    <w:pPr>
                      <w:jc w:val="center"/>
                      <w:rPr>
                        <w:szCs w:val="24"/>
                      </w:rPr>
                    </w:pPr>
                  </w:p>
                </w:tc>
                <w:tc>
                  <w:tcPr>
                    <w:tcW w:w="978" w:type="dxa"/>
                    <w:vAlign w:val="center"/>
                  </w:tcPr>
                  <w:p>
                    <w:pPr>
                      <w:jc w:val="center"/>
                      <w:rPr>
                        <w:szCs w:val="24"/>
                      </w:rPr>
                    </w:pPr>
                  </w:p>
                </w:tc>
              </w:tr>
              <w:tr>
                <w:trPr>
                  <w:cantSplit/>
                </w:trPr>
                <w:tc>
                  <w:tcPr>
                    <w:tcW w:w="696" w:type="dxa"/>
                  </w:tcPr>
                  <w:p>
                    <w:pPr>
                      <w:jc w:val="center"/>
                      <w:rPr>
                        <w:sz w:val="22"/>
                        <w:szCs w:val="22"/>
                      </w:rPr>
                    </w:pPr>
                    <w:r>
                      <w:rPr>
                        <w:sz w:val="22"/>
                        <w:szCs w:val="22"/>
                      </w:rPr>
                      <w:t xml:space="preserve">7. </w:t>
                    </w:r>
                  </w:p>
                </w:tc>
                <w:tc>
                  <w:tcPr>
                    <w:tcW w:w="7379" w:type="dxa"/>
                  </w:tcPr>
                  <w:p>
                    <w:pPr>
                      <w:jc w:val="both"/>
                      <w:rPr>
                        <w:sz w:val="22"/>
                        <w:szCs w:val="22"/>
                      </w:rPr>
                    </w:pPr>
                    <w:r>
                      <w:rPr>
                        <w:sz w:val="22"/>
                        <w:szCs w:val="22"/>
                      </w:rPr>
                      <w:t>Paraiška kartu su pridedamais dokumentais pasirašyta saugiu elektroniniu organizacijos vadovo ar jo įgalioto asmens parašu, sukurtu saugia parašo formavimo įranga ir patvirtintu galiojančiu kvalifikuotu sertifikatu (Tvarkos aprašo 21 punktas)</w:t>
                    </w:r>
                  </w:p>
                </w:tc>
                <w:tc>
                  <w:tcPr>
                    <w:tcW w:w="992" w:type="dxa"/>
                    <w:vAlign w:val="center"/>
                  </w:tcPr>
                  <w:p>
                    <w:pPr>
                      <w:jc w:val="center"/>
                      <w:rPr>
                        <w:szCs w:val="24"/>
                      </w:rPr>
                    </w:pPr>
                  </w:p>
                </w:tc>
                <w:tc>
                  <w:tcPr>
                    <w:tcW w:w="978" w:type="dxa"/>
                    <w:vAlign w:val="center"/>
                  </w:tcPr>
                  <w:p>
                    <w:pPr>
                      <w:jc w:val="center"/>
                      <w:rPr>
                        <w:szCs w:val="24"/>
                      </w:rPr>
                    </w:pPr>
                  </w:p>
                </w:tc>
              </w:tr>
              <w:tr>
                <w:trPr>
                  <w:cantSplit/>
                </w:trPr>
                <w:tc>
                  <w:tcPr>
                    <w:tcW w:w="696" w:type="dxa"/>
                    <w:vMerge w:val="restart"/>
                  </w:tcPr>
                  <w:p>
                    <w:pPr>
                      <w:tabs>
                        <w:tab w:val="left" w:pos="720"/>
                        <w:tab w:val="left" w:pos="1134"/>
                      </w:tabs>
                      <w:jc w:val="center"/>
                      <w:rPr>
                        <w:sz w:val="22"/>
                        <w:szCs w:val="22"/>
                      </w:rPr>
                    </w:pPr>
                    <w:r>
                      <w:rPr>
                        <w:sz w:val="22"/>
                        <w:szCs w:val="22"/>
                      </w:rPr>
                      <w:t>8.</w:t>
                    </w:r>
                  </w:p>
                </w:tc>
                <w:tc>
                  <w:tcPr>
                    <w:tcW w:w="7379" w:type="dxa"/>
                  </w:tcPr>
                  <w:p>
                    <w:pPr>
                      <w:tabs>
                        <w:tab w:val="left" w:pos="720"/>
                        <w:tab w:val="left" w:pos="1134"/>
                      </w:tabs>
                      <w:jc w:val="both"/>
                      <w:rPr>
                        <w:sz w:val="22"/>
                        <w:szCs w:val="22"/>
                      </w:rPr>
                    </w:pPr>
                    <w:r>
                      <w:rPr>
                        <w:sz w:val="22"/>
                        <w:szCs w:val="22"/>
                      </w:rPr>
                      <w:t>Kartu su paraiška pateikti priedai:</w:t>
                    </w:r>
                  </w:p>
                </w:tc>
                <w:tc>
                  <w:tcPr>
                    <w:tcW w:w="992" w:type="dxa"/>
                    <w:vAlign w:val="center"/>
                  </w:tcPr>
                  <w:p>
                    <w:pPr>
                      <w:jc w:val="center"/>
                      <w:rPr>
                        <w:szCs w:val="24"/>
                      </w:rPr>
                    </w:pPr>
                  </w:p>
                </w:tc>
                <w:tc>
                  <w:tcPr>
                    <w:tcW w:w="978" w:type="dxa"/>
                    <w:vAlign w:val="center"/>
                  </w:tcPr>
                  <w:p>
                    <w:pPr>
                      <w:jc w:val="center"/>
                      <w:rPr>
                        <w:szCs w:val="24"/>
                      </w:rPr>
                    </w:pPr>
                  </w:p>
                </w:tc>
              </w:tr>
              <w:tr>
                <w:trPr>
                  <w:cantSplit/>
                </w:trPr>
                <w:tc>
                  <w:tcPr>
                    <w:tcW w:w="696" w:type="dxa"/>
                    <w:vMerge/>
                  </w:tcPr>
                  <w:p>
                    <w:pPr>
                      <w:tabs>
                        <w:tab w:val="left" w:pos="720"/>
                        <w:tab w:val="left" w:pos="1134"/>
                      </w:tabs>
                      <w:jc w:val="center"/>
                      <w:rPr>
                        <w:sz w:val="22"/>
                        <w:szCs w:val="22"/>
                      </w:rPr>
                    </w:pPr>
                  </w:p>
                </w:tc>
                <w:tc>
                  <w:tcPr>
                    <w:tcW w:w="7379" w:type="dxa"/>
                  </w:tcPr>
                  <w:p>
                    <w:pPr>
                      <w:tabs>
                        <w:tab w:val="left" w:pos="720"/>
                        <w:tab w:val="left" w:pos="1134"/>
                      </w:tabs>
                      <w:jc w:val="both"/>
                      <w:rPr>
                        <w:sz w:val="22"/>
                        <w:szCs w:val="22"/>
                      </w:rPr>
                    </w:pPr>
                    <w:r>
                      <w:rPr>
                        <w:bCs/>
                        <w:sz w:val="22"/>
                        <w:szCs w:val="22"/>
                      </w:rPr>
                      <w:t>8.1. pareiškėjo organizacijos registracijos juridinių asmenų registro išrašo kopija (Tvarkos aprašo 24.2.1 papunktis)</w:t>
                    </w:r>
                  </w:p>
                </w:tc>
                <w:tc>
                  <w:tcPr>
                    <w:tcW w:w="992" w:type="dxa"/>
                    <w:vAlign w:val="center"/>
                  </w:tcPr>
                  <w:p>
                    <w:pPr>
                      <w:jc w:val="center"/>
                      <w:rPr>
                        <w:szCs w:val="24"/>
                      </w:rPr>
                    </w:pPr>
                  </w:p>
                </w:tc>
                <w:tc>
                  <w:tcPr>
                    <w:tcW w:w="978" w:type="dxa"/>
                    <w:vAlign w:val="center"/>
                  </w:tcPr>
                  <w:p>
                    <w:pPr>
                      <w:jc w:val="center"/>
                      <w:rPr>
                        <w:szCs w:val="24"/>
                      </w:rPr>
                    </w:pPr>
                  </w:p>
                </w:tc>
              </w:tr>
              <w:tr>
                <w:trPr>
                  <w:cantSplit/>
                </w:trPr>
                <w:tc>
                  <w:tcPr>
                    <w:tcW w:w="696" w:type="dxa"/>
                    <w:vMerge/>
                  </w:tcPr>
                  <w:p>
                    <w:pPr>
                      <w:tabs>
                        <w:tab w:val="left" w:pos="720"/>
                        <w:tab w:val="left" w:pos="1134"/>
                      </w:tabs>
                      <w:jc w:val="center"/>
                      <w:rPr>
                        <w:sz w:val="22"/>
                        <w:szCs w:val="22"/>
                      </w:rPr>
                    </w:pPr>
                  </w:p>
                </w:tc>
                <w:tc>
                  <w:tcPr>
                    <w:tcW w:w="7379" w:type="dxa"/>
                  </w:tcPr>
                  <w:p>
                    <w:pPr>
                      <w:tabs>
                        <w:tab w:val="left" w:pos="720"/>
                        <w:tab w:val="left" w:pos="1134"/>
                        <w:tab w:val="left" w:pos="5573"/>
                      </w:tabs>
                      <w:jc w:val="both"/>
                      <w:rPr>
                        <w:sz w:val="22"/>
                        <w:szCs w:val="22"/>
                      </w:rPr>
                    </w:pPr>
                    <w:r>
                      <w:rPr>
                        <w:bCs/>
                        <w:sz w:val="22"/>
                        <w:szCs w:val="22"/>
                      </w:rPr>
                      <w:t>8.2. pareiškėjo organizacijos įstatų (nuostatų) kopija (Tvarkos aprašo 24.2.2 papunktis)</w:t>
                    </w:r>
                  </w:p>
                </w:tc>
                <w:tc>
                  <w:tcPr>
                    <w:tcW w:w="992" w:type="dxa"/>
                    <w:vAlign w:val="center"/>
                  </w:tcPr>
                  <w:p>
                    <w:pPr>
                      <w:jc w:val="center"/>
                      <w:rPr>
                        <w:szCs w:val="24"/>
                      </w:rPr>
                    </w:pPr>
                  </w:p>
                </w:tc>
                <w:tc>
                  <w:tcPr>
                    <w:tcW w:w="978" w:type="dxa"/>
                    <w:vAlign w:val="center"/>
                  </w:tcPr>
                  <w:p>
                    <w:pPr>
                      <w:jc w:val="center"/>
                      <w:rPr>
                        <w:szCs w:val="24"/>
                      </w:rPr>
                    </w:pPr>
                  </w:p>
                </w:tc>
              </w:tr>
              <w:tr>
                <w:trPr>
                  <w:cantSplit/>
                </w:trPr>
                <w:tc>
                  <w:tcPr>
                    <w:tcW w:w="696" w:type="dxa"/>
                    <w:vMerge/>
                  </w:tcPr>
                  <w:p>
                    <w:pPr>
                      <w:tabs>
                        <w:tab w:val="left" w:pos="720"/>
                        <w:tab w:val="left" w:pos="1134"/>
                      </w:tabs>
                      <w:jc w:val="center"/>
                      <w:rPr>
                        <w:sz w:val="22"/>
                        <w:szCs w:val="22"/>
                      </w:rPr>
                    </w:pPr>
                  </w:p>
                </w:tc>
                <w:tc>
                  <w:tcPr>
                    <w:tcW w:w="7379" w:type="dxa"/>
                  </w:tcPr>
                  <w:p>
                    <w:pPr>
                      <w:tabs>
                        <w:tab w:val="left" w:pos="720"/>
                        <w:tab w:val="left" w:pos="1134"/>
                      </w:tabs>
                      <w:jc w:val="both"/>
                      <w:rPr>
                        <w:bCs/>
                        <w:sz w:val="22"/>
                        <w:szCs w:val="22"/>
                      </w:rPr>
                    </w:pPr>
                    <w:r>
                      <w:rPr>
                        <w:bCs/>
                        <w:sz w:val="22"/>
                        <w:szCs w:val="22"/>
                      </w:rPr>
                      <w:t xml:space="preserve">8.3. </w:t>
                    </w:r>
                    <w:r>
                      <w:rPr>
                        <w:sz w:val="22"/>
                        <w:szCs w:val="22"/>
                      </w:rPr>
                      <w:t xml:space="preserve">Valstybinės mokesčių inspekcijos (toliau – VMI) pažyma, patvirtinanti, kad pareiškėjas neturi įsiskolinimų valstybės biudžetui (įskaitant socialinio draudimo įmokas) arba įsiskolinimų suma neviršija 50 Eur ir pareiškėjas įsipareigoja šią skolą panaikinti ne vėliau kaip per 1 mėnesį nuo paraiškos pateikimo dienos. VMI pažyma arba lygiavertis dokumentas turi būti išduoti ne anksčiau kaip prieš 2 mėnesius iki paraiškos pateikimo termino pabaigos ir ne vėliau kaip paraiškų priėmimo termino pabaigos </w:t>
                    </w:r>
                    <w:r>
                      <w:rPr>
                        <w:bCs/>
                        <w:sz w:val="22"/>
                        <w:szCs w:val="22"/>
                      </w:rPr>
                      <w:t>(Tvarkos aprašo 24.2.3 papunktis)</w:t>
                    </w:r>
                  </w:p>
                </w:tc>
                <w:tc>
                  <w:tcPr>
                    <w:tcW w:w="992" w:type="dxa"/>
                    <w:vAlign w:val="center"/>
                  </w:tcPr>
                  <w:p>
                    <w:pPr>
                      <w:jc w:val="center"/>
                      <w:rPr>
                        <w:szCs w:val="24"/>
                      </w:rPr>
                    </w:pPr>
                  </w:p>
                </w:tc>
                <w:tc>
                  <w:tcPr>
                    <w:tcW w:w="978" w:type="dxa"/>
                    <w:vAlign w:val="center"/>
                  </w:tcPr>
                  <w:p>
                    <w:pPr>
                      <w:jc w:val="center"/>
                      <w:rPr>
                        <w:szCs w:val="24"/>
                      </w:rPr>
                    </w:pPr>
                  </w:p>
                </w:tc>
              </w:tr>
              <w:tr>
                <w:trPr>
                  <w:cantSplit/>
                </w:trPr>
                <w:tc>
                  <w:tcPr>
                    <w:tcW w:w="696" w:type="dxa"/>
                    <w:vMerge/>
                  </w:tcPr>
                  <w:p>
                    <w:pPr>
                      <w:tabs>
                        <w:tab w:val="left" w:pos="720"/>
                        <w:tab w:val="left" w:pos="1134"/>
                      </w:tabs>
                      <w:jc w:val="center"/>
                      <w:rPr>
                        <w:sz w:val="22"/>
                        <w:szCs w:val="22"/>
                      </w:rPr>
                    </w:pPr>
                  </w:p>
                </w:tc>
                <w:tc>
                  <w:tcPr>
                    <w:tcW w:w="7379" w:type="dxa"/>
                  </w:tcPr>
                  <w:p>
                    <w:pPr>
                      <w:tabs>
                        <w:tab w:val="left" w:pos="720"/>
                        <w:tab w:val="left" w:pos="1134"/>
                      </w:tabs>
                      <w:jc w:val="both"/>
                      <w:rPr>
                        <w:sz w:val="22"/>
                        <w:szCs w:val="22"/>
                      </w:rPr>
                    </w:pPr>
                    <w:r>
                      <w:rPr>
                        <w:bCs/>
                        <w:sz w:val="22"/>
                        <w:szCs w:val="22"/>
                      </w:rPr>
                      <w:t>8.4. darbuotojų, kurie įgyvendins projektą, gyvenimo aprašymai (Tvarkos aprašo 24.2.4 papunktis)</w:t>
                    </w:r>
                  </w:p>
                </w:tc>
                <w:tc>
                  <w:tcPr>
                    <w:tcW w:w="992" w:type="dxa"/>
                    <w:vAlign w:val="center"/>
                  </w:tcPr>
                  <w:p>
                    <w:pPr>
                      <w:jc w:val="center"/>
                      <w:rPr>
                        <w:szCs w:val="24"/>
                      </w:rPr>
                    </w:pPr>
                  </w:p>
                </w:tc>
                <w:tc>
                  <w:tcPr>
                    <w:tcW w:w="978" w:type="dxa"/>
                    <w:vAlign w:val="center"/>
                  </w:tcPr>
                  <w:p>
                    <w:pPr>
                      <w:jc w:val="center"/>
                      <w:rPr>
                        <w:szCs w:val="24"/>
                      </w:rPr>
                    </w:pPr>
                  </w:p>
                </w:tc>
              </w:tr>
              <w:tr>
                <w:trPr>
                  <w:cantSplit/>
                </w:trPr>
                <w:tc>
                  <w:tcPr>
                    <w:tcW w:w="696" w:type="dxa"/>
                    <w:vMerge/>
                  </w:tcPr>
                  <w:p>
                    <w:pPr>
                      <w:tabs>
                        <w:tab w:val="left" w:pos="720"/>
                        <w:tab w:val="left" w:pos="1134"/>
                      </w:tabs>
                      <w:jc w:val="center"/>
                      <w:rPr>
                        <w:sz w:val="22"/>
                        <w:szCs w:val="22"/>
                      </w:rPr>
                    </w:pPr>
                  </w:p>
                </w:tc>
                <w:tc>
                  <w:tcPr>
                    <w:tcW w:w="7379" w:type="dxa"/>
                  </w:tcPr>
                  <w:p>
                    <w:pPr>
                      <w:tabs>
                        <w:tab w:val="left" w:pos="720"/>
                        <w:tab w:val="left" w:pos="1134"/>
                      </w:tabs>
                      <w:jc w:val="both"/>
                      <w:rPr>
                        <w:sz w:val="22"/>
                        <w:szCs w:val="22"/>
                      </w:rPr>
                    </w:pPr>
                    <w:r>
                      <w:rPr>
                        <w:sz w:val="22"/>
                        <w:szCs w:val="22"/>
                        <w:lang w:eastAsia="lt-LT"/>
                      </w:rPr>
                      <w:t>8.5. bendradarbiavimo sutarčių ar kitų dokumentų, patvirtinančių bendradarbiavimą su projekto partneriais dėl projekto veiklų vykdymo, kopijos (socialinės kampanijos projektuose papildomai redakcijų sutikimai / patvirtinimai, kad jos sutinka bendradarbiauti šiame Fondo projekte ir publikuoti projekto metu aktualią suderintą informaciją) (Tvarkos aprašo 24.2.</w:t>
                    </w:r>
                    <w:r>
                      <w:rPr>
                        <w:sz w:val="22"/>
                        <w:szCs w:val="22"/>
                        <w:lang w:val="en-US" w:eastAsia="lt-LT"/>
                      </w:rPr>
                      <w:t>5</w:t>
                    </w:r>
                    <w:r>
                      <w:rPr>
                        <w:sz w:val="22"/>
                        <w:szCs w:val="22"/>
                        <w:lang w:eastAsia="lt-LT"/>
                      </w:rPr>
                      <w:t xml:space="preserve"> papunktis)</w:t>
                    </w:r>
                  </w:p>
                </w:tc>
                <w:tc>
                  <w:tcPr>
                    <w:tcW w:w="992" w:type="dxa"/>
                    <w:vAlign w:val="center"/>
                  </w:tcPr>
                  <w:p>
                    <w:pPr>
                      <w:jc w:val="center"/>
                      <w:rPr>
                        <w:szCs w:val="24"/>
                      </w:rPr>
                    </w:pPr>
                  </w:p>
                </w:tc>
                <w:tc>
                  <w:tcPr>
                    <w:tcW w:w="978" w:type="dxa"/>
                    <w:vAlign w:val="center"/>
                  </w:tcPr>
                  <w:p>
                    <w:pPr>
                      <w:jc w:val="center"/>
                      <w:rPr>
                        <w:szCs w:val="24"/>
                      </w:rPr>
                    </w:pPr>
                  </w:p>
                </w:tc>
              </w:tr>
              <w:tr>
                <w:trPr>
                  <w:cantSplit/>
                </w:trPr>
                <w:tc>
                  <w:tcPr>
                    <w:tcW w:w="696" w:type="dxa"/>
                    <w:vMerge/>
                  </w:tcPr>
                  <w:p>
                    <w:pPr>
                      <w:tabs>
                        <w:tab w:val="left" w:pos="720"/>
                        <w:tab w:val="left" w:pos="1134"/>
                      </w:tabs>
                      <w:jc w:val="center"/>
                      <w:rPr>
                        <w:sz w:val="22"/>
                        <w:szCs w:val="22"/>
                      </w:rPr>
                    </w:pPr>
                  </w:p>
                </w:tc>
                <w:tc>
                  <w:tcPr>
                    <w:tcW w:w="7379" w:type="dxa"/>
                  </w:tcPr>
                  <w:p>
                    <w:pPr>
                      <w:tabs>
                        <w:tab w:val="left" w:pos="720"/>
                        <w:tab w:val="left" w:pos="1134"/>
                      </w:tabs>
                      <w:jc w:val="both"/>
                      <w:rPr>
                        <w:sz w:val="22"/>
                        <w:szCs w:val="22"/>
                        <w:lang w:eastAsia="lt-LT"/>
                      </w:rPr>
                    </w:pPr>
                    <w:r>
                      <w:rPr>
                        <w:bCs/>
                        <w:sz w:val="22"/>
                        <w:szCs w:val="22"/>
                      </w:rPr>
                      <w:t>8.6. pareiškėjo deklaracija (Tvarkos aprašo 2 priede nurodytos formos) (Tvarkos aprašo 24.2.6 papunktis)</w:t>
                    </w:r>
                  </w:p>
                </w:tc>
                <w:tc>
                  <w:tcPr>
                    <w:tcW w:w="992" w:type="dxa"/>
                    <w:vAlign w:val="center"/>
                  </w:tcPr>
                  <w:p>
                    <w:pPr>
                      <w:jc w:val="center"/>
                      <w:rPr>
                        <w:szCs w:val="24"/>
                      </w:rPr>
                    </w:pPr>
                  </w:p>
                </w:tc>
                <w:tc>
                  <w:tcPr>
                    <w:tcW w:w="978" w:type="dxa"/>
                    <w:vAlign w:val="center"/>
                  </w:tcPr>
                  <w:p>
                    <w:pPr>
                      <w:jc w:val="center"/>
                      <w:rPr>
                        <w:szCs w:val="24"/>
                      </w:rPr>
                    </w:pPr>
                  </w:p>
                </w:tc>
              </w:tr>
              <w:tr>
                <w:trPr>
                  <w:cantSplit/>
                </w:trPr>
                <w:tc>
                  <w:tcPr>
                    <w:tcW w:w="696" w:type="dxa"/>
                    <w:vMerge/>
                  </w:tcPr>
                  <w:p>
                    <w:pPr>
                      <w:tabs>
                        <w:tab w:val="left" w:pos="720"/>
                        <w:tab w:val="left" w:pos="1134"/>
                      </w:tabs>
                      <w:jc w:val="center"/>
                      <w:rPr>
                        <w:sz w:val="22"/>
                        <w:szCs w:val="22"/>
                      </w:rPr>
                    </w:pPr>
                  </w:p>
                </w:tc>
                <w:tc>
                  <w:tcPr>
                    <w:tcW w:w="7379" w:type="dxa"/>
                  </w:tcPr>
                  <w:p>
                    <w:pPr>
                      <w:tabs>
                        <w:tab w:val="left" w:pos="720"/>
                        <w:tab w:val="left" w:pos="1134"/>
                      </w:tabs>
                      <w:jc w:val="both"/>
                      <w:rPr>
                        <w:sz w:val="22"/>
                        <w:szCs w:val="22"/>
                      </w:rPr>
                    </w:pPr>
                    <w:r>
                      <w:rPr>
                        <w:sz w:val="22"/>
                        <w:szCs w:val="22"/>
                        <w:lang w:eastAsia="lt-LT"/>
                      </w:rPr>
                      <w:t>8.7. įgaliojimas pasirašyti paraišką (jeigu paraišką pasirašo ne organizacijos vadovas, o jo įgaliotas asmuo) (Tvarkos aprašo 24.2.7 papunktis)</w:t>
                    </w:r>
                  </w:p>
                </w:tc>
                <w:tc>
                  <w:tcPr>
                    <w:tcW w:w="992" w:type="dxa"/>
                    <w:vAlign w:val="center"/>
                  </w:tcPr>
                  <w:p>
                    <w:pPr>
                      <w:jc w:val="center"/>
                      <w:rPr>
                        <w:szCs w:val="24"/>
                      </w:rPr>
                    </w:pPr>
                  </w:p>
                </w:tc>
                <w:tc>
                  <w:tcPr>
                    <w:tcW w:w="978" w:type="dxa"/>
                    <w:vAlign w:val="center"/>
                  </w:tcPr>
                  <w:p>
                    <w:pPr>
                      <w:jc w:val="center"/>
                      <w:rPr>
                        <w:szCs w:val="24"/>
                      </w:rPr>
                    </w:pPr>
                  </w:p>
                </w:tc>
              </w:tr>
              <w:tr>
                <w:trPr>
                  <w:cantSplit/>
                </w:trPr>
                <w:tc>
                  <w:tcPr>
                    <w:tcW w:w="696" w:type="dxa"/>
                    <w:vMerge/>
                  </w:tcPr>
                  <w:p>
                    <w:pPr>
                      <w:tabs>
                        <w:tab w:val="left" w:pos="720"/>
                        <w:tab w:val="left" w:pos="1134"/>
                      </w:tabs>
                      <w:jc w:val="center"/>
                      <w:rPr>
                        <w:sz w:val="22"/>
                        <w:szCs w:val="22"/>
                      </w:rPr>
                    </w:pPr>
                  </w:p>
                </w:tc>
                <w:tc>
                  <w:tcPr>
                    <w:tcW w:w="7379" w:type="dxa"/>
                  </w:tcPr>
                  <w:p>
                    <w:pPr>
                      <w:tabs>
                        <w:tab w:val="left" w:pos="720"/>
                        <w:tab w:val="left" w:pos="1134"/>
                      </w:tabs>
                      <w:jc w:val="both"/>
                      <w:rPr>
                        <w:sz w:val="22"/>
                        <w:szCs w:val="22"/>
                        <w:lang w:eastAsia="lt-LT"/>
                      </w:rPr>
                    </w:pPr>
                    <w:r>
                      <w:rPr>
                        <w:sz w:val="22"/>
                        <w:szCs w:val="22"/>
                        <w:lang w:eastAsia="lt-LT"/>
                      </w:rPr>
                      <w:t>8.8. Fondo lėšomis planuojamų įsigyti projektui įgyvendinti būtinų prekių ar paslaugų kainą pagrindžiantys dokumentai (nuorodos į ES investicijos duomenų bazę, o jei ten nėra – bent trys komerciniai pasiūlymai, tiekėjų apklausų pažymos, pasirašytos paslaugų teikimo sutartys ir kiti dokumentai, atspindintys rinkoje esančių atitinkamų produktų ar paslaugų vidutinius įkainius, arba nuorodos į internetines svetaines, kuriose nurodytos konkrečios produktų ar paslaugų kainos (Tvarkos aprašo 24.2.8 papunktis)</w:t>
                    </w:r>
                  </w:p>
                </w:tc>
                <w:tc>
                  <w:tcPr>
                    <w:tcW w:w="992" w:type="dxa"/>
                    <w:vAlign w:val="center"/>
                  </w:tcPr>
                  <w:p>
                    <w:pPr>
                      <w:jc w:val="center"/>
                      <w:rPr>
                        <w:szCs w:val="24"/>
                      </w:rPr>
                    </w:pPr>
                  </w:p>
                </w:tc>
                <w:tc>
                  <w:tcPr>
                    <w:tcW w:w="978" w:type="dxa"/>
                    <w:vAlign w:val="center"/>
                  </w:tcPr>
                  <w:p>
                    <w:pPr>
                      <w:jc w:val="center"/>
                      <w:rPr>
                        <w:szCs w:val="24"/>
                      </w:rPr>
                    </w:pPr>
                  </w:p>
                </w:tc>
              </w:tr>
              <w:tr>
                <w:trPr>
                  <w:cantSplit/>
                  <w:trHeight w:val="276"/>
                </w:trPr>
                <w:tc>
                  <w:tcPr>
                    <w:tcW w:w="696" w:type="dxa"/>
                    <w:vMerge w:val="restart"/>
                  </w:tcPr>
                  <w:p>
                    <w:pPr>
                      <w:jc w:val="center"/>
                      <w:rPr>
                        <w:rFonts w:eastAsia="Calibri"/>
                        <w:bCs/>
                        <w:sz w:val="22"/>
                        <w:szCs w:val="22"/>
                      </w:rPr>
                    </w:pPr>
                    <w:r>
                      <w:rPr>
                        <w:rFonts w:eastAsia="Calibri"/>
                        <w:bCs/>
                        <w:sz w:val="22"/>
                        <w:szCs w:val="22"/>
                      </w:rPr>
                      <w:t>9.</w:t>
                    </w:r>
                  </w:p>
                  <w:p>
                    <w:pPr>
                      <w:jc w:val="center"/>
                      <w:rPr>
                        <w:rFonts w:eastAsia="Calibri"/>
                        <w:bCs/>
                        <w:sz w:val="22"/>
                        <w:szCs w:val="22"/>
                      </w:rPr>
                    </w:pPr>
                  </w:p>
                </w:tc>
                <w:tc>
                  <w:tcPr>
                    <w:tcW w:w="7379" w:type="dxa"/>
                  </w:tcPr>
                  <w:p>
                    <w:pPr>
                      <w:jc w:val="both"/>
                      <w:rPr>
                        <w:rFonts w:eastAsia="Calibri"/>
                        <w:bCs/>
                        <w:sz w:val="22"/>
                        <w:szCs w:val="22"/>
                      </w:rPr>
                    </w:pPr>
                    <w:r>
                      <w:rPr>
                        <w:rFonts w:eastAsia="Calibri"/>
                        <w:bCs/>
                        <w:sz w:val="22"/>
                        <w:szCs w:val="22"/>
                      </w:rPr>
                      <w:t>Prašoma projekto finansavimo suma yra:</w:t>
                    </w:r>
                  </w:p>
                </w:tc>
                <w:tc>
                  <w:tcPr>
                    <w:tcW w:w="992" w:type="dxa"/>
                    <w:vAlign w:val="center"/>
                  </w:tcPr>
                  <w:p>
                    <w:pPr>
                      <w:jc w:val="center"/>
                      <w:rPr>
                        <w:szCs w:val="24"/>
                      </w:rPr>
                    </w:pPr>
                  </w:p>
                </w:tc>
                <w:tc>
                  <w:tcPr>
                    <w:tcW w:w="978" w:type="dxa"/>
                    <w:vAlign w:val="center"/>
                  </w:tcPr>
                  <w:p>
                    <w:pPr>
                      <w:jc w:val="center"/>
                      <w:rPr>
                        <w:szCs w:val="24"/>
                      </w:rPr>
                    </w:pPr>
                  </w:p>
                </w:tc>
              </w:tr>
              <w:tr>
                <w:trPr>
                  <w:cantSplit/>
                  <w:trHeight w:val="226"/>
                </w:trPr>
                <w:tc>
                  <w:tcPr>
                    <w:tcW w:w="696" w:type="dxa"/>
                    <w:vMerge/>
                  </w:tcPr>
                  <w:p>
                    <w:pPr>
                      <w:jc w:val="center"/>
                      <w:rPr>
                        <w:rFonts w:eastAsia="Calibri"/>
                        <w:bCs/>
                        <w:sz w:val="22"/>
                        <w:szCs w:val="22"/>
                      </w:rPr>
                    </w:pPr>
                  </w:p>
                </w:tc>
                <w:tc>
                  <w:tcPr>
                    <w:tcW w:w="7379" w:type="dxa"/>
                  </w:tcPr>
                  <w:p>
                    <w:pPr>
                      <w:jc w:val="both"/>
                      <w:rPr>
                        <w:rFonts w:eastAsia="Calibri"/>
                        <w:bCs/>
                        <w:sz w:val="22"/>
                        <w:szCs w:val="22"/>
                      </w:rPr>
                    </w:pPr>
                    <w:r>
                      <w:rPr>
                        <w:rFonts w:eastAsia="Calibri"/>
                        <w:bCs/>
                        <w:sz w:val="22"/>
                        <w:szCs w:val="22"/>
                      </w:rPr>
                      <w:t>9.1. Prevencinio projekto – nuo 30 000 Eur iki 70 000 Eur (Tvarkos aprašo 85 punktas)</w:t>
                    </w:r>
                  </w:p>
                </w:tc>
                <w:tc>
                  <w:tcPr>
                    <w:tcW w:w="992" w:type="dxa"/>
                    <w:vAlign w:val="center"/>
                  </w:tcPr>
                  <w:p>
                    <w:pPr>
                      <w:jc w:val="center"/>
                      <w:rPr>
                        <w:szCs w:val="24"/>
                      </w:rPr>
                    </w:pPr>
                  </w:p>
                </w:tc>
                <w:tc>
                  <w:tcPr>
                    <w:tcW w:w="978" w:type="dxa"/>
                    <w:vAlign w:val="center"/>
                  </w:tcPr>
                  <w:p>
                    <w:pPr>
                      <w:jc w:val="center"/>
                      <w:rPr>
                        <w:szCs w:val="24"/>
                      </w:rPr>
                    </w:pPr>
                  </w:p>
                </w:tc>
              </w:tr>
              <w:tr>
                <w:trPr>
                  <w:cantSplit/>
                  <w:trHeight w:val="216"/>
                </w:trPr>
                <w:tc>
                  <w:tcPr>
                    <w:tcW w:w="696" w:type="dxa"/>
                    <w:vMerge/>
                  </w:tcPr>
                  <w:p>
                    <w:pPr>
                      <w:jc w:val="center"/>
                      <w:rPr>
                        <w:rFonts w:eastAsia="Calibri"/>
                        <w:bCs/>
                        <w:sz w:val="22"/>
                        <w:szCs w:val="22"/>
                      </w:rPr>
                    </w:pPr>
                  </w:p>
                </w:tc>
                <w:tc>
                  <w:tcPr>
                    <w:tcW w:w="7379" w:type="dxa"/>
                  </w:tcPr>
                  <w:p>
                    <w:pPr>
                      <w:jc w:val="both"/>
                      <w:rPr>
                        <w:rFonts w:eastAsia="Calibri"/>
                        <w:bCs/>
                        <w:sz w:val="22"/>
                        <w:szCs w:val="22"/>
                      </w:rPr>
                    </w:pPr>
                    <w:r>
                      <w:rPr>
                        <w:rFonts w:eastAsia="Calibri"/>
                        <w:bCs/>
                        <w:sz w:val="22"/>
                        <w:szCs w:val="22"/>
                      </w:rPr>
                      <w:t>9.2. Socialinės reklamos projekto – nuo 30 000 Eur iki 300 000 Eur (Tvarkos aprašo 86 punktas)</w:t>
                    </w:r>
                  </w:p>
                </w:tc>
                <w:tc>
                  <w:tcPr>
                    <w:tcW w:w="992" w:type="dxa"/>
                    <w:vAlign w:val="center"/>
                  </w:tcPr>
                  <w:p>
                    <w:pPr>
                      <w:jc w:val="center"/>
                      <w:rPr>
                        <w:szCs w:val="24"/>
                      </w:rPr>
                    </w:pPr>
                  </w:p>
                </w:tc>
                <w:tc>
                  <w:tcPr>
                    <w:tcW w:w="978" w:type="dxa"/>
                    <w:vAlign w:val="center"/>
                  </w:tcPr>
                  <w:p>
                    <w:pPr>
                      <w:jc w:val="center"/>
                      <w:rPr>
                        <w:szCs w:val="24"/>
                      </w:rPr>
                    </w:pPr>
                  </w:p>
                </w:tc>
              </w:tr>
              <w:tr>
                <w:trPr>
                  <w:cantSplit/>
                  <w:trHeight w:val="216"/>
                </w:trPr>
                <w:tc>
                  <w:tcPr>
                    <w:tcW w:w="696" w:type="dxa"/>
                    <w:vMerge/>
                  </w:tcPr>
                  <w:p>
                    <w:pPr>
                      <w:jc w:val="center"/>
                      <w:rPr>
                        <w:rFonts w:eastAsia="Calibri"/>
                        <w:bCs/>
                        <w:sz w:val="22"/>
                        <w:szCs w:val="22"/>
                      </w:rPr>
                    </w:pPr>
                  </w:p>
                </w:tc>
                <w:tc>
                  <w:tcPr>
                    <w:tcW w:w="7379" w:type="dxa"/>
                  </w:tcPr>
                  <w:p>
                    <w:pPr>
                      <w:jc w:val="both"/>
                      <w:rPr>
                        <w:rFonts w:eastAsia="Calibri"/>
                        <w:bCs/>
                        <w:sz w:val="22"/>
                        <w:szCs w:val="22"/>
                      </w:rPr>
                    </w:pPr>
                    <w:r>
                      <w:rPr>
                        <w:rFonts w:eastAsia="Calibri"/>
                        <w:bCs/>
                        <w:sz w:val="22"/>
                        <w:szCs w:val="22"/>
                      </w:rPr>
                      <w:t>9.3. Mokslinių tyrimų projekto – nuo 10 000 Eur iki 50 000 Eur (Tvarkos aprašo 87 punktas)</w:t>
                    </w:r>
                  </w:p>
                </w:tc>
                <w:tc>
                  <w:tcPr>
                    <w:tcW w:w="992" w:type="dxa"/>
                    <w:vAlign w:val="center"/>
                  </w:tcPr>
                  <w:p>
                    <w:pPr>
                      <w:jc w:val="center"/>
                      <w:rPr>
                        <w:szCs w:val="24"/>
                      </w:rPr>
                    </w:pPr>
                  </w:p>
                </w:tc>
                <w:tc>
                  <w:tcPr>
                    <w:tcW w:w="978" w:type="dxa"/>
                    <w:vAlign w:val="center"/>
                  </w:tcPr>
                  <w:p>
                    <w:pPr>
                      <w:jc w:val="center"/>
                      <w:rPr>
                        <w:szCs w:val="24"/>
                      </w:rPr>
                    </w:pPr>
                  </w:p>
                </w:tc>
              </w:tr>
              <w:tr>
                <w:trPr>
                  <w:cantSplit/>
                  <w:trHeight w:val="480"/>
                </w:trPr>
                <w:tc>
                  <w:tcPr>
                    <w:tcW w:w="696" w:type="dxa"/>
                  </w:tcPr>
                  <w:p>
                    <w:pPr>
                      <w:jc w:val="center"/>
                      <w:rPr>
                        <w:rFonts w:eastAsia="Calibri"/>
                        <w:bCs/>
                        <w:sz w:val="22"/>
                        <w:szCs w:val="22"/>
                      </w:rPr>
                    </w:pPr>
                    <w:r>
                      <w:rPr>
                        <w:rFonts w:eastAsia="Calibri"/>
                        <w:bCs/>
                        <w:sz w:val="22"/>
                        <w:szCs w:val="22"/>
                      </w:rPr>
                      <w:t>10.</w:t>
                    </w:r>
                  </w:p>
                </w:tc>
                <w:tc>
                  <w:tcPr>
                    <w:tcW w:w="7379" w:type="dxa"/>
                  </w:tcPr>
                  <w:p>
                    <w:pPr>
                      <w:jc w:val="both"/>
                      <w:rPr>
                        <w:rFonts w:eastAsia="Calibri"/>
                        <w:bCs/>
                        <w:strike/>
                        <w:sz w:val="22"/>
                        <w:szCs w:val="22"/>
                      </w:rPr>
                    </w:pPr>
                    <w:r>
                      <w:rPr>
                        <w:rFonts w:eastAsia="Calibri"/>
                        <w:bCs/>
                        <w:sz w:val="22"/>
                        <w:szCs w:val="22"/>
                      </w:rPr>
                      <w:t>Pareiškėjo ir (arba) jo partnerio (-ių) indėlis į projekto veiklą piniginėmis lėšomis yra ne mažesnis nei 5 proc. nuo prašomos finansuoti sumos (Tvarkos aprašo 89 punktas)</w:t>
                    </w:r>
                  </w:p>
                </w:tc>
                <w:tc>
                  <w:tcPr>
                    <w:tcW w:w="992" w:type="dxa"/>
                    <w:vAlign w:val="center"/>
                  </w:tcPr>
                  <w:p>
                    <w:pPr>
                      <w:jc w:val="center"/>
                      <w:rPr>
                        <w:szCs w:val="24"/>
                      </w:rPr>
                    </w:pPr>
                  </w:p>
                </w:tc>
                <w:tc>
                  <w:tcPr>
                    <w:tcW w:w="978" w:type="dxa"/>
                    <w:vAlign w:val="center"/>
                  </w:tcPr>
                  <w:p>
                    <w:pPr>
                      <w:jc w:val="center"/>
                      <w:rPr>
                        <w:szCs w:val="24"/>
                      </w:rPr>
                    </w:pPr>
                  </w:p>
                </w:tc>
              </w:tr>
              <w:tr>
                <w:trPr>
                  <w:cantSplit/>
                  <w:trHeight w:val="480"/>
                </w:trPr>
                <w:tc>
                  <w:tcPr>
                    <w:tcW w:w="696" w:type="dxa"/>
                  </w:tcPr>
                  <w:p>
                    <w:pPr>
                      <w:jc w:val="center"/>
                      <w:rPr>
                        <w:rFonts w:eastAsia="Calibri"/>
                        <w:bCs/>
                        <w:sz w:val="22"/>
                        <w:szCs w:val="22"/>
                      </w:rPr>
                    </w:pPr>
                    <w:r>
                      <w:rPr>
                        <w:rFonts w:eastAsia="Calibri"/>
                        <w:bCs/>
                        <w:sz w:val="22"/>
                        <w:szCs w:val="22"/>
                      </w:rPr>
                      <w:t>11.</w:t>
                    </w:r>
                  </w:p>
                </w:tc>
                <w:tc>
                  <w:tcPr>
                    <w:tcW w:w="7379" w:type="dxa"/>
                  </w:tcPr>
                  <w:p>
                    <w:pPr>
                      <w:jc w:val="both"/>
                      <w:rPr>
                        <w:rFonts w:eastAsia="Calibri"/>
                        <w:bCs/>
                        <w:sz w:val="22"/>
                        <w:szCs w:val="22"/>
                      </w:rPr>
                    </w:pPr>
                    <w:r>
                      <w:rPr>
                        <w:rFonts w:eastAsia="Calibri"/>
                        <w:bCs/>
                        <w:sz w:val="22"/>
                        <w:szCs w:val="22"/>
                      </w:rPr>
                      <w:t>Pareiškėjas yra įvykdęs su mokesčių ir socialinio draudimo įmokų mokėjimu susijusius įsipareigojimus teisės aktų nustatyta tvarka (ši nuostata netaikoma pareiškėjui ir partneriui, kuriam teisės aktų nustatyta tvarka yra atidėti mokesčių arba socialinio draudimo įmokų mokėjimo terminai arba kuriam taikytina Tvarkos aprašo 24.2.3 papunktyje nurodyta išimtis dėl įsiskolinimo sumos – įsiskolinimų suma neviršija 50 Eur ir pareiškėjas įsipareigoja šią skolą</w:t>
                    </w:r>
                    <w:r>
                      <w:rPr>
                        <w:rFonts w:eastAsia="Calibri"/>
                        <w:sz w:val="22"/>
                        <w:szCs w:val="22"/>
                      </w:rPr>
                      <w:t xml:space="preserve"> </w:t>
                    </w:r>
                    <w:r>
                      <w:rPr>
                        <w:rFonts w:eastAsia="Calibri"/>
                        <w:bCs/>
                        <w:sz w:val="22"/>
                        <w:szCs w:val="22"/>
                      </w:rPr>
                      <w:t>panaikinti ne vėliau kaip per 1 mėnesį nuo paraiškos pateikimo dienos) (Tvarkos aprašo 18.2 papunktis)</w:t>
                    </w:r>
                  </w:p>
                </w:tc>
                <w:tc>
                  <w:tcPr>
                    <w:tcW w:w="992" w:type="dxa"/>
                    <w:vAlign w:val="center"/>
                  </w:tcPr>
                  <w:p>
                    <w:pPr>
                      <w:jc w:val="center"/>
                      <w:rPr>
                        <w:szCs w:val="24"/>
                      </w:rPr>
                    </w:pPr>
                  </w:p>
                </w:tc>
                <w:tc>
                  <w:tcPr>
                    <w:tcW w:w="978" w:type="dxa"/>
                    <w:vAlign w:val="center"/>
                  </w:tcPr>
                  <w:p>
                    <w:pPr>
                      <w:jc w:val="center"/>
                      <w:rPr>
                        <w:szCs w:val="24"/>
                      </w:rPr>
                    </w:pPr>
                  </w:p>
                </w:tc>
              </w:tr>
              <w:tr>
                <w:trPr>
                  <w:cantSplit/>
                  <w:trHeight w:val="480"/>
                </w:trPr>
                <w:tc>
                  <w:tcPr>
                    <w:tcW w:w="696" w:type="dxa"/>
                  </w:tcPr>
                  <w:p>
                    <w:pPr>
                      <w:jc w:val="center"/>
                      <w:rPr>
                        <w:rFonts w:eastAsia="Calibri"/>
                        <w:bCs/>
                        <w:color w:val="FF0000"/>
                        <w:sz w:val="22"/>
                        <w:szCs w:val="22"/>
                      </w:rPr>
                    </w:pPr>
                    <w:r>
                      <w:rPr>
                        <w:rFonts w:eastAsia="Calibri"/>
                        <w:bCs/>
                        <w:sz w:val="22"/>
                        <w:szCs w:val="22"/>
                      </w:rPr>
                      <w:t>12.</w:t>
                    </w:r>
                  </w:p>
                </w:tc>
                <w:tc>
                  <w:tcPr>
                    <w:tcW w:w="7379" w:type="dxa"/>
                  </w:tcPr>
                  <w:p>
                    <w:pPr>
                      <w:jc w:val="both"/>
                      <w:rPr>
                        <w:rFonts w:eastAsia="Calibri"/>
                        <w:bCs/>
                        <w:strike/>
                        <w:color w:val="FF0000"/>
                        <w:sz w:val="22"/>
                        <w:szCs w:val="22"/>
                        <w:highlight w:val="yellow"/>
                      </w:rPr>
                    </w:pPr>
                    <w:r>
                      <w:rPr>
                        <w:rFonts w:eastAsia="Calibri"/>
                        <w:sz w:val="22"/>
                        <w:szCs w:val="22"/>
                        <w:lang w:eastAsia="lt-LT"/>
                      </w:rPr>
                      <w:t>Pareiškėjas ir partneriai yra laiku pateikę finansinių ataskaitų rinkinį ir veiklos ataskaitą Juridinių asmenų registro tvarkytojui (</w:t>
                    </w:r>
                    <w:r>
                      <w:rPr>
                        <w:rFonts w:eastAsia="Calibri"/>
                        <w:bCs/>
                        <w:sz w:val="22"/>
                        <w:szCs w:val="22"/>
                      </w:rPr>
                      <w:t>Tvarkos aprašo 18.5 papunktis)</w:t>
                    </w:r>
                  </w:p>
                </w:tc>
                <w:tc>
                  <w:tcPr>
                    <w:tcW w:w="992" w:type="dxa"/>
                    <w:vAlign w:val="center"/>
                  </w:tcPr>
                  <w:p>
                    <w:pPr>
                      <w:jc w:val="center"/>
                      <w:rPr>
                        <w:szCs w:val="24"/>
                      </w:rPr>
                    </w:pPr>
                  </w:p>
                </w:tc>
                <w:tc>
                  <w:tcPr>
                    <w:tcW w:w="978" w:type="dxa"/>
                    <w:vAlign w:val="center"/>
                  </w:tcPr>
                  <w:p>
                    <w:pPr>
                      <w:jc w:val="center"/>
                      <w:rPr>
                        <w:szCs w:val="24"/>
                      </w:rPr>
                    </w:pPr>
                  </w:p>
                </w:tc>
              </w:tr>
            </w:tbl>
            <w:p>
              <w:pPr>
                <w:jc w:val="both"/>
                <w:rPr>
                  <w:szCs w:val="24"/>
                </w:rPr>
              </w:pPr>
            </w:p>
            <w:p>
              <w:pPr>
                <w:jc w:val="both"/>
                <w:rPr>
                  <w:szCs w:val="24"/>
                </w:rPr>
              </w:pPr>
            </w:p>
            <w:p>
              <w:pPr>
                <w:jc w:val="both"/>
                <w:rPr>
                  <w:i/>
                  <w:szCs w:val="24"/>
                </w:rPr>
              </w:pPr>
            </w:p>
          </w:sdtContent>
        </w:sdt>
        <w:sdt>
          <w:sdtPr>
            <w:alias w:val="pastraipa"/>
            <w:tag w:val="part_c592082650d44415859f4fc7ae6b77a5"/>
            <w:lock w:val="sdtLocked"/>
            <w:richText/>
          </w:sdtPr>
          <w:sdtContent>
            <w:p>
              <w:pPr>
                <w:rPr>
                  <w:szCs w:val="24"/>
                </w:rPr>
              </w:pPr>
              <w:r>
                <w:rPr>
                  <w:b/>
                  <w:szCs w:val="24"/>
                </w:rPr>
                <w:t>Išvada:</w:t>
              </w:r>
              <w:r>
                <w:rPr>
                  <w:szCs w:val="24"/>
                </w:rPr>
                <w:t xml:space="preserve"> Paraiška atitinka / neatitinka administracinės atitikties vertinimo reikalavimus (-ų).</w:t>
              </w:r>
            </w:p>
          </w:sdtContent>
        </w:sdt>
        <w:sdt>
          <w:sdtPr>
            <w:alias w:val="pastraipa"/>
            <w:tag w:val="part_ebea420dc6e74c1cbd037fbe1fcf40cb"/>
            <w:lock w:val="sdtLocked"/>
            <w:richText/>
          </w:sdtPr>
          <w:sdtContent>
            <w:p>
              <w:pPr>
                <w:ind w:firstLine="2793"/>
                <w:rPr>
                  <w:i/>
                  <w:sz w:val="22"/>
                  <w:szCs w:val="24"/>
                </w:rPr>
              </w:pPr>
              <w:r>
                <w:rPr>
                  <w:i/>
                  <w:sz w:val="22"/>
                  <w:szCs w:val="24"/>
                </w:rPr>
                <w:t>(</w:t>
              </w:r>
              <w:r>
                <w:rPr>
                  <w:rFonts w:eastAsia="Calibri"/>
                  <w:i/>
                  <w:sz w:val="22"/>
                  <w:szCs w:val="24"/>
                </w:rPr>
                <w:t>kas nereikalinga, išbraukti)</w:t>
              </w:r>
            </w:p>
            <w:p>
              <w:pPr>
                <w:rPr>
                  <w:sz w:val="22"/>
                  <w:szCs w:val="24"/>
                </w:rPr>
              </w:pPr>
            </w:p>
            <w:p>
              <w:pPr>
                <w:rPr>
                  <w:sz w:val="22"/>
                  <w:szCs w:val="24"/>
                </w:rPr>
              </w:pPr>
            </w:p>
          </w:sdtContent>
        </w:sdt>
        <w:sdt>
          <w:sdtPr>
            <w:alias w:val="pastraipa"/>
            <w:tag w:val="part_d5b64b5db2474e51b664adc3b9e2c98b"/>
            <w:lock w:val="sdtLocked"/>
            <w:richText/>
          </w:sdtPr>
          <w:sdtContent>
            <w:p>
              <w:pPr>
                <w:rPr>
                  <w:sz w:val="22"/>
                  <w:szCs w:val="24"/>
                </w:rPr>
              </w:pPr>
              <w:r>
                <w:rPr>
                  <w:sz w:val="22"/>
                  <w:szCs w:val="24"/>
                </w:rPr>
                <w:t>Paraišką vertino:</w:t>
              </w:r>
            </w:p>
          </w:sdtContent>
        </w:sdt>
        <w:sdt>
          <w:sdtPr>
            <w:alias w:val="lentele"/>
            <w:tag w:val="part_ebd5db00416640a691622152a9de0b4b"/>
            <w:lock w:val="sdtLocked"/>
            <w:richText/>
          </w:sdtPr>
          <w:sdtContent>
            <w:tbl>
              <w:tblPr>
                <w:tblW w:w="0" w:type="auto"/>
                <w:tblLook w:val="04A0" w:firstRow="1" w:lastRow="0" w:firstColumn="1" w:lastColumn="0" w:noHBand="0" w:noVBand="1"/>
              </w:tblPr>
              <w:tblGrid>
                <w:gridCol w:w="2518"/>
                <w:gridCol w:w="284"/>
                <w:gridCol w:w="2409"/>
                <w:gridCol w:w="284"/>
                <w:gridCol w:w="2126"/>
                <w:gridCol w:w="284"/>
                <w:gridCol w:w="1559"/>
              </w:tblGrid>
              <w:tr>
                <w:tc>
                  <w:tcPr>
                    <w:tcW w:w="2518" w:type="dxa"/>
                    <w:tcBorders>
                      <w:bottom w:val="single" w:sz="4" w:space="0" w:color="auto"/>
                    </w:tcBorders>
                    <w:shd w:val="clear" w:color="auto" w:fill="auto"/>
                  </w:tcPr>
                  <w:p>
                    <w:pPr>
                      <w:jc w:val="center"/>
                      <w:rPr>
                        <w:rFonts w:eastAsia="Calibri"/>
                        <w:szCs w:val="24"/>
                        <w:lang w:val="en-GB"/>
                      </w:rPr>
                    </w:pPr>
                  </w:p>
                </w:tc>
                <w:tc>
                  <w:tcPr>
                    <w:tcW w:w="284" w:type="dxa"/>
                    <w:shd w:val="clear" w:color="auto" w:fill="auto"/>
                  </w:tcPr>
                  <w:p>
                    <w:pPr>
                      <w:jc w:val="center"/>
                      <w:rPr>
                        <w:rFonts w:eastAsia="Calibri"/>
                        <w:szCs w:val="24"/>
                        <w:lang w:val="en-GB"/>
                      </w:rPr>
                    </w:pPr>
                  </w:p>
                </w:tc>
                <w:tc>
                  <w:tcPr>
                    <w:tcW w:w="2409" w:type="dxa"/>
                    <w:tcBorders>
                      <w:bottom w:val="single" w:sz="4" w:space="0" w:color="auto"/>
                    </w:tcBorders>
                    <w:shd w:val="clear" w:color="auto" w:fill="auto"/>
                    <w:vAlign w:val="bottom"/>
                  </w:tcPr>
                  <w:p>
                    <w:pPr>
                      <w:jc w:val="center"/>
                      <w:rPr>
                        <w:rFonts w:eastAsia="Calibri"/>
                        <w:szCs w:val="24"/>
                        <w:lang w:val="en-GB"/>
                      </w:rPr>
                    </w:pPr>
                  </w:p>
                </w:tc>
                <w:tc>
                  <w:tcPr>
                    <w:tcW w:w="284" w:type="dxa"/>
                    <w:shd w:val="clear" w:color="auto" w:fill="auto"/>
                    <w:vAlign w:val="bottom"/>
                  </w:tcPr>
                  <w:p>
                    <w:pPr>
                      <w:jc w:val="center"/>
                      <w:rPr>
                        <w:rFonts w:eastAsia="Calibri"/>
                        <w:szCs w:val="24"/>
                        <w:lang w:val="en-GB"/>
                      </w:rPr>
                    </w:pPr>
                  </w:p>
                </w:tc>
                <w:tc>
                  <w:tcPr>
                    <w:tcW w:w="2126" w:type="dxa"/>
                    <w:tcBorders>
                      <w:bottom w:val="single" w:sz="4" w:space="0" w:color="auto"/>
                    </w:tcBorders>
                    <w:shd w:val="clear" w:color="auto" w:fill="auto"/>
                    <w:vAlign w:val="bottom"/>
                  </w:tcPr>
                  <w:p>
                    <w:pPr>
                      <w:jc w:val="center"/>
                      <w:rPr>
                        <w:rFonts w:eastAsia="Calibri"/>
                        <w:szCs w:val="24"/>
                        <w:lang w:val="en-GB"/>
                      </w:rPr>
                    </w:pPr>
                  </w:p>
                </w:tc>
                <w:tc>
                  <w:tcPr>
                    <w:tcW w:w="284" w:type="dxa"/>
                    <w:shd w:val="clear" w:color="auto" w:fill="auto"/>
                    <w:vAlign w:val="bottom"/>
                  </w:tcPr>
                  <w:p>
                    <w:pPr>
                      <w:jc w:val="center"/>
                      <w:rPr>
                        <w:rFonts w:eastAsia="Calibri"/>
                        <w:szCs w:val="24"/>
                        <w:lang w:val="en-GB"/>
                      </w:rPr>
                    </w:pPr>
                  </w:p>
                </w:tc>
                <w:tc>
                  <w:tcPr>
                    <w:tcW w:w="1559" w:type="dxa"/>
                    <w:tcBorders>
                      <w:bottom w:val="single" w:sz="4" w:space="0" w:color="auto"/>
                    </w:tcBorders>
                    <w:shd w:val="clear" w:color="auto" w:fill="auto"/>
                    <w:vAlign w:val="bottom"/>
                  </w:tcPr>
                  <w:p>
                    <w:pPr>
                      <w:jc w:val="center"/>
                      <w:rPr>
                        <w:rFonts w:eastAsia="Calibri"/>
                        <w:szCs w:val="24"/>
                        <w:lang w:val="en-GB"/>
                      </w:rPr>
                    </w:pPr>
                  </w:p>
                </w:tc>
              </w:tr>
              <w:tr>
                <w:tc>
                  <w:tcPr>
                    <w:tcW w:w="2518" w:type="dxa"/>
                    <w:tcBorders>
                      <w:top w:val="single" w:sz="4" w:space="0" w:color="auto"/>
                    </w:tcBorders>
                    <w:shd w:val="clear" w:color="auto" w:fill="auto"/>
                  </w:tcPr>
                  <w:p>
                    <w:pPr>
                      <w:spacing w:line="276" w:lineRule="auto"/>
                      <w:jc w:val="center"/>
                      <w:rPr>
                        <w:rFonts w:eastAsia="Calibri"/>
                        <w:sz w:val="22"/>
                        <w:szCs w:val="24"/>
                        <w:lang w:val="en-GB"/>
                      </w:rPr>
                    </w:pPr>
                    <w:r>
                      <w:rPr>
                        <w:rFonts w:eastAsia="Calibri"/>
                        <w:sz w:val="22"/>
                        <w:szCs w:val="24"/>
                      </w:rPr>
                      <w:t>(pareigos)</w:t>
                    </w:r>
                  </w:p>
                </w:tc>
                <w:tc>
                  <w:tcPr>
                    <w:tcW w:w="284" w:type="dxa"/>
                    <w:shd w:val="clear" w:color="auto" w:fill="auto"/>
                  </w:tcPr>
                  <w:p>
                    <w:pPr>
                      <w:spacing w:line="276" w:lineRule="auto"/>
                      <w:jc w:val="center"/>
                      <w:rPr>
                        <w:rFonts w:eastAsia="Calibri"/>
                        <w:sz w:val="22"/>
                        <w:szCs w:val="24"/>
                        <w:lang w:val="en-GB"/>
                      </w:rPr>
                    </w:pPr>
                  </w:p>
                </w:tc>
                <w:tc>
                  <w:tcPr>
                    <w:tcW w:w="2409" w:type="dxa"/>
                    <w:tcBorders>
                      <w:top w:val="single" w:sz="4" w:space="0" w:color="auto"/>
                    </w:tcBorders>
                    <w:shd w:val="clear" w:color="auto" w:fill="auto"/>
                  </w:tcPr>
                  <w:p>
                    <w:pPr>
                      <w:spacing w:line="276" w:lineRule="auto"/>
                      <w:jc w:val="center"/>
                      <w:rPr>
                        <w:rFonts w:eastAsia="Calibri"/>
                        <w:sz w:val="22"/>
                        <w:szCs w:val="24"/>
                        <w:lang w:val="en-GB"/>
                      </w:rPr>
                    </w:pPr>
                    <w:r>
                      <w:rPr>
                        <w:rFonts w:eastAsia="Calibri"/>
                        <w:sz w:val="22"/>
                        <w:szCs w:val="24"/>
                      </w:rPr>
                      <w:t>(vardas, pavardė)</w:t>
                    </w:r>
                  </w:p>
                </w:tc>
                <w:tc>
                  <w:tcPr>
                    <w:tcW w:w="284" w:type="dxa"/>
                    <w:shd w:val="clear" w:color="auto" w:fill="auto"/>
                  </w:tcPr>
                  <w:p>
                    <w:pPr>
                      <w:spacing w:line="276" w:lineRule="auto"/>
                      <w:jc w:val="center"/>
                      <w:rPr>
                        <w:rFonts w:eastAsia="Calibri"/>
                        <w:sz w:val="22"/>
                        <w:szCs w:val="24"/>
                        <w:lang w:val="en-GB"/>
                      </w:rPr>
                    </w:pPr>
                  </w:p>
                </w:tc>
                <w:tc>
                  <w:tcPr>
                    <w:tcW w:w="2126" w:type="dxa"/>
                    <w:tcBorders>
                      <w:top w:val="single" w:sz="4" w:space="0" w:color="auto"/>
                    </w:tcBorders>
                    <w:shd w:val="clear" w:color="auto" w:fill="auto"/>
                  </w:tcPr>
                  <w:p>
                    <w:pPr>
                      <w:spacing w:line="276" w:lineRule="auto"/>
                      <w:jc w:val="center"/>
                      <w:rPr>
                        <w:rFonts w:eastAsia="Calibri"/>
                        <w:sz w:val="22"/>
                        <w:szCs w:val="24"/>
                        <w:lang w:val="en-GB"/>
                      </w:rPr>
                    </w:pPr>
                    <w:r>
                      <w:rPr>
                        <w:rFonts w:eastAsia="Calibri"/>
                        <w:sz w:val="22"/>
                        <w:szCs w:val="24"/>
                      </w:rPr>
                      <w:t>(parašas)</w:t>
                    </w:r>
                  </w:p>
                </w:tc>
                <w:tc>
                  <w:tcPr>
                    <w:tcW w:w="284" w:type="dxa"/>
                    <w:shd w:val="clear" w:color="auto" w:fill="auto"/>
                  </w:tcPr>
                  <w:p>
                    <w:pPr>
                      <w:spacing w:line="276" w:lineRule="auto"/>
                      <w:jc w:val="center"/>
                      <w:rPr>
                        <w:rFonts w:eastAsia="Calibri"/>
                        <w:sz w:val="22"/>
                        <w:szCs w:val="24"/>
                        <w:lang w:val="en-GB"/>
                      </w:rPr>
                    </w:pPr>
                  </w:p>
                </w:tc>
                <w:tc>
                  <w:tcPr>
                    <w:tcW w:w="1559" w:type="dxa"/>
                    <w:tcBorders>
                      <w:top w:val="single" w:sz="4" w:space="0" w:color="auto"/>
                    </w:tcBorders>
                    <w:shd w:val="clear" w:color="auto" w:fill="auto"/>
                  </w:tcPr>
                  <w:p>
                    <w:pPr>
                      <w:spacing w:line="276" w:lineRule="auto"/>
                      <w:jc w:val="center"/>
                      <w:rPr>
                        <w:rFonts w:eastAsia="Calibri"/>
                        <w:sz w:val="22"/>
                        <w:szCs w:val="24"/>
                        <w:lang w:val="en-GB"/>
                      </w:rPr>
                    </w:pPr>
                    <w:r>
                      <w:rPr>
                        <w:rFonts w:eastAsia="Calibri"/>
                        <w:sz w:val="22"/>
                        <w:szCs w:val="24"/>
                      </w:rPr>
                      <w:t>(data)</w:t>
                    </w:r>
                  </w:p>
                </w:tc>
              </w:tr>
            </w:tbl>
            <w:p>
              <w:pPr>
                <w:rPr>
                  <w:rFonts w:ascii="Calibri" w:eastAsia="Calibri" w:hAnsi="Calibri"/>
                  <w:sz w:val="22"/>
                  <w:szCs w:val="22"/>
                </w:rPr>
              </w:pPr>
            </w:p>
          </w:sdtContent>
        </w:sdt>
        <w:sdt>
          <w:sdtPr>
            <w:alias w:val="pabaiga"/>
            <w:tag w:val="part_573253ed94a54b8581668082bf614e58"/>
            <w:lock w:val="sdtLocked"/>
            <w:richText/>
          </w:sdtPr>
          <w:sdtContent>
            <w:p>
              <w:pPr>
                <w:spacing w:line="276" w:lineRule="auto"/>
                <w:jc w:val="center"/>
                <w:rPr>
                  <w:rFonts w:ascii="Calibri" w:eastAsia="Calibri" w:hAnsi="Calibri"/>
                  <w:sz w:val="22"/>
                  <w:szCs w:val="22"/>
                </w:rPr>
              </w:pPr>
              <w:r>
                <w:rPr>
                  <w:rFonts w:ascii="Calibri" w:eastAsia="Calibri" w:hAnsi="Calibri"/>
                  <w:sz w:val="22"/>
                  <w:szCs w:val="22"/>
                </w:rPr>
                <w:t>___________________</w:t>
              </w:r>
            </w:p>
            <w:p>
              <w:pPr>
                <w:rPr>
                  <w:sz w:val="18"/>
                  <w:szCs w:val="18"/>
                </w:rPr>
              </w:pPr>
            </w:p>
            <w:p>
              <w:pPr>
                <w:tabs>
                  <w:tab w:val="left" w:pos="2460"/>
                </w:tabs>
                <w:spacing w:line="276" w:lineRule="auto"/>
                <w:ind w:firstLine="2460"/>
                <w:rPr>
                  <w:rFonts w:ascii="Calibri" w:eastAsia="Calibri" w:hAnsi="Calibri"/>
                  <w:sz w:val="22"/>
                  <w:szCs w:val="22"/>
                </w:rPr>
              </w:pPr>
            </w:p>
            <w:p>
              <w:pPr>
                <w:rPr>
                  <w:sz w:val="18"/>
                  <w:szCs w:val="18"/>
                </w:rPr>
              </w:pPr>
            </w:p>
            <w:p>
              <w:pPr>
                <w:tabs>
                  <w:tab w:val="left" w:pos="2460"/>
                </w:tabs>
                <w:spacing w:line="276" w:lineRule="auto"/>
                <w:rPr>
                  <w:rFonts w:ascii="Calibri" w:eastAsia="Calibri" w:hAnsi="Calibri"/>
                  <w:sz w:val="22"/>
                  <w:szCs w:val="22"/>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267" w:right="1134" w:bottom="426" w:left="1134" w:header="567" w:footer="352" w:gutter="0"/>
      <w:pgNumType w:start="1"/>
      <w:cols w:space="1296"/>
      <w:titlePg/>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ind w:right="-567"/>
      <w:rPr>
        <w:rFonts w:ascii="Arial" w:hAnsi="Arial"/>
        <w:sz w:val="16"/>
        <w:lang w:val="en-GB"/>
      </w:rPr>
    </w:pPr>
    <w:r>
      <w:rPr>
        <w:rFonts w:ascii="Arial" w:hAnsi="Arial"/>
        <w:sz w:val="16"/>
        <w:lang w:val="en-GB"/>
      </w:rPr>
      <w:fldChar w:fldCharType="begin"/>
    </w:r>
    <w:r>
      <w:rPr>
        <w:rFonts w:ascii="Arial" w:hAnsi="Arial"/>
        <w:sz w:val="16"/>
        <w:lang w:val="en-GB"/>
      </w:rPr>
      <w:instrText xml:space="preserve">PAGE  </w:instrText>
    </w:r>
    <w:r>
      <w:rPr>
        <w:rFonts w:ascii="Arial" w:hAnsi="Arial"/>
        <w:sz w:val="16"/>
        <w:lang w:val="en-GB"/>
      </w:rPr>
      <w:fldChar w:fldCharType="end"/>
    </w:r>
  </w:p>
  <w:p>
    <w:pPr>
      <w:ind w:right="-567"/>
      <w:rPr>
        <w:rFonts w:ascii="Arial" w:hAnsi="Arial"/>
        <w:sz w:val="16"/>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240"/>
      <w:jc w:val="both"/>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spacing w:after="240"/>
      <w:jc w:val="both"/>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240"/>
      <w:jc w:val="center"/>
    </w:pPr>
    <w:r>
      <w:rPr>
        <w:lang w:val="en-GB"/>
      </w:rPr>
      <w:fldChar w:fldCharType="begin"/>
    </w:r>
    <w:r>
      <w:rPr>
        <w:lang w:val="en-GB"/>
      </w:rPr>
      <w:instrText xml:space="preserve"> PAGE   \* MERGEFORMAT </w:instrText>
    </w:r>
    <w:r>
      <w:rPr>
        <w:lang w:val="en-GB"/>
      </w:rPr>
      <w:fldChar w:fldCharType="separate"/>
    </w:r>
    <w:r>
      <w:rPr>
        <w:lang w:val="en-GB"/>
      </w:rPr>
      <w:t>2</w:t>
    </w:r>
    <w:r>
      <w:rPr>
        <w:lang w:val="en-GB"/>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240"/>
      <w:jc w:val="both"/>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4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937F29CB-6C99-4675-B11D-41F6C36F6FE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7867899">
      <w:bodyDiv w:val="1"/>
      <w:marLeft w:val="0"/>
      <w:marRight w:val="0"/>
      <w:marTop w:val="0"/>
      <w:marBottom w:val="0"/>
      <w:divBdr>
        <w:top w:val="none" w:sz="0" w:space="0" w:color="auto"/>
        <w:left w:val="none" w:sz="0" w:space="0" w:color="auto"/>
        <w:bottom w:val="none" w:sz="0" w:space="0" w:color="auto"/>
        <w:right w:val="none" w:sz="0" w:space="0" w:color="auto"/>
      </w:divBdr>
    </w:div>
    <w:div w:id="205144618">
      <w:bodyDiv w:val="1"/>
      <w:marLeft w:val="0"/>
      <w:marRight w:val="0"/>
      <w:marTop w:val="0"/>
      <w:marBottom w:val="0"/>
      <w:divBdr>
        <w:top w:val="none" w:sz="0" w:space="0" w:color="auto"/>
        <w:left w:val="none" w:sz="0" w:space="0" w:color="auto"/>
        <w:bottom w:val="none" w:sz="0" w:space="0" w:color="auto"/>
        <w:right w:val="none" w:sz="0" w:space="0" w:color="auto"/>
      </w:divBdr>
    </w:div>
    <w:div w:id="267010762">
      <w:bodyDiv w:val="1"/>
      <w:marLeft w:val="0"/>
      <w:marRight w:val="0"/>
      <w:marTop w:val="0"/>
      <w:marBottom w:val="0"/>
      <w:divBdr>
        <w:top w:val="none" w:sz="0" w:space="0" w:color="auto"/>
        <w:left w:val="none" w:sz="0" w:space="0" w:color="auto"/>
        <w:bottom w:val="none" w:sz="0" w:space="0" w:color="auto"/>
        <w:right w:val="none" w:sz="0" w:space="0" w:color="auto"/>
      </w:divBdr>
    </w:div>
    <w:div w:id="463037538">
      <w:bodyDiv w:val="1"/>
      <w:marLeft w:val="0"/>
      <w:marRight w:val="0"/>
      <w:marTop w:val="0"/>
      <w:marBottom w:val="0"/>
      <w:divBdr>
        <w:top w:val="none" w:sz="0" w:space="0" w:color="auto"/>
        <w:left w:val="none" w:sz="0" w:space="0" w:color="auto"/>
        <w:bottom w:val="none" w:sz="0" w:space="0" w:color="auto"/>
        <w:right w:val="none" w:sz="0" w:space="0" w:color="auto"/>
      </w:divBdr>
    </w:div>
    <w:div w:id="757215168">
      <w:bodyDiv w:val="1"/>
      <w:marLeft w:val="0"/>
      <w:marRight w:val="0"/>
      <w:marTop w:val="0"/>
      <w:marBottom w:val="0"/>
      <w:divBdr>
        <w:top w:val="none" w:sz="0" w:space="0" w:color="auto"/>
        <w:left w:val="none" w:sz="0" w:space="0" w:color="auto"/>
        <w:bottom w:val="none" w:sz="0" w:space="0" w:color="auto"/>
        <w:right w:val="none" w:sz="0" w:space="0" w:color="auto"/>
      </w:divBdr>
    </w:div>
    <w:div w:id="827744824">
      <w:bodyDiv w:val="1"/>
      <w:marLeft w:val="0"/>
      <w:marRight w:val="0"/>
      <w:marTop w:val="0"/>
      <w:marBottom w:val="0"/>
      <w:divBdr>
        <w:top w:val="none" w:sz="0" w:space="0" w:color="auto"/>
        <w:left w:val="none" w:sz="0" w:space="0" w:color="auto"/>
        <w:bottom w:val="none" w:sz="0" w:space="0" w:color="auto"/>
        <w:right w:val="none" w:sz="0" w:space="0" w:color="auto"/>
      </w:divBdr>
    </w:div>
    <w:div w:id="911425256">
      <w:bodyDiv w:val="1"/>
      <w:marLeft w:val="0"/>
      <w:marRight w:val="0"/>
      <w:marTop w:val="0"/>
      <w:marBottom w:val="0"/>
      <w:divBdr>
        <w:top w:val="none" w:sz="0" w:space="0" w:color="auto"/>
        <w:left w:val="none" w:sz="0" w:space="0" w:color="auto"/>
        <w:bottom w:val="none" w:sz="0" w:space="0" w:color="auto"/>
        <w:right w:val="none" w:sz="0" w:space="0" w:color="auto"/>
      </w:divBdr>
    </w:div>
    <w:div w:id="1031607567">
      <w:bodyDiv w:val="1"/>
      <w:marLeft w:val="0"/>
      <w:marRight w:val="0"/>
      <w:marTop w:val="0"/>
      <w:marBottom w:val="0"/>
      <w:divBdr>
        <w:top w:val="none" w:sz="0" w:space="0" w:color="auto"/>
        <w:left w:val="none" w:sz="0" w:space="0" w:color="auto"/>
        <w:bottom w:val="none" w:sz="0" w:space="0" w:color="auto"/>
        <w:right w:val="none" w:sz="0" w:space="0" w:color="auto"/>
      </w:divBdr>
    </w:div>
    <w:div w:id="1236015525">
      <w:bodyDiv w:val="1"/>
      <w:marLeft w:val="208"/>
      <w:marRight w:val="208"/>
      <w:marTop w:val="0"/>
      <w:marBottom w:val="0"/>
      <w:divBdr>
        <w:top w:val="none" w:sz="0" w:space="0" w:color="auto"/>
        <w:left w:val="none" w:sz="0" w:space="0" w:color="auto"/>
        <w:bottom w:val="none" w:sz="0" w:space="0" w:color="auto"/>
        <w:right w:val="none" w:sz="0" w:space="0" w:color="auto"/>
      </w:divBdr>
      <w:divsChild>
        <w:div w:id="1520466694">
          <w:marLeft w:val="0"/>
          <w:marRight w:val="0"/>
          <w:marTop w:val="0"/>
          <w:marBottom w:val="0"/>
          <w:divBdr>
            <w:top w:val="none" w:sz="0" w:space="0" w:color="auto"/>
            <w:left w:val="none" w:sz="0" w:space="0" w:color="auto"/>
            <w:bottom w:val="none" w:sz="0" w:space="0" w:color="auto"/>
            <w:right w:val="none" w:sz="0" w:space="0" w:color="auto"/>
          </w:divBdr>
        </w:div>
      </w:divsChild>
    </w:div>
    <w:div w:id="1400208417">
      <w:bodyDiv w:val="1"/>
      <w:marLeft w:val="0"/>
      <w:marRight w:val="0"/>
      <w:marTop w:val="0"/>
      <w:marBottom w:val="0"/>
      <w:divBdr>
        <w:top w:val="none" w:sz="0" w:space="0" w:color="auto"/>
        <w:left w:val="none" w:sz="0" w:space="0" w:color="auto"/>
        <w:bottom w:val="none" w:sz="0" w:space="0" w:color="auto"/>
        <w:right w:val="none" w:sz="0" w:space="0" w:color="auto"/>
      </w:divBdr>
    </w:div>
    <w:div w:id="1705475220">
      <w:bodyDiv w:val="1"/>
      <w:marLeft w:val="0"/>
      <w:marRight w:val="0"/>
      <w:marTop w:val="0"/>
      <w:marBottom w:val="0"/>
      <w:divBdr>
        <w:top w:val="none" w:sz="0" w:space="0" w:color="auto"/>
        <w:left w:val="none" w:sz="0" w:space="0" w:color="auto"/>
        <w:bottom w:val="none" w:sz="0" w:space="0" w:color="auto"/>
        <w:right w:val="none" w:sz="0" w:space="0" w:color="auto"/>
      </w:divBdr>
    </w:div>
    <w:div w:id="1878197240">
      <w:bodyDiv w:val="1"/>
      <w:marLeft w:val="0"/>
      <w:marRight w:val="0"/>
      <w:marTop w:val="0"/>
      <w:marBottom w:val="0"/>
      <w:divBdr>
        <w:top w:val="none" w:sz="0" w:space="0" w:color="auto"/>
        <w:left w:val="none" w:sz="0" w:space="0" w:color="auto"/>
        <w:bottom w:val="none" w:sz="0" w:space="0" w:color="auto"/>
        <w:right w:val="none" w:sz="0" w:space="0" w:color="auto"/>
      </w:divBdr>
    </w:div>
    <w:div w:id="1954903664">
      <w:bodyDiv w:val="1"/>
      <w:marLeft w:val="0"/>
      <w:marRight w:val="0"/>
      <w:marTop w:val="0"/>
      <w:marBottom w:val="0"/>
      <w:divBdr>
        <w:top w:val="none" w:sz="0" w:space="0" w:color="auto"/>
        <w:left w:val="none" w:sz="0" w:space="0" w:color="auto"/>
        <w:bottom w:val="none" w:sz="0" w:space="0" w:color="auto"/>
        <w:right w:val="none" w:sz="0" w:space="0" w:color="auto"/>
      </w:divBdr>
    </w:div>
    <w:div w:id="2107383018">
      <w:bodyDiv w:val="1"/>
      <w:marLeft w:val="0"/>
      <w:marRight w:val="0"/>
      <w:marTop w:val="0"/>
      <w:marBottom w:val="0"/>
      <w:divBdr>
        <w:top w:val="none" w:sz="0" w:space="0" w:color="auto"/>
        <w:left w:val="none" w:sz="0" w:space="0" w:color="auto"/>
        <w:bottom w:val="none" w:sz="0" w:space="0" w:color="auto"/>
        <w:right w:val="none" w:sz="0" w:space="0" w:color="auto"/>
      </w:divBdr>
    </w:div>
    <w:div w:id="213479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riedas" Nr="4" Abbr="4 pr." Title="(Valstybinio visuomenės sveikatos stiprinimo fondo lėšomis finansuojamo projekto paraiškos administracinės atitikties vertinimo forma)" DocPartId="33f68b16de954349909d7ec837e119a4" PartId="48bedcdc77cd42148aa79d4e014eef81">
    <Part Type="lentele" Title="VALSTYBINIO VISUOMENĖS SVEIKATOS STIPRINIMO FONDO LĖŠOMIS FINANSUOJAMO PROJEKTO PARAIŠKOS ADMINISTRACINĖS ATITIKTIES VERTINIMO KLAUSIMYNAS" DocPartId="a50dbbc4275a4ba685507dbd4cae21e9" PartId="111c5e465d0043a18c3f7622309a9a7b"/>
    <Part Type="pastraipa" DocPartId="c9d17e628b0244ca9763e4fd486fd558" PartId="9798e826be00440e9cec7ea44f883cd9"/>
    <Part Type="lentele" DocPartId="4c85194a1e564ba89f1157c4592312b8" PartId="ec1ec00c9f2f45a794f8d63d729bb297"/>
    <Part Type="pastraipa" DocPartId="37dd6240c4964146852a865bb3afc017" PartId="c592082650d44415859f4fc7ae6b77a5"/>
    <Part Type="pastraipa" DocPartId="fb8b1427a50a44a684da1d34b10b7f24" PartId="ebea420dc6e74c1cbd037fbe1fcf40cb"/>
    <Part Type="pastraipa" DocPartId="d16edb18c85f4da58dae2d41b764c98e" PartId="d5b64b5db2474e51b664adc3b9e2c98b"/>
    <Part Type="lentele" DocPartId="ee36bf330a364f0c9cb7f2c140e2efd0" PartId="ebd5db00416640a691622152a9de0b4b"/>
    <Part Type="pabaiga" DocPartId="103e4d030f7c40d09d930bf72b1aac9d" PartId="573253ed94a54b8581668082bf614e58"/>
  </Part>
</Parts>
</file>

<file path=customXml/itemProps1.xml><?xml version="1.0" encoding="utf-8"?>
<ds:datastoreItem xmlns:ds="http://schemas.openxmlformats.org/officeDocument/2006/customXml" ds:itemID="{1E6D1A70-28FA-4288-A5E6-A4368EED0703}">
  <ds:schemaRefs>
    <ds:schemaRef ds:uri="http://schemas.openxmlformats.org/officeDocument/2006/bibliography"/>
  </ds:schemaRefs>
</ds:datastoreItem>
</file>

<file path=customXml/itemProps2.xml><?xml version="1.0" encoding="utf-8"?>
<ds:datastoreItem xmlns:ds="http://schemas.openxmlformats.org/officeDocument/2006/customXml" ds:itemID="{8A3FBEF2-BB30-40A4-9A60-FA129D4214A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642</Words>
  <Characters>4581</Characters>
  <Application>Microsoft Office Word</Application>
  <DocSecurity>4</DocSecurity>
  <Lines>199</Lines>
  <Paragraphs>70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5153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2022-03-24T13:30:00Z</dcterms:created>
  <dc:creator>Svecias</dc:creator>
  <lastModifiedBy>adlibuser</lastModifiedBy>
  <lastPrinted>2017-04-04T05:33:00Z</lastPrinted>
  <dcterms:modified xsi:type="dcterms:W3CDTF">2022-03-24T13:30:00Z</dcterms:modified>
  <revision>2</revision>
</coreProperties>
</file>