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41bbd14b86492dba40bc3aa7048082"/>
        <w:lock w:val="sdtLocked"/>
        <w:richText/>
      </w:sdtPr>
      <w:sdtContent>
        <w:p>
          <w:pPr>
            <w:tabs>
              <w:tab w:val="center" w:pos="4819"/>
              <w:tab w:val="right" w:pos="9638"/>
            </w:tabs>
          </w:pPr>
        </w:p>
      </w:sdtContent>
    </w:sdt>
    <w:sdt>
      <w:sdtPr>
        <w:alias w:val="patvirtinta"/>
        <w:tag w:val="part_c06751728f974bd3a03068cf1f417d30"/>
        <w:lock w:val="sdtLocked"/>
        <w:richText/>
      </w:sdtPr>
      <w:sdtContent>
        <w:p>
          <w:pPr>
            <w:ind w:left="5103"/>
            <w:rPr>
              <w:szCs w:val="24"/>
              <w:lang w:eastAsia="lt-LT"/>
            </w:rPr>
          </w:pPr>
          <w:r>
            <w:rPr>
              <w:szCs w:val="24"/>
              <w:lang w:eastAsia="lt-LT"/>
            </w:rPr>
            <w:t>PATVIRTINTA</w:t>
          </w:r>
        </w:p>
        <w:p>
          <w:pPr>
            <w:ind w:left="5103"/>
            <w:rPr>
              <w:szCs w:val="24"/>
              <w:lang w:eastAsia="lt-LT"/>
            </w:rPr>
          </w:pPr>
          <w:r>
            <w:rPr>
              <w:szCs w:val="24"/>
              <w:lang w:eastAsia="lt-LT"/>
            </w:rPr>
            <w:t>Telšių rajono savivaldybės tarybos</w:t>
          </w:r>
        </w:p>
        <w:p>
          <w:pPr>
            <w:ind w:left="5103"/>
            <w:rPr>
              <w:szCs w:val="24"/>
              <w:lang w:eastAsia="lt-LT"/>
            </w:rPr>
          </w:pPr>
          <w:r>
            <w:rPr>
              <w:szCs w:val="24"/>
              <w:lang w:eastAsia="lt-LT"/>
            </w:rPr>
            <w:t>2026 m. vasario 26 d. sprendimu Nr. T1-28</w:t>
          </w:r>
        </w:p>
        <w:p>
          <w:pPr>
            <w:jc w:val="both"/>
            <w:rPr>
              <w:b/>
              <w:bCs/>
              <w:szCs w:val="24"/>
              <w:lang w:eastAsia="lt-LT"/>
            </w:rPr>
          </w:pPr>
        </w:p>
        <w:p>
          <w:pPr>
            <w:jc w:val="center"/>
            <w:rPr>
              <w:b/>
              <w:bCs/>
              <w:szCs w:val="24"/>
              <w:lang w:eastAsia="lt-LT"/>
            </w:rPr>
          </w:pPr>
          <w:sdt>
            <w:sdtPr>
              <w:alias w:val="Pavadinimas"/>
              <w:tag w:val="title_c06751728f974bd3a03068cf1f417d30"/>
              <w:lock w:val="sdtLocked"/>
              <w:richText/>
            </w:sdtPr>
            <w:sdtContent>
              <w:r>
                <w:rPr>
                  <w:b/>
                  <w:bCs/>
                  <w:szCs w:val="24"/>
                  <w:lang w:eastAsia="lt-LT"/>
                </w:rPr>
                <w:t>TELŠIŲ RAJONO SAVIVALDYBĖS</w:t>
              </w:r>
            </w:sdtContent>
          </w:sdt>
        </w:p>
        <w:p>
          <w:pPr>
            <w:rPr>
              <w:b/>
              <w:bCs/>
              <w:szCs w:val="24"/>
              <w:lang w:eastAsia="lt-LT"/>
            </w:rPr>
          </w:pPr>
        </w:p>
        <w:sdt>
          <w:sdtPr>
            <w:alias w:val="skirsnis"/>
            <w:tag w:val="part_c18714f101d240a5a2c80cd0d59cb8da"/>
            <w:lock w:val="sdtLocked"/>
            <w:richText/>
          </w:sdtPr>
          <w:sdtContent>
            <w:p>
              <w:pPr>
                <w:jc w:val="center"/>
                <w:rPr>
                  <w:b/>
                  <w:bCs/>
                  <w:szCs w:val="24"/>
                  <w:lang w:eastAsia="lt-LT"/>
                </w:rPr>
              </w:pPr>
              <w:sdt>
                <w:sdtPr>
                  <w:alias w:val="Pavadinimas"/>
                  <w:tag w:val="title_c18714f101d240a5a2c80cd0d59cb8da"/>
                  <w:lock w:val="sdtLocked"/>
                  <w:richText/>
                </w:sdtPr>
                <w:sdtContent>
                  <w:r>
                    <w:rPr>
                      <w:b/>
                      <w:bCs/>
                      <w:iCs/>
                      <w:szCs w:val="24"/>
                      <w:lang w:eastAsia="lt-LT"/>
                    </w:rPr>
                    <w:t>2026–2028</w:t>
                  </w:r>
                  <w:r>
                    <w:rPr>
                      <w:b/>
                      <w:bCs/>
                      <w:i/>
                      <w:szCs w:val="24"/>
                      <w:lang w:eastAsia="lt-LT"/>
                    </w:rPr>
                    <w:t xml:space="preserve"> </w:t>
                  </w:r>
                  <w:r>
                    <w:rPr>
                      <w:b/>
                      <w:bCs/>
                      <w:szCs w:val="24"/>
                      <w:lang w:eastAsia="lt-LT"/>
                    </w:rPr>
                    <w:t xml:space="preserve"> METŲ STRATEGINIS VEIKLOS PLANAS</w:t>
                  </w:r>
                </w:sdtContent>
              </w:sdt>
            </w:p>
            <w:p>
              <w:pPr>
                <w:jc w:val="center"/>
                <w:rPr>
                  <w:b/>
                  <w:bCs/>
                  <w:i/>
                  <w:szCs w:val="24"/>
                  <w:lang w:eastAsia="lt-LT"/>
                </w:rPr>
              </w:pPr>
            </w:p>
            <w:p>
              <w:pPr>
                <w:rPr>
                  <w:b/>
                  <w:bCs/>
                  <w:sz w:val="10"/>
                  <w:szCs w:val="10"/>
                  <w:lang w:eastAsia="lt-LT"/>
                </w:rPr>
              </w:pPr>
            </w:p>
          </w:sdtContent>
        </w:sdt>
        <w:sdt>
          <w:sdtPr>
            <w:alias w:val="skyrius"/>
            <w:tag w:val="part_60f3edec2633460582f2660b0d0ede83"/>
            <w:lock w:val="sdtLocked"/>
            <w:richText/>
          </w:sdtPr>
          <w:sdtContent>
            <w:p>
              <w:pPr>
                <w:jc w:val="center"/>
                <w:rPr>
                  <w:b/>
                  <w:bCs/>
                  <w:szCs w:val="24"/>
                  <w:lang w:eastAsia="lt-LT"/>
                </w:rPr>
              </w:pPr>
              <w:sdt>
                <w:sdtPr>
                  <w:alias w:val="Numeris"/>
                  <w:tag w:val="nr_60f3edec2633460582f2660b0d0ede83"/>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60f3edec2633460582f2660b0d0ede83"/>
                  <w:lock w:val="sdtLocked"/>
                  <w:richText/>
                </w:sdtPr>
                <w:sdtContent>
                  <w:r>
                    <w:rPr>
                      <w:b/>
                      <w:bCs/>
                      <w:szCs w:val="24"/>
                      <w:lang w:eastAsia="lt-LT"/>
                    </w:rPr>
                    <w:t>SAVIVALDYBĖS MISIJA IR VEIKLOS PRIORITETAI</w:t>
                  </w:r>
                </w:sdtContent>
              </w:sdt>
            </w:p>
            <w:p>
              <w:pPr>
                <w:jc w:val="both"/>
                <w:rPr>
                  <w:i/>
                  <w:color w:val="ED0000"/>
                  <w:szCs w:val="24"/>
                  <w:lang w:eastAsia="lt-LT"/>
                </w:rPr>
              </w:pPr>
            </w:p>
            <w:p>
              <w:pPr>
                <w:ind w:firstLine="720"/>
                <w:jc w:val="both"/>
                <w:rPr>
                  <w:iCs/>
                  <w:szCs w:val="24"/>
                  <w:lang w:eastAsia="lt-LT"/>
                </w:rPr>
              </w:pPr>
              <w:r>
                <w:rPr>
                  <w:b/>
                  <w:bCs/>
                  <w:iCs/>
                  <w:szCs w:val="24"/>
                  <w:lang w:eastAsia="lt-LT"/>
                </w:rPr>
                <w:t>Telšių rajono savivaldybės misija</w:t>
              </w:r>
              <w:r>
                <w:rPr>
                  <w:iCs/>
                  <w:szCs w:val="24"/>
                  <w:lang w:eastAsia="lt-LT"/>
                </w:rPr>
                <w:t xml:space="preserve"> – kurti modernų, augantį, gyvą Telšių rajoną, kaip Žemaitijos istorinio regiono centrą, sudarant palankias sąlygas kokybiškam žmonių gyvenimui socialinės, ekonominės ir tvarios aplinkos dermėje.</w:t>
              </w:r>
            </w:p>
            <w:p>
              <w:pPr>
                <w:ind w:firstLine="720"/>
                <w:jc w:val="both"/>
                <w:rPr>
                  <w:iCs/>
                  <w:szCs w:val="24"/>
                  <w:lang w:eastAsia="lt-LT"/>
                </w:rPr>
              </w:pPr>
              <w:r>
                <w:rPr>
                  <w:iCs/>
                  <w:szCs w:val="24"/>
                  <w:lang w:eastAsia="lt-LT"/>
                </w:rPr>
                <w:t>Telšių rajono savivaldybės 2026–2028 metų strateginis veiklos planas (toliau – SVP) skirtas įgyvendinti Telšių rajono savivaldybės 2022–2030 metų strateginį plėtros planą, patvirtintą Telšių rajono savivaldybės tarybos 2022 m. sausio 27 d. sprendimu Nr. T1-5 „Dėl Telšių rajono savivaldybės 2022−2030 metų strateginio plėtros plano patvirtinimo“ (toliau – SPP).</w:t>
              </w:r>
            </w:p>
            <w:p>
              <w:pPr>
                <w:ind w:firstLine="720"/>
                <w:jc w:val="both"/>
                <w:rPr>
                  <w:iCs/>
                  <w:szCs w:val="24"/>
                  <w:lang w:eastAsia="lt-LT"/>
                </w:rPr>
              </w:pPr>
              <w:r>
                <w:rPr>
                  <w:iCs/>
                  <w:szCs w:val="24"/>
                  <w:lang w:eastAsia="lt-LT"/>
                </w:rPr>
                <w:t>Telšių rajono savivaldybės 2022–2030 metų strateginiame plėtros plane yra išskirtos 4 prioritetinės sritys (prioritetai):</w:t>
              </w:r>
            </w:p>
            <w:sdt>
              <w:sdtPr>
                <w:alias w:val="1 p."/>
                <w:tag w:val="part_929ba6a1f8614c83a776adb03f5148a9"/>
                <w:lock w:val="sdtLocked"/>
                <w:richText/>
              </w:sdtPr>
              <w:sdtContent>
                <w:p>
                  <w:pPr>
                    <w:tabs>
                      <w:tab w:val="left" w:pos="993"/>
                    </w:tabs>
                    <w:ind w:firstLine="709"/>
                    <w:jc w:val="both"/>
                    <w:rPr>
                      <w:iCs/>
                      <w:szCs w:val="24"/>
                      <w:lang w:eastAsia="lt-LT"/>
                    </w:rPr>
                  </w:pPr>
                  <w:sdt>
                    <w:sdtPr>
                      <w:alias w:val="Numeris"/>
                      <w:tag w:val="nr_929ba6a1f8614c83a776adb03f5148a9"/>
                      <w:lock w:val="sdtLocked"/>
                      <w:richText/>
                    </w:sdtPr>
                    <w:sdtContent>
                      <w:r>
                        <w:rPr>
                          <w:iCs/>
                          <w:szCs w:val="24"/>
                        </w:rPr>
                        <w:t>1</w:t>
                      </w:r>
                    </w:sdtContent>
                  </w:sdt>
                  <w:r>
                    <w:rPr>
                      <w:iCs/>
                      <w:szCs w:val="24"/>
                    </w:rPr>
                    <w:t>.</w:t>
                    <w:tab/>
                  </w:r>
                  <w:r>
                    <w:rPr>
                      <w:iCs/>
                      <w:szCs w:val="24"/>
                      <w:lang w:eastAsia="lt-LT"/>
                    </w:rPr>
                    <w:t>Efektyvus valdymas ir administravimas, apimantis savivaldybės tarybos, savivaldybės administracijos, seniūnijų, savivaldybės įstaigų ir įmonių veiklos tobulinimą, bendruomenių, visuomeninių organizacijų ir savanorystės stiprinimą.</w:t>
                  </w:r>
                </w:p>
              </w:sdtContent>
            </w:sdt>
            <w:sdt>
              <w:sdtPr>
                <w:alias w:val="2 p."/>
                <w:tag w:val="part_684d38325a394e4893205157ffee8d27"/>
                <w:lock w:val="sdtLocked"/>
                <w:richText/>
              </w:sdtPr>
              <w:sdtContent>
                <w:p>
                  <w:pPr>
                    <w:tabs>
                      <w:tab w:val="left" w:pos="993"/>
                    </w:tabs>
                    <w:ind w:firstLine="709"/>
                    <w:jc w:val="both"/>
                    <w:rPr>
                      <w:iCs/>
                      <w:szCs w:val="24"/>
                      <w:lang w:eastAsia="lt-LT"/>
                    </w:rPr>
                  </w:pPr>
                  <w:sdt>
                    <w:sdtPr>
                      <w:alias w:val="Numeris"/>
                      <w:tag w:val="nr_684d38325a394e4893205157ffee8d27"/>
                      <w:lock w:val="sdtLocked"/>
                      <w:richText/>
                    </w:sdtPr>
                    <w:sdtContent>
                      <w:r>
                        <w:rPr>
                          <w:iCs/>
                          <w:szCs w:val="24"/>
                        </w:rPr>
                        <w:t>2</w:t>
                      </w:r>
                    </w:sdtContent>
                  </w:sdt>
                  <w:r>
                    <w:rPr>
                      <w:iCs/>
                      <w:szCs w:val="24"/>
                    </w:rPr>
                    <w:t>.</w:t>
                    <w:tab/>
                  </w:r>
                  <w:r>
                    <w:rPr>
                      <w:iCs/>
                      <w:szCs w:val="24"/>
                      <w:lang w:eastAsia="lt-LT"/>
                    </w:rPr>
                    <w:t>Tvari ekonomika, apimanti galimybių atvykti, dirbti ir gyventi Telšių rajone didinimą, smulkiojo ir vidutinio verslo plėtros skatinimą, žemės ūkio ir pramonės plėtojimą.</w:t>
                  </w:r>
                </w:p>
              </w:sdtContent>
            </w:sdt>
            <w:sdt>
              <w:sdtPr>
                <w:alias w:val="3 p."/>
                <w:tag w:val="part_bce51804481d4fbb9ac62209f6c1e799"/>
                <w:lock w:val="sdtLocked"/>
                <w:richText/>
              </w:sdtPr>
              <w:sdtContent>
                <w:p>
                  <w:pPr>
                    <w:tabs>
                      <w:tab w:val="left" w:pos="993"/>
                    </w:tabs>
                    <w:ind w:firstLine="709"/>
                    <w:jc w:val="both"/>
                    <w:rPr>
                      <w:iCs/>
                      <w:szCs w:val="24"/>
                      <w:lang w:eastAsia="lt-LT"/>
                    </w:rPr>
                  </w:pPr>
                  <w:sdt>
                    <w:sdtPr>
                      <w:alias w:val="Numeris"/>
                      <w:tag w:val="nr_bce51804481d4fbb9ac62209f6c1e799"/>
                      <w:lock w:val="sdtLocked"/>
                      <w:richText/>
                    </w:sdtPr>
                    <w:sdtContent>
                      <w:r>
                        <w:rPr>
                          <w:iCs/>
                          <w:szCs w:val="24"/>
                        </w:rPr>
                        <w:t>3</w:t>
                      </w:r>
                    </w:sdtContent>
                  </w:sdt>
                  <w:r>
                    <w:rPr>
                      <w:iCs/>
                      <w:szCs w:val="24"/>
                    </w:rPr>
                    <w:t>.</w:t>
                    <w:tab/>
                  </w:r>
                  <w:r>
                    <w:rPr>
                      <w:iCs/>
                      <w:szCs w:val="24"/>
                      <w:lang w:eastAsia="lt-LT"/>
                    </w:rPr>
                    <w:t>Paslaugų gyventojams plėtra, apimanti socialinių paslaugų kokybės didinimą ir socialinės atskirties mažinimą, inovatyvios ir kokybiškos švietimo sistemos diegimą, sveikatos priežiūros paslaugų kokybės didinimą.</w:t>
                  </w:r>
                </w:p>
              </w:sdtContent>
            </w:sdt>
            <w:sdt>
              <w:sdtPr>
                <w:alias w:val="4 p."/>
                <w:tag w:val="part_d998351f8ef44c089d97c711abc1e68f"/>
                <w:lock w:val="sdtLocked"/>
                <w:richText/>
              </w:sdtPr>
              <w:sdtContent>
                <w:p>
                  <w:pPr>
                    <w:tabs>
                      <w:tab w:val="left" w:pos="993"/>
                    </w:tabs>
                    <w:ind w:firstLine="709"/>
                    <w:jc w:val="both"/>
                    <w:rPr>
                      <w:iCs/>
                      <w:szCs w:val="24"/>
                      <w:lang w:eastAsia="lt-LT"/>
                    </w:rPr>
                  </w:pPr>
                  <w:sdt>
                    <w:sdtPr>
                      <w:alias w:val="Numeris"/>
                      <w:tag w:val="nr_d998351f8ef44c089d97c711abc1e68f"/>
                      <w:lock w:val="sdtLocked"/>
                      <w:richText/>
                    </w:sdtPr>
                    <w:sdtContent>
                      <w:r>
                        <w:rPr>
                          <w:iCs/>
                          <w:szCs w:val="24"/>
                        </w:rPr>
                        <w:t>4</w:t>
                      </w:r>
                    </w:sdtContent>
                  </w:sdt>
                  <w:r>
                    <w:rPr>
                      <w:iCs/>
                      <w:szCs w:val="24"/>
                    </w:rPr>
                    <w:t>.</w:t>
                    <w:tab/>
                  </w:r>
                  <w:r>
                    <w:rPr>
                      <w:iCs/>
                      <w:szCs w:val="24"/>
                      <w:lang w:eastAsia="lt-LT"/>
                    </w:rPr>
                    <w:t>Gyvenimo kokybė, apimanti kultūros ir paveldo potencialo sustiprinimą, turizmo, sporto ir rekreacinės aplinkos kūrimą, tvarios urbanistinės plėtros vykdymą.</w:t>
                  </w:r>
                </w:p>
                <w:p>
                  <w:pPr>
                    <w:ind w:firstLine="720"/>
                    <w:jc w:val="both"/>
                    <w:rPr>
                      <w:color w:val="000000"/>
                      <w:szCs w:val="24"/>
                      <w:lang w:eastAsia="lt-LT"/>
                    </w:rPr>
                  </w:pPr>
                  <w:r>
                    <w:rPr>
                      <w:iCs/>
                      <w:color w:val="000000"/>
                      <w:szCs w:val="24"/>
                      <w:lang w:eastAsia="lt-LT"/>
                    </w:rPr>
                    <w:t xml:space="preserve">Šios prioritetinės kryptys yra susijusios ir suderintos su Telšių rajono savivaldybės </w:t>
                  </w:r>
                  <w:r>
                    <w:rPr>
                      <w:color w:val="000000"/>
                      <w:szCs w:val="24"/>
                      <w:lang w:eastAsia="lt-LT"/>
                    </w:rPr>
                    <w:t xml:space="preserve">2023–2027 metų </w:t>
                  </w:r>
                  <w:r>
                    <w:rPr>
                      <w:iCs/>
                      <w:color w:val="000000"/>
                      <w:szCs w:val="24"/>
                      <w:lang w:eastAsia="lt-LT"/>
                    </w:rPr>
                    <w:t xml:space="preserve">veiklos prioritetais, patvirtintais 2023 m. gruodžio 14 d. Telšių rajono savivaldybės tarybos sprendimu Nr. T1-337 „Dėl </w:t>
                  </w:r>
                  <w:r>
                    <w:rPr>
                      <w:color w:val="000000"/>
                      <w:szCs w:val="24"/>
                      <w:lang w:eastAsia="lt-LT"/>
                    </w:rPr>
                    <w:t>Telšių rajono savivaldybės 2023–2027 metų veiklos prioritetų patvirtinimo“.</w:t>
                  </w:r>
                </w:p>
                <w:p>
                  <w:pPr>
                    <w:jc w:val="both"/>
                    <w:rPr>
                      <w:color w:val="000000"/>
                      <w:szCs w:val="24"/>
                      <w:lang w:eastAsia="lt-LT"/>
                    </w:rPr>
                  </w:pPr>
                </w:p>
              </w:sdtContent>
            </w:sdt>
            <w:sdt>
              <w:sdtPr>
                <w:alias w:val="poskyris"/>
                <w:tag w:val="part_4a29869d86c74e37a14178c3d4076db4"/>
                <w:lock w:val="sdtLocked"/>
                <w:richText/>
              </w:sdtPr>
              <w:sdtContent>
                <w:p>
                  <w:pPr>
                    <w:ind w:firstLine="709"/>
                    <w:jc w:val="both"/>
                    <w:rPr>
                      <w:b/>
                      <w:bCs/>
                      <w:color w:val="000000"/>
                      <w:szCs w:val="24"/>
                      <w:lang w:eastAsia="lt-LT"/>
                    </w:rPr>
                  </w:pPr>
                  <w:sdt>
                    <w:sdtPr>
                      <w:alias w:val="Pavadinimas"/>
                      <w:tag w:val="title_4a29869d86c74e37a14178c3d4076db4"/>
                      <w:lock w:val="sdtLocked"/>
                      <w:richText/>
                    </w:sdtPr>
                    <w:sdtContent>
                      <w:r>
                        <w:rPr>
                          <w:b/>
                          <w:bCs/>
                          <w:color w:val="000000"/>
                          <w:szCs w:val="24"/>
                          <w:lang w:eastAsia="lt-LT"/>
                        </w:rPr>
                        <w:t>Telšių rajono savivaldybės 2026–2028 metų veiklos prioritetai:</w:t>
                      </w:r>
                    </w:sdtContent>
                  </w:sdt>
                </w:p>
                <w:sdt>
                  <w:sdtPr>
                    <w:alias w:val="1 p."/>
                    <w:tag w:val="part_e0d54a16b8b949258aa6548e150fbefb"/>
                    <w:lock w:val="sdtLocked"/>
                    <w:richText/>
                  </w:sdtPr>
                  <w:sdtContent>
                    <w:p>
                      <w:pPr>
                        <w:tabs>
                          <w:tab w:val="left" w:pos="993"/>
                        </w:tabs>
                        <w:ind w:firstLine="709"/>
                        <w:jc w:val="both"/>
                        <w:rPr>
                          <w:szCs w:val="24"/>
                          <w:lang w:eastAsia="lt-LT"/>
                        </w:rPr>
                      </w:pPr>
                      <w:sdt>
                        <w:sdtPr>
                          <w:alias w:val="Numeris"/>
                          <w:tag w:val="nr_e0d54a16b8b949258aa6548e150fbefb"/>
                          <w:lock w:val="sdtLocked"/>
                          <w:richText/>
                        </w:sdtPr>
                        <w:sdtContent>
                          <w:r>
                            <w:rPr>
                              <w:szCs w:val="24"/>
                              <w:lang w:eastAsia="lt-LT"/>
                            </w:rPr>
                            <w:t>1</w:t>
                          </w:r>
                        </w:sdtContent>
                      </w:sdt>
                      <w:r>
                        <w:rPr>
                          <w:szCs w:val="24"/>
                          <w:lang w:eastAsia="lt-LT"/>
                        </w:rPr>
                        <w:t>.</w:t>
                        <w:tab/>
                      </w:r>
                      <w:r>
                        <w:rPr>
                          <w:b/>
                          <w:bCs/>
                          <w:i/>
                          <w:iCs/>
                          <w:szCs w:val="24"/>
                          <w:lang w:eastAsia="lt-LT"/>
                        </w:rPr>
                        <w:t>Saugios socialinės ir palankios žmogaus sveikatai aplinkos kūrimas.</w:t>
                      </w:r>
                      <w:r>
                        <w:rPr>
                          <w:szCs w:val="24"/>
                          <w:lang w:eastAsia="lt-LT"/>
                        </w:rPr>
                        <w:t xml:space="preserve"> Įgyvendinant veiklos prioritetą bus skiriamos lėšos visų lygių medicinos įstaigų patalpoms remontuoti, įrangai įsigyti, tęsiamas jaunų trūkstamų specialistų pritraukimas, siekiama tinkamų sąlygų sveikatai stiprinti visoms amžiaus grupėms, užtikrinama socialinių paslaugų įvairovė, numatoma finansinė parama naujagimiams, skiriamas dėmesys, parama ir pagalba reemigrantams, plėtojamas socialinių paslaugų tinklas, įtraukiant nevyriausybines organizacijas, skatinama socialinių paslaugų plėtra labiausiai stokojantiems.</w:t>
                      </w:r>
                    </w:p>
                  </w:sdtContent>
                </w:sdt>
                <w:sdt>
                  <w:sdtPr>
                    <w:alias w:val="2 p."/>
                    <w:tag w:val="part_faa44fb50aa445f7b19ea637cddeac5f"/>
                    <w:lock w:val="sdtLocked"/>
                    <w:richText/>
                  </w:sdtPr>
                  <w:sdtContent>
                    <w:p>
                      <w:pPr>
                        <w:tabs>
                          <w:tab w:val="left" w:pos="993"/>
                        </w:tabs>
                        <w:ind w:firstLine="709"/>
                        <w:jc w:val="both"/>
                        <w:rPr>
                          <w:szCs w:val="24"/>
                          <w:lang w:eastAsia="lt-LT"/>
                        </w:rPr>
                      </w:pPr>
                      <w:sdt>
                        <w:sdtPr>
                          <w:alias w:val="Numeris"/>
                          <w:tag w:val="nr_faa44fb50aa445f7b19ea637cddeac5f"/>
                          <w:lock w:val="sdtLocked"/>
                          <w:richText/>
                        </w:sdtPr>
                        <w:sdtContent>
                          <w:r>
                            <w:rPr>
                              <w:szCs w:val="24"/>
                              <w:lang w:eastAsia="lt-LT"/>
                            </w:rPr>
                            <w:t>2</w:t>
                          </w:r>
                        </w:sdtContent>
                      </w:sdt>
                      <w:r>
                        <w:rPr>
                          <w:szCs w:val="24"/>
                          <w:lang w:eastAsia="lt-LT"/>
                        </w:rPr>
                        <w:t>.</w:t>
                        <w:tab/>
                      </w:r>
                      <w:r>
                        <w:rPr>
                          <w:b/>
                          <w:bCs/>
                          <w:i/>
                          <w:iCs/>
                          <w:szCs w:val="24"/>
                          <w:lang w:eastAsia="lt-LT"/>
                        </w:rPr>
                        <w:t>Išsilavinusios bendruomenės stiprinimas.</w:t>
                      </w:r>
                      <w:r>
                        <w:rPr>
                          <w:szCs w:val="24"/>
                          <w:lang w:eastAsia="lt-LT"/>
                        </w:rPr>
                        <w:t xml:space="preserve"> Įgyvendinant veiklos prioritetą bus formuojamas optimalus rajono ugdymo įstaigų tinklas, siekiamas 100 proc. ikimokyklinio ugdymo prieinamumas rajono vaikams, sudaromas nemokamas paslaugų moksleiviams paketas, skatinama įvairių lygių švietimo įstaigų tinklo plėtra, investuojama į švietimo infrastruktūrą ir modernias mokymosi priemones, skatinamos ir remiamos mokyklų, bendruomenių individualios iniciatyvos, siekiančios vaikų ir mokinių sveikatinimo bei fizinio ir psichologinio saugumo, užtikrintos tinkamos sąlygos įtraukiajam ugdymui organizuoti, skatinamas moksleivių pilietiškumas ir finansinis raštingumas, organizuojant moksleivių dalyvaujamąjį biudžetą, tęsiama ir kokybiškai įgyvendinama valstybinė „Tūkstantmečio mokyklos“ programa, siekiama įsteigti telšiškio savanorystės kortelę.</w:t>
                      </w:r>
                    </w:p>
                  </w:sdtContent>
                </w:sdt>
                <w:sdt>
                  <w:sdtPr>
                    <w:alias w:val="3 p."/>
                    <w:tag w:val="part_4402fc14947a455ba0ed1a6498dde36e"/>
                    <w:lock w:val="sdtLocked"/>
                    <w:richText/>
                  </w:sdtPr>
                  <w:sdtContent>
                    <w:p>
                      <w:pPr>
                        <w:tabs>
                          <w:tab w:val="left" w:pos="993"/>
                        </w:tabs>
                        <w:ind w:firstLine="709"/>
                        <w:jc w:val="both"/>
                        <w:rPr>
                          <w:szCs w:val="24"/>
                          <w:lang w:eastAsia="lt-LT"/>
                        </w:rPr>
                      </w:pPr>
                      <w:sdt>
                        <w:sdtPr>
                          <w:alias w:val="Numeris"/>
                          <w:tag w:val="nr_4402fc14947a455ba0ed1a6498dde36e"/>
                          <w:lock w:val="sdtLocked"/>
                          <w:richText/>
                        </w:sdtPr>
                        <w:sdtContent>
                          <w:r>
                            <w:rPr>
                              <w:szCs w:val="24"/>
                              <w:lang w:eastAsia="lt-LT"/>
                            </w:rPr>
                            <w:t>3</w:t>
                          </w:r>
                        </w:sdtContent>
                      </w:sdt>
                      <w:r>
                        <w:rPr>
                          <w:szCs w:val="24"/>
                          <w:lang w:eastAsia="lt-LT"/>
                        </w:rPr>
                        <w:t>.</w:t>
                        <w:tab/>
                      </w:r>
                      <w:r>
                        <w:rPr>
                          <w:b/>
                          <w:bCs/>
                          <w:i/>
                          <w:iCs/>
                          <w:szCs w:val="24"/>
                          <w:lang w:eastAsia="lt-LT"/>
                        </w:rPr>
                        <w:t>Vietos ūkio plėtra. Palankios pramonei, verslui ir gyvenimui aplinkos kūrimas.</w:t>
                      </w:r>
                      <w:r>
                        <w:rPr>
                          <w:szCs w:val="24"/>
                          <w:lang w:eastAsia="lt-LT"/>
                        </w:rPr>
                        <w:t xml:space="preserve"> Įgyvendinant veiklos prioritetą bus tęsiamas savivaldybės ir verslo bendradarbiavimas, remiamos jaunimo verslumo ir užimtumo bei nevyriausybinių organizacijų programos, tęsiama atsinaujinančios energijos gamybos ir naudojimo plėtra, siekiama saugios, modernios ir inovatyvios gyvenamosios aplinkos kūrimo, siekiama suformuoti „Telšiai – žalias miestas“, pradėtas įgyvendinti susisiekimo infrastruktūros ilgalaikio tobulinimo priemonių planas, įkurtas Pramonės parkas, tęsiamas Telšių PARK‘S teritorijos įveiklinimo procesas, spartinama kokybiška daugiabučių renovacija, ruošiamasi šilumos ūkio nuomos sutarties pabaigai, tęsiamas ir įgyvendinamas Germanto regioninio parko steigimo procesas, tęsiama aplinkos apsaugos rėmimo specialioji programa.</w:t>
                      </w:r>
                    </w:p>
                  </w:sdtContent>
                </w:sdt>
                <w:sdt>
                  <w:sdtPr>
                    <w:alias w:val="4 p."/>
                    <w:tag w:val="part_fa8a76c709de48809a47c4c5e0c4a530"/>
                    <w:lock w:val="sdtLocked"/>
                    <w:richText/>
                  </w:sdtPr>
                  <w:sdtContent>
                    <w:p>
                      <w:pPr>
                        <w:tabs>
                          <w:tab w:val="left" w:pos="993"/>
                        </w:tabs>
                        <w:ind w:firstLine="709"/>
                        <w:jc w:val="both"/>
                        <w:rPr>
                          <w:szCs w:val="24"/>
                          <w:lang w:eastAsia="lt-LT"/>
                        </w:rPr>
                      </w:pPr>
                      <w:sdt>
                        <w:sdtPr>
                          <w:alias w:val="Numeris"/>
                          <w:tag w:val="nr_fa8a76c709de48809a47c4c5e0c4a530"/>
                          <w:lock w:val="sdtLocked"/>
                          <w:richText/>
                        </w:sdtPr>
                        <w:sdtContent>
                          <w:r>
                            <w:rPr>
                              <w:szCs w:val="24"/>
                              <w:lang w:eastAsia="lt-LT"/>
                            </w:rPr>
                            <w:t>4</w:t>
                          </w:r>
                        </w:sdtContent>
                      </w:sdt>
                      <w:r>
                        <w:rPr>
                          <w:szCs w:val="24"/>
                          <w:lang w:eastAsia="lt-LT"/>
                        </w:rPr>
                        <w:t>.</w:t>
                        <w:tab/>
                      </w:r>
                      <w:r>
                        <w:rPr>
                          <w:b/>
                          <w:bCs/>
                          <w:i/>
                          <w:iCs/>
                          <w:szCs w:val="24"/>
                          <w:lang w:eastAsia="lt-LT"/>
                        </w:rPr>
                        <w:t>Kultūros, sporto, turizmo ir rekreacijos sektoriaus plėtra.</w:t>
                      </w:r>
                      <w:r>
                        <w:rPr>
                          <w:szCs w:val="24"/>
                          <w:lang w:eastAsia="lt-LT"/>
                        </w:rPr>
                        <w:t xml:space="preserve"> Įgyvendinant veiklos prioritetą bus investuojama į kultūros infrastuktūrą ir įrangą Telšių rajone, didinamas finansavimas įvairioms sporto šakoms, tęsiami Masčio, Germanto, Lūksto ir kitų ežerų bei rekreacinių teritorijų aplinkos tvarkymo ir pritaikymo rekreacijai bei turizmui darbai, plėtojama turizmo infrastruktūra, skatinant turimų objektų turizmo veiklų įvairovę, inicijuojama Telšių senamiesčio tvarkyba ir pritaikymas pažinimui, sudaromos sąlygos stiprinti miesto bei rajono kultūrinį identitetą ir išsaugoti regiono etninę tapatybę, užtikrinamas stabilus finansavimas ilgalaikei Telšių rajono etninės kultūros plėtros programai 2025–2029 m. įgyvendinti, inicijuojamas intensyvesnis profesionaliojo meno sklaidos finansavimas, sudarant palankias sąlygas jo plėtrai, įgyvendinama profesionalaus teatro idėja, parengta Telšių aerodromo išsaugojimo ir įveiklinimo programa.</w:t>
                      </w:r>
                    </w:p>
                  </w:sdtContent>
                </w:sdt>
                <w:sdt>
                  <w:sdtPr>
                    <w:alias w:val="5 p."/>
                    <w:tag w:val="part_9407d50676bd472db3d9b93b8c470753"/>
                    <w:lock w:val="sdtLocked"/>
                    <w:richText/>
                  </w:sdtPr>
                  <w:sdtContent>
                    <w:p>
                      <w:pPr>
                        <w:tabs>
                          <w:tab w:val="left" w:pos="993"/>
                        </w:tabs>
                        <w:ind w:firstLine="709"/>
                        <w:jc w:val="both"/>
                        <w:rPr>
                          <w:szCs w:val="24"/>
                          <w:lang w:eastAsia="lt-LT"/>
                        </w:rPr>
                      </w:pPr>
                      <w:sdt>
                        <w:sdtPr>
                          <w:alias w:val="Numeris"/>
                          <w:tag w:val="nr_9407d50676bd472db3d9b93b8c470753"/>
                          <w:lock w:val="sdtLocked"/>
                          <w:richText/>
                        </w:sdtPr>
                        <w:sdtContent>
                          <w:r>
                            <w:rPr>
                              <w:szCs w:val="24"/>
                              <w:lang w:eastAsia="lt-LT"/>
                            </w:rPr>
                            <w:t>5</w:t>
                          </w:r>
                        </w:sdtContent>
                      </w:sdt>
                      <w:r>
                        <w:rPr>
                          <w:szCs w:val="24"/>
                          <w:lang w:eastAsia="lt-LT"/>
                        </w:rPr>
                        <w:t>.</w:t>
                        <w:tab/>
                      </w:r>
                      <w:r>
                        <w:rPr>
                          <w:b/>
                          <w:bCs/>
                          <w:i/>
                          <w:iCs/>
                          <w:szCs w:val="24"/>
                          <w:lang w:eastAsia="lt-LT"/>
                        </w:rPr>
                        <w:t>Valdymo ir atstovavimo gyventojams bei jų grupėms efektyvumo didinimas.</w:t>
                      </w:r>
                      <w:r>
                        <w:rPr>
                          <w:szCs w:val="24"/>
                          <w:lang w:eastAsia="lt-LT"/>
                        </w:rPr>
                        <w:t xml:space="preserve"> Įgyvendinant veiklos prioritetą bus užtikrintas atsakingas planavimas, įtraukiant gyventojus ir bendruomenes į infrastruktūros planavimo procesą, įsisenėjusių miesto ir kaimo gyventojų problemų sprendimą, pasitelkiant bendruomenės lyderius.</w:t>
                      </w:r>
                    </w:p>
                    <w:p>
                      <w:pPr>
                        <w:rPr>
                          <w:szCs w:val="24"/>
                          <w:lang w:eastAsia="lt-LT"/>
                        </w:rPr>
                      </w:pPr>
                    </w:p>
                    <w:p>
                      <w:pPr>
                        <w:rPr>
                          <w:sz w:val="10"/>
                          <w:szCs w:val="10"/>
                          <w:lang w:eastAsia="lt-LT"/>
                        </w:rPr>
                      </w:pPr>
                    </w:p>
                  </w:sdtContent>
                </w:sdt>
              </w:sdtContent>
            </w:sdt>
          </w:sdtContent>
        </w:sdt>
        <w:sdt>
          <w:sdtPr>
            <w:alias w:val="skyrius"/>
            <w:tag w:val="part_bdc74f06ea904de2af6ae55fc999f6d2"/>
            <w:lock w:val="sdtLocked"/>
            <w:richText/>
          </w:sdtPr>
          <w:sdtContent>
            <w:p>
              <w:pPr>
                <w:jc w:val="center"/>
                <w:rPr>
                  <w:b/>
                  <w:bCs/>
                  <w:color w:val="000000"/>
                  <w:szCs w:val="24"/>
                  <w:lang w:eastAsia="lt-LT"/>
                </w:rPr>
              </w:pPr>
              <w:sdt>
                <w:sdtPr>
                  <w:alias w:val="Numeris"/>
                  <w:tag w:val="nr_bdc74f06ea904de2af6ae55fc999f6d2"/>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bdc74f06ea904de2af6ae55fc999f6d2"/>
                  <w:lock w:val="sdtLocked"/>
                  <w:richText/>
                </w:sdtPr>
                <w:sdtContent>
                  <w:r>
                    <w:rPr>
                      <w:b/>
                      <w:bCs/>
                      <w:color w:val="000000"/>
                      <w:szCs w:val="24"/>
                      <w:lang w:eastAsia="lt-LT"/>
                    </w:rPr>
                    <w:t>TELŠIŲ RAJONO SAVIVALDYBĖS PLĖTROS TIKSLAI, UŽDAVINIAI IR JŲ STEBĖSENOS RODIKLIAI</w:t>
                  </w:r>
                </w:sdtContent>
              </w:sdt>
            </w:p>
            <w:p>
              <w:pPr>
                <w:rPr>
                  <w:sz w:val="20"/>
                  <w:szCs w:val="24"/>
                  <w:lang w:eastAsia="lt-LT"/>
                </w:rPr>
              </w:pPr>
            </w:p>
            <w:p>
              <w:pPr>
                <w:rPr>
                  <w:b/>
                  <w:bCs/>
                  <w:i/>
                  <w:color w:val="808080"/>
                  <w:szCs w:val="24"/>
                  <w:lang w:eastAsia="lt-LT"/>
                </w:rPr>
              </w:pPr>
              <w:r>
                <w:rPr>
                  <w:b/>
                  <w:bCs/>
                  <w:szCs w:val="24"/>
                  <w:lang w:eastAsia="lt-LT"/>
                </w:rPr>
                <w:t xml:space="preserve">1 lentelė. </w:t>
              </w:r>
              <w:r>
                <w:rPr>
                  <w:szCs w:val="24"/>
                  <w:lang w:eastAsia="lt-LT"/>
                </w:rPr>
                <w:t>Tikslai, uždaviniai ir jų stebėsenos rodikliai</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842"/>
                <w:gridCol w:w="1276"/>
                <w:gridCol w:w="709"/>
                <w:gridCol w:w="709"/>
                <w:gridCol w:w="708"/>
                <w:gridCol w:w="1418"/>
                <w:gridCol w:w="1417"/>
              </w:tblGrid>
              <w:tr>
                <w:trPr>
                  <w:jc w:val="center"/>
                </w:trPr>
                <w:tc>
                  <w:tcPr>
                    <w:tcW w:w="2122" w:type="dxa"/>
                    <w:vMerge w:val="restart"/>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bCs/>
                        <w:color w:val="000000"/>
                        <w:sz w:val="20"/>
                        <w:szCs w:val="24"/>
                        <w:lang w:eastAsia="lt-LT"/>
                      </w:rPr>
                    </w:pPr>
                    <w:r>
                      <w:rPr>
                        <w:rFonts w:eastAsia="Calibri"/>
                        <w:b/>
                        <w:bCs/>
                        <w:color w:val="000000"/>
                        <w:sz w:val="20"/>
                        <w:szCs w:val="24"/>
                        <w:lang w:eastAsia="lt-LT"/>
                      </w:rPr>
                      <w:t>SPP tikslai ir uždaviniai</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bCs/>
                        <w:color w:val="000000"/>
                        <w:sz w:val="20"/>
                        <w:szCs w:val="24"/>
                        <w:lang w:eastAsia="lt-LT"/>
                      </w:rPr>
                    </w:pPr>
                    <w:r>
                      <w:rPr>
                        <w:rFonts w:eastAsia="Calibri"/>
                        <w:b/>
                        <w:bCs/>
                        <w:color w:val="000000"/>
                        <w:sz w:val="20"/>
                        <w:szCs w:val="24"/>
                        <w:lang w:eastAsia="lt-LT"/>
                      </w:rPr>
                      <w:t>Stebėsenos rodiklis (matavimo vnt.)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bCs/>
                        <w:color w:val="000000"/>
                        <w:sz w:val="20"/>
                        <w:szCs w:val="24"/>
                        <w:lang w:eastAsia="lt-LT"/>
                      </w:rPr>
                    </w:pPr>
                    <w:r>
                      <w:rPr>
                        <w:rFonts w:eastAsia="Calibri"/>
                        <w:b/>
                        <w:bCs/>
                        <w:color w:val="000000"/>
                        <w:sz w:val="20"/>
                        <w:szCs w:val="24"/>
                        <w:lang w:eastAsia="lt-LT"/>
                      </w:rPr>
                      <w:t xml:space="preserve">Pradinė stebėsenos rodiklio reikšmė </w:t>
                    </w:r>
                  </w:p>
                  <w:p>
                    <w:pPr>
                      <w:ind w:firstLine="53"/>
                      <w:jc w:val="center"/>
                      <w:rPr>
                        <w:rFonts w:eastAsia="Calibri"/>
                        <w:b/>
                        <w:bCs/>
                        <w:color w:val="000000"/>
                        <w:sz w:val="20"/>
                        <w:szCs w:val="24"/>
                        <w:lang w:eastAsia="lt-LT"/>
                      </w:rPr>
                    </w:pPr>
                    <w:r>
                      <w:rPr>
                        <w:rFonts w:eastAsia="Calibri"/>
                        <w:b/>
                        <w:bCs/>
                        <w:color w:val="000000"/>
                        <w:sz w:val="20"/>
                        <w:szCs w:val="24"/>
                        <w:lang w:eastAsia="lt-LT"/>
                      </w:rPr>
                      <w:t>2022-01-01</w:t>
                    </w:r>
                  </w:p>
                </w:tc>
                <w:tc>
                  <w:tcPr>
                    <w:tcW w:w="2126" w:type="dxa"/>
                    <w:gridSpan w:val="3"/>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bCs/>
                        <w:color w:val="000000"/>
                        <w:sz w:val="20"/>
                        <w:szCs w:val="24"/>
                        <w:lang w:eastAsia="lt-LT"/>
                      </w:rPr>
                    </w:pPr>
                    <w:r>
                      <w:rPr>
                        <w:rFonts w:eastAsia="Calibri"/>
                        <w:b/>
                        <w:bCs/>
                        <w:color w:val="000000"/>
                        <w:sz w:val="20"/>
                        <w:szCs w:val="24"/>
                        <w:lang w:eastAsia="lt-LT"/>
                      </w:rPr>
                      <w:t>Siektinos stebėsenos rodiklio reikšmės</w:t>
                    </w:r>
                  </w:p>
                </w:tc>
                <w:tc>
                  <w:tcPr>
                    <w:tcW w:w="1418" w:type="dxa"/>
                    <w:vMerge w:val="restart"/>
                    <w:tcBorders>
                      <w:top w:val="single" w:sz="4" w:space="0" w:color="auto"/>
                      <w:left w:val="single" w:sz="4" w:space="0" w:color="auto"/>
                      <w:right w:val="single" w:sz="4" w:space="0" w:color="auto"/>
                    </w:tcBorders>
                    <w:shd w:val="clear" w:color="auto" w:fill="DBE5F1"/>
                    <w:vAlign w:val="center"/>
                  </w:tcPr>
                  <w:p>
                    <w:pPr>
                      <w:jc w:val="center"/>
                      <w:rPr>
                        <w:rFonts w:eastAsia="Calibri"/>
                        <w:b/>
                        <w:bCs/>
                        <w:color w:val="000000"/>
                        <w:sz w:val="20"/>
                        <w:szCs w:val="24"/>
                        <w:lang w:eastAsia="lt-LT"/>
                      </w:rPr>
                    </w:pPr>
                    <w:r>
                      <w:rPr>
                        <w:rFonts w:eastAsia="Calibri"/>
                        <w:b/>
                        <w:bCs/>
                        <w:color w:val="000000"/>
                        <w:sz w:val="20"/>
                        <w:szCs w:val="24"/>
                        <w:lang w:eastAsia="lt-LT"/>
                      </w:rPr>
                      <w:t xml:space="preserve">Faktinė stebėsenos rodiklio reikšmė </w:t>
                    </w:r>
                  </w:p>
                  <w:p>
                    <w:pPr>
                      <w:jc w:val="center"/>
                      <w:rPr>
                        <w:rFonts w:eastAsia="Calibri"/>
                        <w:b/>
                        <w:bCs/>
                        <w:color w:val="000000"/>
                        <w:sz w:val="20"/>
                        <w:szCs w:val="24"/>
                        <w:lang w:eastAsia="lt-LT"/>
                      </w:rPr>
                    </w:pPr>
                    <w:r>
                      <w:rPr>
                        <w:rFonts w:eastAsia="Calibri"/>
                        <w:b/>
                        <w:bCs/>
                        <w:iCs/>
                        <w:sz w:val="20"/>
                        <w:lang w:eastAsia="lt-LT"/>
                      </w:rPr>
                      <w:t>2024-12-31</w:t>
                    </w:r>
                  </w:p>
                </w:tc>
                <w:tc>
                  <w:tcPr>
                    <w:tcW w:w="1417" w:type="dxa"/>
                    <w:vMerge w:val="restart"/>
                    <w:tcBorders>
                      <w:top w:val="single" w:sz="4" w:space="0" w:color="auto"/>
                      <w:left w:val="single" w:sz="4" w:space="0" w:color="auto"/>
                      <w:right w:val="single" w:sz="4" w:space="0" w:color="auto"/>
                    </w:tcBorders>
                    <w:shd w:val="clear" w:color="auto" w:fill="DBE5F1"/>
                    <w:vAlign w:val="center"/>
                  </w:tcPr>
                  <w:p>
                    <w:pPr>
                      <w:ind w:right="173"/>
                      <w:jc w:val="center"/>
                      <w:rPr>
                        <w:rFonts w:eastAsia="Calibri"/>
                        <w:b/>
                        <w:bCs/>
                        <w:color w:val="000000"/>
                        <w:sz w:val="20"/>
                        <w:szCs w:val="24"/>
                        <w:lang w:eastAsia="lt-LT"/>
                      </w:rPr>
                    </w:pPr>
                    <w:r>
                      <w:rPr>
                        <w:rFonts w:eastAsia="Calibri"/>
                        <w:b/>
                        <w:bCs/>
                        <w:color w:val="000000"/>
                        <w:sz w:val="20"/>
                        <w:szCs w:val="24"/>
                        <w:lang w:eastAsia="lt-LT"/>
                      </w:rPr>
                      <w:t xml:space="preserve">Siekiama stebėsenos  rodiklio reikšmė </w:t>
                    </w:r>
                  </w:p>
                  <w:p>
                    <w:pPr>
                      <w:jc w:val="center"/>
                      <w:rPr>
                        <w:rFonts w:eastAsia="Calibri"/>
                        <w:b/>
                        <w:bCs/>
                        <w:color w:val="000000"/>
                        <w:sz w:val="20"/>
                        <w:szCs w:val="24"/>
                        <w:lang w:eastAsia="lt-LT"/>
                      </w:rPr>
                    </w:pPr>
                    <w:r>
                      <w:rPr>
                        <w:b/>
                        <w:bCs/>
                        <w:sz w:val="20"/>
                        <w:lang w:eastAsia="lt-LT"/>
                      </w:rPr>
                      <w:t>2030</w:t>
                    </w:r>
                  </w:p>
                </w:tc>
              </w:tr>
              <w:tr>
                <w:trPr>
                  <w:jc w:val="center"/>
                </w:trPr>
                <w:tc>
                  <w:tcPr>
                    <w:tcW w:w="2122" w:type="dxa"/>
                    <w:vMerge/>
                    <w:tcBorders>
                      <w:top w:val="single" w:sz="4" w:space="0" w:color="auto"/>
                      <w:left w:val="single" w:sz="4" w:space="0" w:color="auto"/>
                      <w:bottom w:val="single" w:sz="4" w:space="0" w:color="auto"/>
                      <w:right w:val="single" w:sz="4" w:space="0" w:color="auto"/>
                    </w:tcBorders>
                    <w:vAlign w:val="center"/>
                  </w:tcPr>
                  <w:p>
                    <w:pPr>
                      <w:rPr>
                        <w:rFonts w:eastAsia="Calibri"/>
                        <w:b/>
                        <w:bCs/>
                        <w:color w:val="000000"/>
                        <w:sz w:val="20"/>
                        <w:szCs w:val="24"/>
                        <w:lang w:eastAsia="lt-LT"/>
                      </w:rPr>
                    </w:pPr>
                  </w:p>
                </w:tc>
                <w:tc>
                  <w:tcPr>
                    <w:tcW w:w="1842" w:type="dxa"/>
                    <w:vMerge/>
                    <w:tcBorders>
                      <w:top w:val="single" w:sz="4" w:space="0" w:color="auto"/>
                      <w:left w:val="single" w:sz="4" w:space="0" w:color="auto"/>
                      <w:bottom w:val="single" w:sz="4" w:space="0" w:color="auto"/>
                      <w:right w:val="single" w:sz="4" w:space="0" w:color="auto"/>
                    </w:tcBorders>
                    <w:vAlign w:val="center"/>
                  </w:tcPr>
                  <w:p>
                    <w:pPr>
                      <w:rPr>
                        <w:rFonts w:eastAsia="Calibri"/>
                        <w:b/>
                        <w:bCs/>
                        <w:color w:val="000000"/>
                        <w:sz w:val="2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tcPr>
                  <w:p>
                    <w:pPr>
                      <w:rPr>
                        <w:rFonts w:eastAsia="Calibri"/>
                        <w:b/>
                        <w:bCs/>
                        <w:color w:val="000000"/>
                        <w:sz w:val="2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bCs/>
                        <w:i/>
                        <w:color w:val="000000"/>
                        <w:sz w:val="20"/>
                        <w:szCs w:val="24"/>
                        <w:lang w:eastAsia="lt-LT"/>
                      </w:rPr>
                    </w:pPr>
                    <w:r>
                      <w:rPr>
                        <w:rFonts w:eastAsia="Calibri"/>
                        <w:b/>
                        <w:bCs/>
                        <w:color w:val="000000"/>
                        <w:sz w:val="20"/>
                        <w:szCs w:val="24"/>
                        <w:lang w:eastAsia="lt-LT"/>
                      </w:rPr>
                      <w:t>2026 metai</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bCs/>
                        <w:color w:val="000000"/>
                        <w:sz w:val="20"/>
                        <w:szCs w:val="24"/>
                        <w:lang w:eastAsia="lt-LT"/>
                      </w:rPr>
                    </w:pPr>
                    <w:r>
                      <w:rPr>
                        <w:rFonts w:eastAsia="Calibri"/>
                        <w:b/>
                        <w:bCs/>
                        <w:color w:val="000000"/>
                        <w:sz w:val="20"/>
                        <w:szCs w:val="24"/>
                        <w:lang w:eastAsia="lt-LT"/>
                      </w:rPr>
                      <w:t>2027 metai</w:t>
                    </w:r>
                  </w:p>
                </w:tc>
                <w:tc>
                  <w:tcPr>
                    <w:tcW w:w="708" w:type="dxa"/>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rFonts w:eastAsia="Calibri"/>
                        <w:b/>
                        <w:bCs/>
                        <w:color w:val="000000"/>
                        <w:sz w:val="20"/>
                        <w:szCs w:val="24"/>
                        <w:lang w:eastAsia="lt-LT"/>
                      </w:rPr>
                    </w:pPr>
                    <w:r>
                      <w:rPr>
                        <w:rFonts w:eastAsia="Calibri"/>
                        <w:b/>
                        <w:bCs/>
                        <w:color w:val="000000"/>
                        <w:sz w:val="20"/>
                        <w:szCs w:val="24"/>
                        <w:lang w:eastAsia="lt-LT"/>
                      </w:rPr>
                      <w:t>2028 metai</w:t>
                    </w:r>
                  </w:p>
                </w:tc>
                <w:tc>
                  <w:tcPr>
                    <w:tcW w:w="1418" w:type="dxa"/>
                    <w:vMerge/>
                    <w:tcBorders>
                      <w:left w:val="single" w:sz="4" w:space="0" w:color="auto"/>
                      <w:bottom w:val="single" w:sz="4" w:space="0" w:color="auto"/>
                      <w:right w:val="single" w:sz="4" w:space="0" w:color="auto"/>
                    </w:tcBorders>
                    <w:vAlign w:val="center"/>
                  </w:tcPr>
                  <w:p>
                    <w:pPr>
                      <w:rPr>
                        <w:rFonts w:eastAsia="Calibri"/>
                        <w:b/>
                        <w:bCs/>
                        <w:color w:val="000000"/>
                        <w:sz w:val="20"/>
                        <w:szCs w:val="24"/>
                        <w:lang w:eastAsia="lt-LT"/>
                      </w:rPr>
                    </w:pPr>
                  </w:p>
                </w:tc>
                <w:tc>
                  <w:tcPr>
                    <w:tcW w:w="1417" w:type="dxa"/>
                    <w:vMerge/>
                    <w:tcBorders>
                      <w:left w:val="single" w:sz="4" w:space="0" w:color="auto"/>
                      <w:bottom w:val="single" w:sz="4" w:space="0" w:color="auto"/>
                      <w:right w:val="single" w:sz="4" w:space="0" w:color="auto"/>
                    </w:tcBorders>
                    <w:vAlign w:val="center"/>
                  </w:tcPr>
                  <w:p>
                    <w:pPr>
                      <w:rPr>
                        <w:rFonts w:eastAsia="Calibri"/>
                        <w:b/>
                        <w:bCs/>
                        <w:color w:val="000000"/>
                        <w:sz w:val="20"/>
                        <w:szCs w:val="24"/>
                        <w:lang w:eastAsia="lt-LT"/>
                      </w:rPr>
                    </w:pPr>
                  </w:p>
                </w:tc>
              </w:tr>
              <w:tr>
                <w:trPr>
                  <w:trHeight w:val="108"/>
                  <w:jc w:val="center"/>
                </w:trPr>
                <w:tc>
                  <w:tcPr>
                    <w:tcW w:w="2122"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1</w:t>
                    </w:r>
                  </w:p>
                </w:tc>
                <w:tc>
                  <w:tcPr>
                    <w:tcW w:w="1842"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3</w:t>
                    </w:r>
                  </w:p>
                </w:tc>
                <w:tc>
                  <w:tcPr>
                    <w:tcW w:w="709"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4</w:t>
                    </w:r>
                  </w:p>
                </w:tc>
                <w:tc>
                  <w:tcPr>
                    <w:tcW w:w="709"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5</w:t>
                    </w:r>
                  </w:p>
                </w:tc>
                <w:tc>
                  <w:tcPr>
                    <w:tcW w:w="708"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6</w:t>
                    </w:r>
                  </w:p>
                </w:tc>
                <w:tc>
                  <w:tcPr>
                    <w:tcW w:w="1418"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7</w:t>
                    </w:r>
                  </w:p>
                </w:tc>
                <w:tc>
                  <w:tcPr>
                    <w:tcW w:w="1417" w:type="dxa"/>
                    <w:tcBorders>
                      <w:top w:val="single" w:sz="4" w:space="0" w:color="auto"/>
                      <w:left w:val="single" w:sz="4" w:space="0" w:color="auto"/>
                      <w:bottom w:val="single" w:sz="4" w:space="0" w:color="auto"/>
                      <w:right w:val="single" w:sz="4" w:space="0" w:color="auto"/>
                    </w:tcBorders>
                    <w:shd w:val="clear" w:color="auto" w:fill="DBE5F1"/>
                  </w:tcPr>
                  <w:p>
                    <w:pPr>
                      <w:jc w:val="center"/>
                      <w:rPr>
                        <w:rFonts w:eastAsia="Calibri"/>
                        <w:color w:val="000000"/>
                        <w:sz w:val="20"/>
                        <w:szCs w:val="24"/>
                        <w:lang w:eastAsia="lt-LT"/>
                      </w:rPr>
                    </w:pPr>
                    <w:r>
                      <w:rPr>
                        <w:rFonts w:eastAsia="Calibri"/>
                        <w:color w:val="000000"/>
                        <w:sz w:val="20"/>
                        <w:szCs w:val="24"/>
                        <w:lang w:eastAsia="lt-LT"/>
                      </w:rPr>
                      <w:t>8</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spacing w:line="259" w:lineRule="auto"/>
                      <w:ind w:left="458" w:hanging="458"/>
                      <w:rPr>
                        <w:rFonts w:eastAsia="Calibri"/>
                        <w:iCs/>
                        <w:color w:val="808080"/>
                        <w:sz w:val="20"/>
                        <w:szCs w:val="24"/>
                        <w:lang w:eastAsia="lt-LT"/>
                      </w:rPr>
                    </w:pPr>
                    <w:r>
                      <w:rPr>
                        <w:rFonts w:eastAsia="Calibri"/>
                        <w:iCs/>
                        <w:sz w:val="20"/>
                      </w:rPr>
                      <w:t>1.1.1.</w:t>
                      <w:tab/>
                    </w:r>
                    <w:r>
                      <w:rPr>
                        <w:sz w:val="20"/>
                        <w:szCs w:val="24"/>
                        <w:lang w:eastAsia="lt-LT"/>
                      </w:rPr>
                      <w:t>Uždavinys.</w:t>
                    </w:r>
                  </w:p>
                  <w:p>
                    <w:pPr>
                      <w:rPr>
                        <w:rFonts w:eastAsia="Calibri"/>
                        <w:iCs/>
                        <w:color w:val="808080"/>
                        <w:sz w:val="20"/>
                        <w:lang w:eastAsia="lt-LT"/>
                      </w:rPr>
                    </w:pPr>
                    <w:r>
                      <w:rPr>
                        <w:sz w:val="20"/>
                        <w:lang w:eastAsia="lt-LT"/>
                      </w:rPr>
                      <w:t>Tarybos, savivaldybės administracijos ir jos įstaigų veiklos modernizavimas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Tarybos, savivaldybės administracijos ir jos įstaigų narių ir </w:t>
                    </w:r>
                  </w:p>
                  <w:p>
                    <w:pPr>
                      <w:rPr>
                        <w:rFonts w:eastAsia="Calibri"/>
                        <w:iCs/>
                        <w:sz w:val="20"/>
                        <w:lang w:eastAsia="lt-LT"/>
                      </w:rPr>
                    </w:pPr>
                    <w:r>
                      <w:rPr>
                        <w:rFonts w:eastAsia="Calibri"/>
                        <w:iCs/>
                        <w:sz w:val="20"/>
                        <w:lang w:eastAsia="lt-LT"/>
                      </w:rPr>
                      <w:t>darbuotojų pasitenkinimas darbo aplinka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82,5</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82,7</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83</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60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spacing w:line="259" w:lineRule="auto"/>
                      <w:ind w:left="458" w:hanging="458"/>
                      <w:rPr>
                        <w:rFonts w:eastAsia="Calibri"/>
                        <w:iCs/>
                        <w:sz w:val="20"/>
                        <w:szCs w:val="24"/>
                        <w:lang w:eastAsia="lt-LT"/>
                      </w:rPr>
                    </w:pPr>
                    <w:r>
                      <w:rPr>
                        <w:rFonts w:eastAsia="Calibri"/>
                        <w:iCs/>
                        <w:sz w:val="20"/>
                      </w:rPr>
                      <w:t>1.1.2.</w:t>
                      <w:tab/>
                    </w:r>
                    <w:r>
                      <w:rPr>
                        <w:rFonts w:eastAsia="Calibri"/>
                        <w:iCs/>
                        <w:sz w:val="20"/>
                        <w:szCs w:val="24"/>
                        <w:lang w:eastAsia="lt-LT"/>
                      </w:rPr>
                      <w:t>Uždavinys.</w:t>
                    </w:r>
                  </w:p>
                  <w:p>
                    <w:pPr>
                      <w:rPr>
                        <w:rFonts w:eastAsia="Calibri"/>
                        <w:iCs/>
                        <w:sz w:val="20"/>
                        <w:lang w:eastAsia="lt-LT"/>
                      </w:rPr>
                    </w:pPr>
                    <w:r>
                      <w:rPr>
                        <w:rFonts w:eastAsia="Calibri"/>
                        <w:iCs/>
                        <w:sz w:val="20"/>
                        <w:lang w:eastAsia="lt-LT"/>
                      </w:rPr>
                      <w:t>Savivaldybės įmonių valdymo modernizavimas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
                        <w:color w:val="808080"/>
                        <w:sz w:val="20"/>
                        <w:lang w:eastAsia="lt-LT"/>
                      </w:rPr>
                    </w:pPr>
                    <w:r>
                      <w:rPr>
                        <w:sz w:val="20"/>
                        <w:lang w:eastAsia="lt-LT"/>
                      </w:rPr>
                      <w:t>Gyventojų pasitenkinimas savivaldybės įmonių teikiamomis viešosiomis paslaugomis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
                        <w:color w:val="808080"/>
                        <w:sz w:val="20"/>
                        <w:lang w:eastAsia="lt-LT"/>
                      </w:rPr>
                    </w:pPr>
                    <w:r>
                      <w:rPr>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82,5</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82,7</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83</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60</w:t>
                    </w:r>
                  </w:p>
                </w:tc>
              </w:tr>
              <w:tr>
                <w:trPr>
                  <w:trHeight w:val="2409"/>
                  <w:jc w:val="center"/>
                </w:trPr>
                <w:tc>
                  <w:tcPr>
                    <w:tcW w:w="2122" w:type="dxa"/>
                    <w:tcBorders>
                      <w:top w:val="single" w:sz="4" w:space="0" w:color="auto"/>
                      <w:left w:val="single" w:sz="4" w:space="0" w:color="auto"/>
                      <w:bottom w:val="single" w:sz="4" w:space="0" w:color="auto"/>
                      <w:right w:val="single" w:sz="4" w:space="0" w:color="auto"/>
                    </w:tcBorders>
                  </w:tcPr>
                  <w:p>
                    <w:pPr>
                      <w:spacing w:line="259" w:lineRule="auto"/>
                      <w:ind w:left="458" w:hanging="458"/>
                      <w:rPr>
                        <w:rFonts w:eastAsia="Calibri"/>
                        <w:color w:val="808080"/>
                        <w:sz w:val="20"/>
                        <w:szCs w:val="24"/>
                        <w:lang w:eastAsia="lt-LT"/>
                      </w:rPr>
                    </w:pPr>
                    <w:r>
                      <w:rPr>
                        <w:rFonts w:eastAsia="Calibri"/>
                        <w:sz w:val="20"/>
                      </w:rPr>
                      <w:t>1.1.3.</w:t>
                      <w:tab/>
                    </w:r>
                    <w:r>
                      <w:rPr>
                        <w:sz w:val="20"/>
                        <w:szCs w:val="24"/>
                        <w:lang w:eastAsia="lt-LT"/>
                      </w:rPr>
                      <w:t>Uždavinys.</w:t>
                    </w:r>
                  </w:p>
                  <w:p>
                    <w:pPr>
                      <w:rPr>
                        <w:rFonts w:eastAsia="Calibri"/>
                        <w:color w:val="808080"/>
                        <w:sz w:val="20"/>
                        <w:lang w:eastAsia="lt-LT"/>
                      </w:rPr>
                    </w:pPr>
                    <w:r>
                      <w:rPr>
                        <w:sz w:val="20"/>
                        <w:lang w:eastAsia="lt-LT"/>
                      </w:rPr>
                      <w:t>Tarybos narių, savivaldybės administracijos ir savivaldybės įstaigų darbuotojų bendrųjų ir specialiųjų kompetencijų tobulinimas ir kvalifikacijos kėlimas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
                        <w:color w:val="808080"/>
                        <w:sz w:val="20"/>
                        <w:lang w:eastAsia="lt-LT"/>
                      </w:rPr>
                    </w:pPr>
                    <w:r>
                      <w:rPr>
                        <w:sz w:val="20"/>
                        <w:lang w:eastAsia="lt-LT"/>
                      </w:rPr>
                      <w:t>Mokymo ir kvalifikacijos kėlimo renginių dalyvių skaičius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120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120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120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120</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20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1.2.1.</w:t>
                    </w:r>
                    <w:r>
                      <w:rPr>
                        <w:sz w:val="20"/>
                        <w:lang w:eastAsia="lt-LT"/>
                      </w:rPr>
                      <w:t xml:space="preserve"> </w:t>
                    </w:r>
                    <w:r>
                      <w:rPr>
                        <w:rFonts w:eastAsia="Calibri"/>
                        <w:iCs/>
                        <w:sz w:val="20"/>
                        <w:lang w:eastAsia="lt-LT"/>
                      </w:rPr>
                      <w:t xml:space="preserve">Uždavinys. Parama bendruomeninių </w:t>
                    </w:r>
                  </w:p>
                  <w:p>
                    <w:pPr>
                      <w:rPr>
                        <w:rFonts w:eastAsia="Calibri"/>
                        <w:b/>
                        <w:bCs/>
                        <w:iCs/>
                        <w:color w:val="808080"/>
                        <w:sz w:val="20"/>
                        <w:lang w:eastAsia="lt-LT"/>
                      </w:rPr>
                    </w:pPr>
                    <w:r>
                      <w:rPr>
                        <w:rFonts w:eastAsia="Calibri"/>
                        <w:iCs/>
                        <w:sz w:val="20"/>
                        <w:lang w:eastAsia="lt-LT"/>
                      </w:rPr>
                      <w:t>organizacijų ir NVO veiklai</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Nevyriausybinių organizacijų ir bendruomenių, teikiančių  gyventojams reikalingas paslaugas, paslaugų skaičiaus </w:t>
                    </w:r>
                  </w:p>
                  <w:p>
                    <w:pPr>
                      <w:rPr>
                        <w:rFonts w:eastAsia="Calibri"/>
                        <w:iCs/>
                        <w:color w:val="808080"/>
                        <w:sz w:val="20"/>
                        <w:lang w:eastAsia="lt-LT"/>
                      </w:rPr>
                    </w:pPr>
                    <w:r>
                      <w:rPr>
                        <w:rFonts w:eastAsia="Calibri"/>
                        <w:iCs/>
                        <w:sz w:val="20"/>
                        <w:lang w:eastAsia="lt-LT"/>
                      </w:rPr>
                      <w:t>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70,45</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73,25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76,05</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66.67</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100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1.2.2. Uždavinys. Gyventojų įsitraukimo į savivaldybės institucijų valdymą sistemos kūrimas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Gyventojų dalyvavimo savivaldybės sprendimų priėmimo procese dalis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4,3</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4,4</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4,5</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4,1</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b/>
                        <w:bCs/>
                        <w:iCs/>
                        <w:sz w:val="20"/>
                        <w:lang w:eastAsia="lt-LT"/>
                      </w:rPr>
                    </w:pPr>
                    <w:r>
                      <w:rPr>
                        <w:rFonts w:eastAsia="Calibri"/>
                        <w:b/>
                        <w:bCs/>
                        <w:iCs/>
                        <w:sz w:val="20"/>
                        <w:lang w:eastAsia="lt-LT"/>
                      </w:rPr>
                      <w:t xml:space="preserve">2.1. Tikslas. </w:t>
                    </w:r>
                  </w:p>
                  <w:p>
                    <w:pPr>
                      <w:rPr>
                        <w:rFonts w:eastAsia="Calibri"/>
                        <w:b/>
                        <w:bCs/>
                        <w:iCs/>
                        <w:sz w:val="20"/>
                        <w:lang w:eastAsia="lt-LT"/>
                      </w:rPr>
                    </w:pPr>
                    <w:r>
                      <w:rPr>
                        <w:rFonts w:eastAsia="Calibri"/>
                        <w:b/>
                        <w:bCs/>
                        <w:iCs/>
                        <w:sz w:val="20"/>
                        <w:lang w:eastAsia="lt-LT"/>
                      </w:rPr>
                      <w:t>Galimybių atvykti, dirbti ir gyventi Telšių rajone didinimas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Pridėtinės vertės gamybos sąnaudomis augimas Telšių </w:t>
                    </w:r>
                  </w:p>
                  <w:p>
                    <w:pPr>
                      <w:rPr>
                        <w:rFonts w:eastAsia="Calibri"/>
                        <w:i/>
                        <w:color w:val="808080"/>
                        <w:sz w:val="20"/>
                        <w:lang w:eastAsia="lt-LT"/>
                      </w:rPr>
                    </w:pPr>
                    <w:r>
                      <w:rPr>
                        <w:rFonts w:eastAsia="Calibri"/>
                        <w:iCs/>
                        <w:sz w:val="20"/>
                        <w:lang w:eastAsia="lt-LT"/>
                      </w:rPr>
                      <w:t>rajone (tūkst. Eurų)</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164.447</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263.904</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269.182</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274.565</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255.344</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200.000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2.1.1. Uždavinys. </w:t>
                    </w:r>
                  </w:p>
                  <w:p>
                    <w:pPr>
                      <w:rPr>
                        <w:rFonts w:eastAsia="Calibri"/>
                        <w:iCs/>
                        <w:sz w:val="20"/>
                        <w:lang w:eastAsia="lt-LT"/>
                      </w:rPr>
                    </w:pPr>
                    <w:r>
                      <w:rPr>
                        <w:rFonts w:eastAsia="Calibri"/>
                        <w:iCs/>
                        <w:sz w:val="20"/>
                        <w:lang w:eastAsia="lt-LT"/>
                      </w:rPr>
                      <w:t>Naujų nuolatinių gyventojų pritraukimas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Neto vidaus migracija – atvykusių ir išvykusių rajono </w:t>
                    </w:r>
                  </w:p>
                  <w:p>
                    <w:pPr>
                      <w:rPr>
                        <w:rFonts w:eastAsia="Calibri"/>
                        <w:i/>
                        <w:color w:val="808080"/>
                        <w:sz w:val="20"/>
                        <w:lang w:eastAsia="lt-LT"/>
                      </w:rPr>
                    </w:pPr>
                    <w:r>
                      <w:rPr>
                        <w:rFonts w:eastAsia="Calibri"/>
                        <w:iCs/>
                        <w:sz w:val="20"/>
                        <w:lang w:eastAsia="lt-LT"/>
                      </w:rPr>
                      <w:t>gyventojų skaičiaus skirtumas (+; –vnt.)</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–314</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-50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-54</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color w:val="808080"/>
                        <w:sz w:val="20"/>
                        <w:lang w:eastAsia="lt-LT"/>
                      </w:rPr>
                    </w:pPr>
                    <w:r>
                      <w:rPr>
                        <w:rFonts w:eastAsia="Calibri"/>
                        <w:iCs/>
                        <w:sz w:val="20"/>
                        <w:lang w:eastAsia="lt-LT"/>
                      </w:rPr>
                      <w:t>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2.1.2. Uždavinys. Esminis gyventojų šeimų didėjimas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Nuolatinių gyventojų vaikų, kitų šeimos narių (gimusiųjų, </w:t>
                    </w:r>
                  </w:p>
                  <w:p>
                    <w:pPr>
                      <w:rPr>
                        <w:rFonts w:eastAsia="Calibri"/>
                        <w:iCs/>
                        <w:sz w:val="20"/>
                        <w:lang w:eastAsia="lt-LT"/>
                      </w:rPr>
                    </w:pPr>
                    <w:r>
                      <w:rPr>
                        <w:rFonts w:eastAsia="Calibri"/>
                        <w:iCs/>
                        <w:sz w:val="20"/>
                        <w:lang w:eastAsia="lt-LT"/>
                      </w:rPr>
                      <w:t>gyvenamąją vietą deklaravusiųjų) skaičiaus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-8,2</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-9,4</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-2.4</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b/>
                        <w:bCs/>
                        <w:iCs/>
                        <w:sz w:val="20"/>
                        <w:lang w:eastAsia="lt-LT"/>
                      </w:rPr>
                    </w:pPr>
                    <w:r>
                      <w:rPr>
                        <w:rFonts w:eastAsia="Calibri"/>
                        <w:b/>
                        <w:bCs/>
                        <w:iCs/>
                        <w:sz w:val="20"/>
                        <w:lang w:eastAsia="lt-LT"/>
                      </w:rPr>
                      <w:t xml:space="preserve">2.2. Tikslas. </w:t>
                    </w:r>
                  </w:p>
                  <w:p>
                    <w:pPr>
                      <w:rPr>
                        <w:rFonts w:eastAsia="Calibri"/>
                        <w:b/>
                        <w:bCs/>
                        <w:iCs/>
                        <w:sz w:val="20"/>
                        <w:lang w:eastAsia="lt-LT"/>
                      </w:rPr>
                    </w:pPr>
                    <w:r>
                      <w:rPr>
                        <w:rFonts w:eastAsia="Calibri"/>
                        <w:b/>
                        <w:bCs/>
                        <w:iCs/>
                        <w:sz w:val="20"/>
                        <w:lang w:eastAsia="lt-LT"/>
                      </w:rPr>
                      <w:t>Smulkiojo ir vidutinio verslo plėtros skatinimas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Užimtų gyventojų skaičiaus didėjimas, tūkst.</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17.800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17.100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17.300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17.450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17.100</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24.000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2.2.1.</w:t>
                    </w:r>
                    <w:r>
                      <w:rPr>
                        <w:sz w:val="20"/>
                        <w:lang w:eastAsia="lt-LT"/>
                      </w:rPr>
                      <w:t xml:space="preserve"> </w:t>
                    </w:r>
                    <w:r>
                      <w:rPr>
                        <w:rFonts w:eastAsia="Calibri"/>
                        <w:iCs/>
                        <w:sz w:val="20"/>
                        <w:lang w:eastAsia="lt-LT"/>
                      </w:rPr>
                      <w:t xml:space="preserve">Uždavinys. Sudaryti sąlygas kurti </w:t>
                    </w:r>
                  </w:p>
                  <w:p>
                    <w:pPr>
                      <w:rPr>
                        <w:rFonts w:eastAsia="Calibri"/>
                        <w:iCs/>
                        <w:sz w:val="20"/>
                        <w:lang w:eastAsia="lt-LT"/>
                      </w:rPr>
                    </w:pPr>
                    <w:r>
                      <w:rPr>
                        <w:rFonts w:eastAsia="Calibri"/>
                        <w:iCs/>
                        <w:sz w:val="20"/>
                        <w:lang w:eastAsia="lt-LT"/>
                      </w:rPr>
                      <w:t xml:space="preserve">smulkųjį ir vidutinį verslą, išnaudojant </w:t>
                    </w:r>
                  </w:p>
                  <w:p>
                    <w:pPr>
                      <w:rPr>
                        <w:rFonts w:eastAsia="Calibri"/>
                        <w:iCs/>
                        <w:sz w:val="20"/>
                        <w:lang w:eastAsia="lt-LT"/>
                      </w:rPr>
                    </w:pPr>
                    <w:r>
                      <w:rPr>
                        <w:rFonts w:eastAsia="Calibri"/>
                        <w:iCs/>
                        <w:sz w:val="20"/>
                        <w:lang w:eastAsia="lt-LT"/>
                      </w:rPr>
                      <w:t>infrastruktūrą</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Investicijų, reikalingų verslo infrastruktūrai sukurti, ir įgyvendintų projektų skaičius</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5</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2.2.2. Uždavinys. Gyventojų verslumo </w:t>
                    </w:r>
                  </w:p>
                  <w:p>
                    <w:pPr>
                      <w:rPr>
                        <w:rFonts w:eastAsia="Calibri"/>
                        <w:iCs/>
                        <w:sz w:val="20"/>
                        <w:lang w:eastAsia="lt-LT"/>
                      </w:rPr>
                    </w:pPr>
                    <w:r>
                      <w:rPr>
                        <w:rFonts w:eastAsia="Calibri"/>
                        <w:iCs/>
                        <w:sz w:val="20"/>
                        <w:lang w:eastAsia="lt-LT"/>
                      </w:rPr>
                      <w:t>stiprinimas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Veikiančių smulkiųjų ir vidutinių įmonių skaičiaus augimas</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825</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1038</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1050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1055</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1038</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900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b/>
                        <w:bCs/>
                        <w:iCs/>
                        <w:sz w:val="20"/>
                        <w:lang w:eastAsia="lt-LT"/>
                      </w:rPr>
                    </w:pPr>
                    <w:r>
                      <w:rPr>
                        <w:rFonts w:eastAsia="Calibri"/>
                        <w:b/>
                        <w:bCs/>
                        <w:iCs/>
                        <w:sz w:val="20"/>
                        <w:lang w:eastAsia="lt-LT"/>
                      </w:rPr>
                      <w:t xml:space="preserve">2.3. Tikslas. </w:t>
                    </w:r>
                  </w:p>
                  <w:p>
                    <w:pPr>
                      <w:rPr>
                        <w:rFonts w:eastAsia="Calibri"/>
                        <w:b/>
                        <w:bCs/>
                        <w:iCs/>
                        <w:sz w:val="20"/>
                        <w:lang w:eastAsia="lt-LT"/>
                      </w:rPr>
                    </w:pPr>
                    <w:r>
                      <w:rPr>
                        <w:rFonts w:eastAsia="Calibri"/>
                        <w:b/>
                        <w:bCs/>
                        <w:iCs/>
                        <w:sz w:val="20"/>
                        <w:lang w:eastAsia="lt-LT"/>
                      </w:rPr>
                      <w:t>Žemės ūkio ir pramonės plėtojimas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Darbo vietų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N. d.</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2.3.1. Uždavinys. </w:t>
                    </w:r>
                  </w:p>
                  <w:p>
                    <w:pPr>
                      <w:rPr>
                        <w:rFonts w:eastAsia="Calibri"/>
                        <w:iCs/>
                        <w:sz w:val="20"/>
                        <w:lang w:eastAsia="lt-LT"/>
                      </w:rPr>
                    </w:pPr>
                    <w:r>
                      <w:rPr>
                        <w:rFonts w:eastAsia="Calibri"/>
                        <w:iCs/>
                        <w:sz w:val="20"/>
                        <w:lang w:eastAsia="lt-LT"/>
                      </w:rPr>
                      <w:t xml:space="preserve">Žemės ūkio naudingumo </w:t>
                    </w:r>
                  </w:p>
                  <w:p>
                    <w:pPr>
                      <w:rPr>
                        <w:rFonts w:eastAsia="Calibri"/>
                        <w:iCs/>
                        <w:sz w:val="20"/>
                        <w:lang w:eastAsia="lt-LT"/>
                      </w:rPr>
                    </w:pPr>
                    <w:r>
                      <w:rPr>
                        <w:rFonts w:eastAsia="Calibri"/>
                        <w:iCs/>
                        <w:sz w:val="20"/>
                        <w:lang w:eastAsia="lt-LT"/>
                      </w:rPr>
                      <w:t>stiprinimas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Naujai įkurtų, alternatyvių žemės ūkio veiklai, verslų </w:t>
                    </w:r>
                  </w:p>
                  <w:p>
                    <w:pPr>
                      <w:rPr>
                        <w:rFonts w:eastAsia="Calibri"/>
                        <w:iCs/>
                        <w:sz w:val="20"/>
                        <w:lang w:eastAsia="lt-LT"/>
                      </w:rPr>
                    </w:pPr>
                    <w:r>
                      <w:rPr>
                        <w:rFonts w:eastAsia="Calibri"/>
                        <w:iCs/>
                        <w:sz w:val="20"/>
                        <w:lang w:eastAsia="lt-LT"/>
                      </w:rPr>
                      <w:t>skaičiaus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44</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46</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42,8</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4</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b/>
                        <w:bCs/>
                        <w:iCs/>
                        <w:sz w:val="20"/>
                        <w:lang w:eastAsia="lt-LT"/>
                      </w:rPr>
                    </w:pPr>
                    <w:r>
                      <w:rPr>
                        <w:rFonts w:eastAsia="Calibri"/>
                        <w:b/>
                        <w:bCs/>
                        <w:iCs/>
                        <w:sz w:val="20"/>
                        <w:lang w:eastAsia="lt-LT"/>
                      </w:rPr>
                      <w:t xml:space="preserve">3.1. Tikslas. Kokybiškos socialinės </w:t>
                    </w:r>
                  </w:p>
                  <w:p>
                    <w:pPr>
                      <w:rPr>
                        <w:rFonts w:eastAsia="Calibri"/>
                        <w:b/>
                        <w:bCs/>
                        <w:iCs/>
                        <w:sz w:val="20"/>
                        <w:lang w:eastAsia="lt-LT"/>
                      </w:rPr>
                    </w:pPr>
                    <w:r>
                      <w:rPr>
                        <w:rFonts w:eastAsia="Calibri"/>
                        <w:b/>
                        <w:bCs/>
                        <w:iCs/>
                        <w:sz w:val="20"/>
                        <w:lang w:eastAsia="lt-LT"/>
                      </w:rPr>
                      <w:t>paslaugos ir socialinės atskirties mažinimas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Gyventojų pasitenkinimas gaunamomis socialinėmis </w:t>
                    </w:r>
                  </w:p>
                  <w:p>
                    <w:pPr>
                      <w:rPr>
                        <w:rFonts w:eastAsia="Calibri"/>
                        <w:iCs/>
                        <w:sz w:val="20"/>
                        <w:lang w:eastAsia="lt-LT"/>
                      </w:rPr>
                    </w:pPr>
                    <w:r>
                      <w:rPr>
                        <w:rFonts w:eastAsia="Calibri"/>
                        <w:iCs/>
                        <w:sz w:val="20"/>
                        <w:lang w:eastAsia="lt-LT"/>
                      </w:rPr>
                      <w:t>paslaugomis ir suteikiama parama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32,8</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34,8</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36,8</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16</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3.1.1. Uždavinys. Socialinių paslaugų </w:t>
                    </w:r>
                  </w:p>
                  <w:p>
                    <w:pPr>
                      <w:rPr>
                        <w:rFonts w:eastAsia="Calibri"/>
                        <w:b/>
                        <w:bCs/>
                        <w:iCs/>
                        <w:sz w:val="20"/>
                        <w:lang w:eastAsia="lt-LT"/>
                      </w:rPr>
                    </w:pPr>
                    <w:r>
                      <w:rPr>
                        <w:rFonts w:eastAsia="Calibri"/>
                        <w:iCs/>
                        <w:sz w:val="20"/>
                        <w:lang w:eastAsia="lt-LT"/>
                      </w:rPr>
                      <w:t>poreikio gyventojams užtikrinimas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Rajono gyventojų, gaunančių socialines paslaugas, palyginti su turinčiais teisę jas gauti, dalis,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99,8</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99,9</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100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99,84</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3.1.2. Uždavinys. Socialinių paslaugų </w:t>
                    </w:r>
                  </w:p>
                  <w:p>
                    <w:pPr>
                      <w:rPr>
                        <w:rFonts w:eastAsia="Calibri"/>
                        <w:iCs/>
                        <w:sz w:val="20"/>
                        <w:lang w:eastAsia="lt-LT"/>
                      </w:rPr>
                    </w:pPr>
                    <w:r>
                      <w:rPr>
                        <w:rFonts w:eastAsia="Calibri"/>
                        <w:iCs/>
                        <w:sz w:val="20"/>
                        <w:lang w:eastAsia="lt-LT"/>
                      </w:rPr>
                      <w:t>aukštesnės kokybės užtikrinimas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Socialinėms paslaugoms skirtos Savivaldybės biudžeto išlaidos, tenkančios vienam gyventojui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77,1</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82,1</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87,1</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38,5</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b/>
                        <w:bCs/>
                        <w:iCs/>
                        <w:sz w:val="20"/>
                        <w:lang w:eastAsia="lt-LT"/>
                      </w:rPr>
                    </w:pPr>
                    <w:r>
                      <w:rPr>
                        <w:rFonts w:eastAsia="Calibri"/>
                        <w:b/>
                        <w:bCs/>
                        <w:iCs/>
                        <w:sz w:val="20"/>
                        <w:lang w:eastAsia="lt-LT"/>
                      </w:rPr>
                      <w:t xml:space="preserve">3.2. Tikslas. </w:t>
                    </w:r>
                  </w:p>
                  <w:p>
                    <w:pPr>
                      <w:rPr>
                        <w:rFonts w:eastAsia="Calibri"/>
                        <w:b/>
                        <w:bCs/>
                        <w:iCs/>
                        <w:sz w:val="20"/>
                        <w:lang w:eastAsia="lt-LT"/>
                      </w:rPr>
                    </w:pPr>
                    <w:r>
                      <w:rPr>
                        <w:rFonts w:eastAsia="Calibri"/>
                        <w:b/>
                        <w:bCs/>
                        <w:iCs/>
                        <w:sz w:val="20"/>
                        <w:lang w:eastAsia="lt-LT"/>
                      </w:rPr>
                      <w:t xml:space="preserve">Diegti inovatyvią ir </w:t>
                    </w:r>
                  </w:p>
                  <w:p>
                    <w:pPr>
                      <w:rPr>
                        <w:rFonts w:eastAsia="Calibri"/>
                        <w:iCs/>
                        <w:sz w:val="20"/>
                        <w:lang w:eastAsia="lt-LT"/>
                      </w:rPr>
                    </w:pPr>
                    <w:r>
                      <w:rPr>
                        <w:rFonts w:eastAsia="Calibri"/>
                        <w:b/>
                        <w:bCs/>
                        <w:iCs/>
                        <w:sz w:val="20"/>
                        <w:lang w:eastAsia="lt-LT"/>
                      </w:rPr>
                      <w:t>kokybišką švietimo sistemą</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Savivaldybės mokinių valstybinių egzaminų rezultatų </w:t>
                    </w:r>
                  </w:p>
                  <w:p>
                    <w:pPr>
                      <w:rPr>
                        <w:rFonts w:eastAsia="Calibri"/>
                        <w:iCs/>
                        <w:sz w:val="20"/>
                        <w:lang w:eastAsia="lt-LT"/>
                      </w:rPr>
                    </w:pPr>
                    <w:r>
                      <w:rPr>
                        <w:rFonts w:eastAsia="Calibri"/>
                        <w:iCs/>
                        <w:sz w:val="20"/>
                        <w:lang w:eastAsia="lt-LT"/>
                      </w:rPr>
                      <w:t xml:space="preserve">vidurkio, palyginti su visos šalies mokinių valstybinių </w:t>
                    </w:r>
                  </w:p>
                  <w:p>
                    <w:pPr>
                      <w:rPr>
                        <w:rFonts w:eastAsia="Calibri"/>
                        <w:iCs/>
                        <w:sz w:val="20"/>
                        <w:lang w:eastAsia="lt-LT"/>
                      </w:rPr>
                    </w:pPr>
                    <w:r>
                      <w:rPr>
                        <w:rFonts w:eastAsia="Calibri"/>
                        <w:iCs/>
                        <w:sz w:val="20"/>
                        <w:lang w:eastAsia="lt-LT"/>
                      </w:rPr>
                      <w:t>egzaminų rezultatų vidurkiu, teigiamo santykio augimas</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0,89</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0,9</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0,92</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0,95</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0,97</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3.2.1. Uždavinys. Aukštos ir tolygios ugdymo paslaugų teikimo kokybės užtikrinimas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Standartizuotas apibendrintas valstybinių brandos </w:t>
                    </w:r>
                  </w:p>
                  <w:p>
                    <w:pPr>
                      <w:rPr>
                        <w:rFonts w:eastAsia="Calibri"/>
                        <w:iCs/>
                        <w:sz w:val="20"/>
                        <w:lang w:eastAsia="lt-LT"/>
                      </w:rPr>
                    </w:pPr>
                    <w:r>
                      <w:rPr>
                        <w:rFonts w:eastAsia="Calibri"/>
                        <w:iCs/>
                        <w:sz w:val="20"/>
                        <w:lang w:eastAsia="lt-LT"/>
                      </w:rPr>
                      <w:t>egzaminų rodiklis</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0,5</w:t>
                    </w:r>
                  </w:p>
                  <w:p>
                    <w:pPr>
                      <w:jc w:val="center"/>
                      <w:rPr>
                        <w:rFonts w:eastAsia="Calibri"/>
                        <w:i/>
                        <w:sz w:val="20"/>
                        <w:lang w:eastAsia="lt-LT"/>
                      </w:rPr>
                    </w:pPr>
                    <w:r>
                      <w:rPr>
                        <w:rFonts w:eastAsia="Calibri"/>
                        <w:i/>
                        <w:sz w:val="20"/>
                        <w:lang w:eastAsia="lt-LT"/>
                      </w:rPr>
                      <w:t>(laikytina pradinė reikšmė – 0,11)</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0,48</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0,48</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0,49</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0,41</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 xml:space="preserve">0,9 </w:t>
                    </w:r>
                  </w:p>
                  <w:p>
                    <w:pPr>
                      <w:jc w:val="center"/>
                      <w:rPr>
                        <w:rFonts w:eastAsia="Calibri"/>
                        <w:iCs/>
                        <w:sz w:val="20"/>
                        <w:lang w:eastAsia="lt-LT"/>
                      </w:rPr>
                    </w:pPr>
                    <w:r>
                      <w:rPr>
                        <w:rFonts w:eastAsia="Calibri"/>
                        <w:i/>
                        <w:sz w:val="20"/>
                        <w:lang w:eastAsia="lt-LT"/>
                      </w:rPr>
                      <w:t>(laikytina siekiama reikšmė – 0,5)</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3.2.2. Uždavinys. </w:t>
                    </w:r>
                  </w:p>
                  <w:p>
                    <w:pPr>
                      <w:rPr>
                        <w:rFonts w:eastAsia="Calibri"/>
                        <w:iCs/>
                        <w:sz w:val="20"/>
                        <w:lang w:eastAsia="lt-LT"/>
                      </w:rPr>
                    </w:pPr>
                    <w:r>
                      <w:rPr>
                        <w:rFonts w:eastAsia="Calibri"/>
                        <w:iCs/>
                        <w:sz w:val="20"/>
                        <w:lang w:eastAsia="lt-LT"/>
                      </w:rPr>
                      <w:t>Plėsti įtraukųjį ugdymą ir gerinti švietimo pagalbos paslaugas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Švietimo pagalbos paslaugą gaunančių mokinių dalis, </w:t>
                    </w:r>
                  </w:p>
                  <w:p>
                    <w:pPr>
                      <w:rPr>
                        <w:rFonts w:eastAsia="Calibri"/>
                        <w:iCs/>
                        <w:sz w:val="20"/>
                        <w:lang w:eastAsia="lt-LT"/>
                      </w:rPr>
                    </w:pPr>
                    <w:r>
                      <w:rPr>
                        <w:rFonts w:eastAsia="Calibri"/>
                        <w:iCs/>
                        <w:sz w:val="20"/>
                        <w:lang w:eastAsia="lt-LT"/>
                      </w:rPr>
                      <w:t>palyginti su visų mokinių (turimas poreikis), skaičiumi,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89</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92,4</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93</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94</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92,4</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3.2.3. Uždavinys. Švietimo, savišvietos </w:t>
                    </w:r>
                  </w:p>
                  <w:p>
                    <w:pPr>
                      <w:rPr>
                        <w:rFonts w:eastAsia="Calibri"/>
                        <w:iCs/>
                        <w:sz w:val="20"/>
                        <w:lang w:eastAsia="lt-LT"/>
                      </w:rPr>
                    </w:pPr>
                    <w:r>
                      <w:rPr>
                        <w:rFonts w:eastAsia="Calibri"/>
                        <w:iCs/>
                        <w:sz w:val="20"/>
                        <w:lang w:eastAsia="lt-LT"/>
                      </w:rPr>
                      <w:t>įstaigų, organizacijų ir švietėjiškos veiklos plėtra</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Neformaliojo suaugusiųjų švietimo paslaugų gavėjų skaičius, vnt.</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10 383</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10500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10700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11000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 xml:space="preserve">26 241 </w:t>
                    </w:r>
                    <w:r>
                      <w:rPr>
                        <w:rFonts w:eastAsia="Calibri"/>
                        <w:i/>
                        <w:sz w:val="20"/>
                        <w:lang w:eastAsia="lt-LT"/>
                      </w:rPr>
                      <w:t>(ne unikalūs paslaugų gavėjai)</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11 000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b/>
                        <w:bCs/>
                        <w:iCs/>
                        <w:sz w:val="20"/>
                        <w:lang w:eastAsia="lt-LT"/>
                      </w:rPr>
                    </w:pPr>
                    <w:r>
                      <w:rPr>
                        <w:rFonts w:eastAsia="Calibri"/>
                        <w:b/>
                        <w:bCs/>
                        <w:iCs/>
                        <w:sz w:val="20"/>
                        <w:lang w:eastAsia="lt-LT"/>
                      </w:rPr>
                      <w:t xml:space="preserve">3.3. Tikslas. Kokybiškos sveikatos </w:t>
                    </w:r>
                  </w:p>
                  <w:p>
                    <w:pPr>
                      <w:rPr>
                        <w:rFonts w:eastAsia="Calibri"/>
                        <w:b/>
                        <w:bCs/>
                        <w:iCs/>
                        <w:sz w:val="20"/>
                        <w:lang w:eastAsia="lt-LT"/>
                      </w:rPr>
                    </w:pPr>
                    <w:r>
                      <w:rPr>
                        <w:rFonts w:eastAsia="Calibri"/>
                        <w:b/>
                        <w:bCs/>
                        <w:iCs/>
                        <w:sz w:val="20"/>
                        <w:lang w:eastAsia="lt-LT"/>
                      </w:rPr>
                      <w:t>priežiūros paslaugos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Rajono sergančių asmenų ligotumo rodiklis (sergančių </w:t>
                    </w:r>
                  </w:p>
                  <w:p>
                    <w:pPr>
                      <w:rPr>
                        <w:rFonts w:eastAsia="Calibri"/>
                        <w:iCs/>
                        <w:sz w:val="20"/>
                        <w:lang w:eastAsia="lt-LT"/>
                      </w:rPr>
                    </w:pPr>
                    <w:r>
                      <w:rPr>
                        <w:rFonts w:eastAsia="Calibri"/>
                        <w:iCs/>
                        <w:sz w:val="20"/>
                        <w:lang w:eastAsia="lt-LT"/>
                      </w:rPr>
                      <w:t>asmenų skaičius, tenkantis 1 000 gyventojų)</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842</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850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800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986,2</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600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3.3.1. Uždavinys. </w:t>
                    </w:r>
                  </w:p>
                  <w:p>
                    <w:pPr>
                      <w:rPr>
                        <w:rFonts w:eastAsia="Calibri"/>
                        <w:iCs/>
                        <w:sz w:val="20"/>
                        <w:lang w:eastAsia="lt-LT"/>
                      </w:rPr>
                    </w:pPr>
                    <w:r>
                      <w:rPr>
                        <w:rFonts w:eastAsia="Calibri"/>
                        <w:iCs/>
                        <w:sz w:val="20"/>
                        <w:lang w:eastAsia="lt-LT"/>
                      </w:rPr>
                      <w:t>Didinti sveikatos priežiūros paslaugų prieinamumą</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Sveikatos priežiūros įstaigų teikiamų paslaugų (stacionaro </w:t>
                    </w:r>
                  </w:p>
                  <w:p>
                    <w:pPr>
                      <w:rPr>
                        <w:rFonts w:eastAsia="Calibri"/>
                        <w:iCs/>
                        <w:sz w:val="20"/>
                        <w:lang w:eastAsia="lt-LT"/>
                      </w:rPr>
                    </w:pPr>
                    <w:r>
                      <w:rPr>
                        <w:rFonts w:eastAsia="Calibri"/>
                        <w:iCs/>
                        <w:sz w:val="20"/>
                        <w:lang w:eastAsia="lt-LT"/>
                      </w:rPr>
                      <w:t xml:space="preserve">lovų užimtumas per metus, lovadieniai) kokybės augimas, </w:t>
                    </w:r>
                  </w:p>
                  <w:p>
                    <w:pPr>
                      <w:rPr>
                        <w:rFonts w:eastAsia="Calibri"/>
                        <w:iCs/>
                        <w:sz w:val="20"/>
                        <w:lang w:eastAsia="lt-LT"/>
                      </w:rPr>
                    </w:pPr>
                    <w:r>
                      <w:rPr>
                        <w:rFonts w:eastAsia="Calibri"/>
                        <w:iCs/>
                        <w:sz w:val="20"/>
                        <w:lang w:eastAsia="lt-LT"/>
                      </w:rPr>
                      <w:t>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300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310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315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315</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71,5</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320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3.3.2. Uždavinys. Profilaktinių sveikatos </w:t>
                    </w:r>
                  </w:p>
                  <w:p>
                    <w:pPr>
                      <w:rPr>
                        <w:rFonts w:eastAsia="Calibri"/>
                        <w:iCs/>
                        <w:sz w:val="20"/>
                        <w:lang w:eastAsia="lt-LT"/>
                      </w:rPr>
                    </w:pPr>
                    <w:r>
                      <w:rPr>
                        <w:rFonts w:eastAsia="Calibri"/>
                        <w:iCs/>
                        <w:sz w:val="20"/>
                        <w:lang w:eastAsia="lt-LT"/>
                      </w:rPr>
                      <w:t>tikrinimų paslaugų gyventojams visuotinio poreikio užtikrinimas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Profilaktiškai patikrintų rajono gyventojų dalis per metus,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46</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65</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80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N. d.</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90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b/>
                        <w:bCs/>
                        <w:iCs/>
                        <w:sz w:val="20"/>
                        <w:lang w:eastAsia="lt-LT"/>
                      </w:rPr>
                    </w:pPr>
                    <w:r>
                      <w:rPr>
                        <w:rFonts w:eastAsia="Calibri"/>
                        <w:b/>
                        <w:bCs/>
                        <w:iCs/>
                        <w:sz w:val="20"/>
                        <w:lang w:eastAsia="lt-LT"/>
                      </w:rPr>
                      <w:t>4.1. Tikslas. Sustiprintas kultūros ir paveldo potencialas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Gyventojų, patenkintų kultūros ir paveldo išsaugojimo </w:t>
                    </w:r>
                  </w:p>
                  <w:p>
                    <w:pPr>
                      <w:rPr>
                        <w:rFonts w:eastAsia="Calibri"/>
                        <w:iCs/>
                        <w:sz w:val="20"/>
                        <w:lang w:eastAsia="lt-LT"/>
                      </w:rPr>
                    </w:pPr>
                    <w:r>
                      <w:rPr>
                        <w:rFonts w:eastAsia="Calibri"/>
                        <w:iCs/>
                        <w:sz w:val="20"/>
                        <w:lang w:eastAsia="lt-LT"/>
                      </w:rPr>
                      <w:t>paslaugomis, skaičiaus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N. d.</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15</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4.1.1. Uždavinys. Skatinti kultūros ir paveldo įtvirtinimą visuomenėje</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Lankytojų, apsilankiusių Telšių rajone vykstančiuose </w:t>
                    </w:r>
                  </w:p>
                  <w:p>
                    <w:pPr>
                      <w:rPr>
                        <w:rFonts w:eastAsia="Calibri"/>
                        <w:iCs/>
                        <w:sz w:val="20"/>
                        <w:lang w:eastAsia="lt-LT"/>
                      </w:rPr>
                    </w:pPr>
                    <w:r>
                      <w:rPr>
                        <w:rFonts w:eastAsia="Calibri"/>
                        <w:iCs/>
                        <w:sz w:val="20"/>
                        <w:lang w:eastAsia="lt-LT"/>
                      </w:rPr>
                      <w:t>kultūros, meno renginiuose, skaičiaus augimas, sk.</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5 000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5000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6000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7000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39 500</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10 000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4.1.2. Uždavinys. </w:t>
                    </w:r>
                  </w:p>
                  <w:p>
                    <w:pPr>
                      <w:rPr>
                        <w:rFonts w:eastAsia="Calibri"/>
                        <w:iCs/>
                        <w:sz w:val="20"/>
                        <w:lang w:eastAsia="lt-LT"/>
                      </w:rPr>
                    </w:pPr>
                    <w:r>
                      <w:rPr>
                        <w:rFonts w:eastAsia="Calibri"/>
                        <w:iCs/>
                        <w:sz w:val="20"/>
                        <w:lang w:eastAsia="lt-LT"/>
                      </w:rPr>
                      <w:t xml:space="preserve">Telšiai – Žemaitijos sostinė de jure ir de fakto </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Žemaičių kalba kalbančių žmonių skaičiaus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30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40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N. d.</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60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4.2.1. Uždavinys. Palankios aplinkos </w:t>
                    </w:r>
                  </w:p>
                  <w:p>
                    <w:pPr>
                      <w:rPr>
                        <w:rFonts w:eastAsia="Calibri"/>
                        <w:iCs/>
                        <w:sz w:val="20"/>
                        <w:lang w:eastAsia="lt-LT"/>
                      </w:rPr>
                    </w:pPr>
                    <w:r>
                      <w:rPr>
                        <w:rFonts w:eastAsia="Calibri"/>
                        <w:iCs/>
                        <w:sz w:val="20"/>
                        <w:lang w:eastAsia="lt-LT"/>
                      </w:rPr>
                      <w:t>kultūriniam ir religiniam turizmui plėtojimas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Užimtumo, apgyvendinimo veikla besiverčiančiose </w:t>
                    </w:r>
                  </w:p>
                  <w:p>
                    <w:pPr>
                      <w:rPr>
                        <w:rFonts w:eastAsia="Calibri"/>
                        <w:iCs/>
                        <w:sz w:val="20"/>
                        <w:lang w:eastAsia="lt-LT"/>
                      </w:rPr>
                    </w:pPr>
                    <w:r>
                      <w:rPr>
                        <w:rFonts w:eastAsia="Calibri"/>
                        <w:iCs/>
                        <w:sz w:val="20"/>
                        <w:lang w:eastAsia="lt-LT"/>
                      </w:rPr>
                      <w:t>įstaigose,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34</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35</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36</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N. d.</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40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4.2.2. Uždavinys. Rekreacijos plėtra –</w:t>
                    </w:r>
                  </w:p>
                  <w:p>
                    <w:pPr>
                      <w:rPr>
                        <w:rFonts w:eastAsia="Calibri"/>
                        <w:iCs/>
                        <w:sz w:val="20"/>
                        <w:lang w:eastAsia="lt-LT"/>
                      </w:rPr>
                    </w:pPr>
                    <w:r>
                      <w:rPr>
                        <w:rFonts w:eastAsia="Calibri"/>
                        <w:iCs/>
                        <w:sz w:val="20"/>
                        <w:lang w:eastAsia="lt-LT"/>
                      </w:rPr>
                      <w:t>patrauklios sąlygos gyventojams ir svečiams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Sporto varžybų ir sveikatingumo renginių dalyvių skaičius Telšių r. sav.</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6 267</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9650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9850</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10150</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9444</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15 000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4.2.3. Uždavinys. Išvystyta sporto veikla ir sveika gyvensena</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Sporto erdvių sukūrimas ar atnaujinimas, vnt.</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6</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21</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22</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19</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13</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4.4.1. Uždavinys. Aktyvių miestų ir miestelių kūrimas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Nuolatinių gyventojų miestuose skaičiaus augimas</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-0,01</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-0,01</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-0,01</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-3,74</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10</w:t>
                    </w:r>
                  </w:p>
                </w:tc>
              </w:tr>
              <w:tr>
                <w:trPr>
                  <w:jc w:val="center"/>
                </w:trPr>
                <w:tc>
                  <w:tcPr>
                    <w:tcW w:w="212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 xml:space="preserve">4.4.2 Uždavinys. Gyventojų ir lankytojų </w:t>
                    </w:r>
                  </w:p>
                  <w:p>
                    <w:pPr>
                      <w:rPr>
                        <w:rFonts w:eastAsia="Calibri"/>
                        <w:iCs/>
                        <w:sz w:val="20"/>
                        <w:lang w:eastAsia="lt-LT"/>
                      </w:rPr>
                    </w:pPr>
                    <w:r>
                      <w:rPr>
                        <w:rFonts w:eastAsia="Calibri"/>
                        <w:iCs/>
                        <w:sz w:val="20"/>
                        <w:lang w:eastAsia="lt-LT"/>
                      </w:rPr>
                      <w:t>judumo ir saugumo užtikrinimas</w:t>
                    </w:r>
                  </w:p>
                </w:tc>
                <w:tc>
                  <w:tcPr>
                    <w:tcW w:w="1842" w:type="dxa"/>
                    <w:tcBorders>
                      <w:top w:val="single" w:sz="4" w:space="0" w:color="auto"/>
                      <w:left w:val="single" w:sz="4" w:space="0" w:color="auto"/>
                      <w:bottom w:val="single" w:sz="4" w:space="0" w:color="auto"/>
                      <w:right w:val="single" w:sz="4" w:space="0" w:color="auto"/>
                    </w:tcBorders>
                  </w:tcPr>
                  <w:p>
                    <w:pPr>
                      <w:rPr>
                        <w:rFonts w:eastAsia="Calibri"/>
                        <w:iCs/>
                        <w:sz w:val="20"/>
                        <w:lang w:eastAsia="lt-LT"/>
                      </w:rPr>
                    </w:pPr>
                    <w:r>
                      <w:rPr>
                        <w:rFonts w:eastAsia="Calibri"/>
                        <w:iCs/>
                        <w:sz w:val="20"/>
                        <w:lang w:eastAsia="lt-LT"/>
                      </w:rPr>
                      <w:t>Gyventojų saugumo jausenos augimas (proc.)</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N. d.</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91</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iCs/>
                        <w:sz w:val="20"/>
                        <w:lang w:eastAsia="lt-LT"/>
                      </w:rPr>
                    </w:pPr>
                    <w:r>
                      <w:rPr>
                        <w:rFonts w:eastAsia="Calibri"/>
                        <w:iCs/>
                        <w:sz w:val="20"/>
                        <w:lang w:eastAsia="lt-LT"/>
                      </w:rPr>
                      <w:t>91</w:t>
                    </w:r>
                  </w:p>
                </w:tc>
                <w:tc>
                  <w:tcPr>
                    <w:tcW w:w="1418"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90</w:t>
                    </w:r>
                  </w:p>
                  <w:p>
                    <w:pPr>
                      <w:jc w:val="center"/>
                      <w:rPr>
                        <w:rFonts w:eastAsia="Calibri"/>
                        <w:iCs/>
                        <w:sz w:val="20"/>
                        <w:lang w:eastAsia="lt-LT"/>
                      </w:rPr>
                    </w:pPr>
                    <w:r>
                      <w:rPr>
                        <w:rFonts w:eastAsia="Calibri"/>
                        <w:iCs/>
                        <w:sz w:val="20"/>
                        <w:lang w:eastAsia="lt-LT"/>
                      </w:rPr>
                      <w:t>(2024-12-31)</w:t>
                    </w:r>
                  </w:p>
                </w:tc>
                <w:tc>
                  <w:tcPr>
                    <w:tcW w:w="1417" w:type="dxa"/>
                    <w:tcBorders>
                      <w:top w:val="single" w:sz="4" w:space="0" w:color="auto"/>
                      <w:left w:val="single" w:sz="4" w:space="0" w:color="auto"/>
                      <w:bottom w:val="single" w:sz="4" w:space="0" w:color="auto"/>
                      <w:right w:val="single" w:sz="4" w:space="0" w:color="auto"/>
                    </w:tcBorders>
                  </w:tcPr>
                  <w:p>
                    <w:pPr>
                      <w:jc w:val="center"/>
                      <w:rPr>
                        <w:rFonts w:eastAsia="Calibri"/>
                        <w:iCs/>
                        <w:sz w:val="20"/>
                        <w:lang w:eastAsia="lt-LT"/>
                      </w:rPr>
                    </w:pPr>
                    <w:r>
                      <w:rPr>
                        <w:rFonts w:eastAsia="Calibri"/>
                        <w:iCs/>
                        <w:sz w:val="20"/>
                        <w:lang w:eastAsia="lt-LT"/>
                      </w:rPr>
                      <w:t>50</w:t>
                    </w:r>
                  </w:p>
                </w:tc>
              </w:tr>
            </w:tbl>
            <w:p>
              <w:pPr>
                <w:jc w:val="both"/>
                <w:rPr>
                  <w:i/>
                  <w:iCs/>
                  <w:color w:val="808080"/>
                  <w:sz w:val="20"/>
                  <w:lang w:eastAsia="lt-LT"/>
                </w:rPr>
              </w:pPr>
            </w:p>
          </w:sdtContent>
        </w:sdt>
        <w:sdt>
          <w:sdtPr>
            <w:alias w:val="skyrius"/>
            <w:tag w:val="part_679744a9b21440e5a166c5a46826d524"/>
            <w:lock w:val="sdtLocked"/>
            <w:richText/>
          </w:sdtPr>
          <w:sdtContent>
            <w:p>
              <w:pPr>
                <w:jc w:val="center"/>
                <w:rPr>
                  <w:b/>
                  <w:bCs/>
                  <w:szCs w:val="24"/>
                  <w:lang w:eastAsia="lt-LT"/>
                </w:rPr>
              </w:pPr>
              <w:sdt>
                <w:sdtPr>
                  <w:alias w:val="Numeris"/>
                  <w:tag w:val="nr_679744a9b21440e5a166c5a46826d524"/>
                  <w:lock w:val="sdtLocked"/>
                  <w:richText/>
                </w:sdtPr>
                <w:sdtContent>
                  <w:r>
                    <w:rPr>
                      <w:b/>
                      <w:bCs/>
                      <w:szCs w:val="24"/>
                      <w:lang w:eastAsia="lt-LT"/>
                    </w:rPr>
                    <w:t>III</w:t>
                  </w:r>
                </w:sdtContent>
              </w:sdt>
              <w:r>
                <w:rPr>
                  <w:b/>
                  <w:bCs/>
                  <w:szCs w:val="24"/>
                  <w:lang w:eastAsia="lt-LT"/>
                </w:rPr>
                <w:t xml:space="preserve"> SKYRIUS</w:t>
              </w:r>
            </w:p>
            <w:p>
              <w:pPr>
                <w:jc w:val="center"/>
                <w:rPr>
                  <w:b/>
                  <w:bCs/>
                  <w:color w:val="ED0000"/>
                  <w:szCs w:val="24"/>
                  <w:lang w:eastAsia="lt-LT"/>
                </w:rPr>
              </w:pPr>
              <w:sdt>
                <w:sdtPr>
                  <w:alias w:val="Pavadinimas"/>
                  <w:tag w:val="title_679744a9b21440e5a166c5a46826d524"/>
                  <w:lock w:val="sdtLocked"/>
                  <w:richText/>
                </w:sdtPr>
                <w:sdtContent>
                  <w:r>
                    <w:rPr>
                      <w:b/>
                      <w:bCs/>
                      <w:szCs w:val="24"/>
                      <w:lang w:eastAsia="lt-LT"/>
                    </w:rPr>
                    <w:t>PLANUOJAMI PASIEKTI REZULTATAI</w:t>
                  </w:r>
                </w:sdtContent>
              </w:sdt>
            </w:p>
            <w:p>
              <w:pPr>
                <w:rPr>
                  <w:sz w:val="20"/>
                  <w:szCs w:val="24"/>
                  <w:lang w:eastAsia="lt-LT"/>
                </w:rPr>
              </w:pPr>
            </w:p>
            <w:p>
              <w:pPr>
                <w:ind w:firstLine="720"/>
                <w:jc w:val="both"/>
                <w:rPr>
                  <w:iCs/>
                  <w:szCs w:val="24"/>
                  <w:lang w:eastAsia="lt-LT"/>
                </w:rPr>
              </w:pPr>
              <w:r>
                <w:rPr>
                  <w:iCs/>
                  <w:szCs w:val="24"/>
                  <w:lang w:eastAsia="lt-LT"/>
                </w:rPr>
                <w:t xml:space="preserve">Vadovaujantis patvirtintu SPP, SVP  rengiamas trejų metų laikotarpiui. SVP kasmet peržiūrimas ir tikslinamas, atsižvelgiant į pokyčius, siekiant užtikrinti nuoseklią ir efektyvią Telšių rajono savivaldybės (toliau – Savivaldybė) veiklą.</w:t>
              </w:r>
            </w:p>
            <w:p>
              <w:pPr>
                <w:ind w:firstLine="720"/>
                <w:jc w:val="both"/>
                <w:rPr>
                  <w:iCs/>
                  <w:szCs w:val="24"/>
                  <w:lang w:eastAsia="lt-LT"/>
                </w:rPr>
              </w:pPr>
              <w:r>
                <w:rPr>
                  <w:iCs/>
                  <w:szCs w:val="24"/>
                  <w:lang w:eastAsia="lt-LT"/>
                </w:rPr>
                <w:t>Įgyvendinant SVP, planuojama pasiekti šiuos esminius / pagrindinius rezultatus:</w:t>
              </w:r>
            </w:p>
            <w:sdt>
              <w:sdtPr>
                <w:alias w:val="1 p."/>
                <w:tag w:val="part_8fcf3d8972f0439aa528479fa5a74b9d"/>
                <w:lock w:val="sdtLocked"/>
                <w:richText/>
              </w:sdtPr>
              <w:sdtContent>
                <w:p>
                  <w:pPr>
                    <w:tabs>
                      <w:tab w:val="left" w:pos="1134"/>
                    </w:tabs>
                    <w:ind w:firstLine="720"/>
                    <w:jc w:val="both"/>
                    <w:rPr>
                      <w:szCs w:val="24"/>
                      <w:lang w:eastAsia="lt-LT"/>
                    </w:rPr>
                  </w:pPr>
                  <w:sdt>
                    <w:sdtPr>
                      <w:alias w:val="Numeris"/>
                      <w:tag w:val="nr_8fcf3d8972f0439aa528479fa5a74b9d"/>
                      <w:lock w:val="sdtLocked"/>
                      <w:richText/>
                    </w:sdtPr>
                    <w:sdtContent>
                      <w:r>
                        <w:rPr>
                          <w:szCs w:val="24"/>
                          <w:lang w:eastAsia="lt-LT"/>
                        </w:rPr>
                        <w:t>1</w:t>
                      </w:r>
                    </w:sdtContent>
                  </w:sdt>
                  <w:r>
                    <w:rPr>
                      <w:szCs w:val="24"/>
                      <w:lang w:eastAsia="lt-LT"/>
                    </w:rPr>
                    <w:t>.</w:t>
                    <w:tab/>
                    <w:t>Sutvarkyta teritorija tarp Iždinės, Sinagogos ir Laisvės gatvių. Projekto įgyvendinimo metu numatyta atnaujinti dangas ir gatvių elementus, apšvietimą, įrengti inžinerinius (vandentiekio, lietaus ir buitinių nuotekų) tinklus, atnaujinti žaliąsias zonas, pėsčiųjų takus, įrengti mažosios architektūros elementus, dviračių stovėjimo bei taisymo stotelių ir automobilių stovėjimo vietas bei kitą reikalingą infrastruktūrą.</w:t>
                  </w:r>
                </w:p>
              </w:sdtContent>
            </w:sdt>
            <w:sdt>
              <w:sdtPr>
                <w:alias w:val="2 p."/>
                <w:tag w:val="part_5d699b862c2048049a9e54ad2316f729"/>
                <w:lock w:val="sdtLocked"/>
                <w:richText/>
              </w:sdtPr>
              <w:sdtContent>
                <w:p>
                  <w:pPr>
                    <w:tabs>
                      <w:tab w:val="left" w:pos="1134"/>
                    </w:tabs>
                    <w:ind w:firstLine="720"/>
                    <w:jc w:val="both"/>
                    <w:rPr>
                      <w:iCs/>
                      <w:szCs w:val="24"/>
                      <w:lang w:eastAsia="lt-LT"/>
                    </w:rPr>
                  </w:pPr>
                  <w:sdt>
                    <w:sdtPr>
                      <w:alias w:val="Numeris"/>
                      <w:tag w:val="nr_5d699b862c2048049a9e54ad2316f729"/>
                      <w:lock w:val="sdtLocked"/>
                      <w:richText/>
                    </w:sdtPr>
                    <w:sdtContent>
                      <w:r>
                        <w:rPr>
                          <w:iCs/>
                          <w:szCs w:val="24"/>
                          <w:lang w:eastAsia="lt-LT"/>
                        </w:rPr>
                        <w:t>2</w:t>
                      </w:r>
                    </w:sdtContent>
                  </w:sdt>
                  <w:r>
                    <w:rPr>
                      <w:iCs/>
                      <w:szCs w:val="24"/>
                      <w:lang w:eastAsia="lt-LT"/>
                    </w:rPr>
                    <w:t>.</w:t>
                    <w:tab/>
                  </w:r>
                  <w:r>
                    <w:rPr>
                      <w:szCs w:val="24"/>
                      <w:lang w:eastAsia="lt-LT"/>
                    </w:rPr>
                    <w:t xml:space="preserve">Sutvarkyta miesto erdvė –  teritorija šalia Naujosios gatvės nuo Telšės g. link prieplaukos, skirtos valčių nuleidimui į vandenį. Projekto metu numatyta modernizuoti automobilių stovėjimo aikštelę ir kitą susisiekimo infrastruktūrą, skirtą lankymui, sutvarkyti aplinką, įrengti mažosios architektūros elementus, apšvietimą, stebėjimo kameras bei kitą reikalingą infrastruktūrą.</w:t>
                  </w:r>
                </w:p>
              </w:sdtContent>
            </w:sdt>
            <w:sdt>
              <w:sdtPr>
                <w:alias w:val="3 p."/>
                <w:tag w:val="part_abc1bddb41544748826700d65211bd8b"/>
                <w:lock w:val="sdtLocked"/>
                <w:richText/>
              </w:sdtPr>
              <w:sdtContent>
                <w:p>
                  <w:pPr>
                    <w:tabs>
                      <w:tab w:val="left" w:pos="1134"/>
                    </w:tabs>
                    <w:ind w:firstLine="720"/>
                    <w:jc w:val="both"/>
                    <w:rPr>
                      <w:szCs w:val="24"/>
                      <w:lang w:eastAsia="lt-LT"/>
                    </w:rPr>
                  </w:pPr>
                  <w:sdt>
                    <w:sdtPr>
                      <w:alias w:val="Numeris"/>
                      <w:tag w:val="nr_abc1bddb41544748826700d65211bd8b"/>
                      <w:lock w:val="sdtLocked"/>
                      <w:richText/>
                    </w:sdtPr>
                    <w:sdtContent>
                      <w:r>
                        <w:rPr>
                          <w:szCs w:val="24"/>
                          <w:lang w:eastAsia="lt-LT"/>
                        </w:rPr>
                        <w:t>3</w:t>
                      </w:r>
                    </w:sdtContent>
                  </w:sdt>
                  <w:r>
                    <w:rPr>
                      <w:szCs w:val="24"/>
                      <w:lang w:eastAsia="lt-LT"/>
                    </w:rPr>
                    <w:t>.</w:t>
                    <w:tab/>
                    <w:t>Sutvarkytas Oskaro Goeldnerio skveras. Skvere suplanuota įrengti vaikų žaidimo aikštelę, atnaujinti pėsčiųjų takų infrastruktūrą, važiuojamąją dalį, sutvarkyti aplinką, įrengti vaizdo stebėjimo kameras, mažosios architektūros elementus bei kitą reikalingą infrastruktūrą.</w:t>
                  </w:r>
                </w:p>
              </w:sdtContent>
            </w:sdt>
            <w:sdt>
              <w:sdtPr>
                <w:alias w:val="4 p."/>
                <w:tag w:val="part_163ea512b3e841cc86c380daa3414d84"/>
                <w:lock w:val="sdtLocked"/>
                <w:richText/>
              </w:sdtPr>
              <w:sdtContent>
                <w:p>
                  <w:pPr>
                    <w:tabs>
                      <w:tab w:val="left" w:pos="1134"/>
                    </w:tabs>
                    <w:ind w:firstLine="720"/>
                    <w:jc w:val="both"/>
                    <w:rPr>
                      <w:szCs w:val="24"/>
                      <w:lang w:eastAsia="lt-LT"/>
                    </w:rPr>
                  </w:pPr>
                  <w:sdt>
                    <w:sdtPr>
                      <w:alias w:val="Numeris"/>
                      <w:tag w:val="nr_163ea512b3e841cc86c380daa3414d84"/>
                      <w:lock w:val="sdtLocked"/>
                      <w:richText/>
                    </w:sdtPr>
                    <w:sdtContent>
                      <w:r>
                        <w:rPr>
                          <w:szCs w:val="24"/>
                          <w:lang w:eastAsia="lt-LT"/>
                        </w:rPr>
                        <w:t>4</w:t>
                      </w:r>
                    </w:sdtContent>
                  </w:sdt>
                  <w:r>
                    <w:rPr>
                      <w:szCs w:val="24"/>
                      <w:lang w:eastAsia="lt-LT"/>
                    </w:rPr>
                    <w:t>.</w:t>
                    <w:tab/>
                    <w:t xml:space="preserve">Pradėtas urbanizuotos teritorijos atgaivinimas: pėsčiųjų ir dviračių takų įrengimas nuo Ežero skg. 17 iki senojo miesto stadiono, integruojant takus į bendrą bevariklio transporto tinklą, mažosios architektūros elementų įrengimas, Durbinio upelio išvalymas, aplinkos palei Durbinio upelį sutvarkymas, apšvietimo ir  kitos reikalingos infrastruktūros įrengimas.</w:t>
                  </w:r>
                </w:p>
              </w:sdtContent>
            </w:sdt>
            <w:sdt>
              <w:sdtPr>
                <w:alias w:val="5 p."/>
                <w:tag w:val="part_4893659d0c1d4d7597f1e2ce86aa5c13"/>
                <w:lock w:val="sdtLocked"/>
                <w:richText/>
              </w:sdtPr>
              <w:sdtContent>
                <w:p>
                  <w:pPr>
                    <w:tabs>
                      <w:tab w:val="left" w:pos="720"/>
                      <w:tab w:val="left" w:pos="1134"/>
                    </w:tabs>
                    <w:ind w:firstLine="720"/>
                    <w:jc w:val="both"/>
                    <w:rPr>
                      <w:iCs/>
                      <w:szCs w:val="24"/>
                      <w:lang w:eastAsia="lt-LT"/>
                    </w:rPr>
                  </w:pPr>
                  <w:sdt>
                    <w:sdtPr>
                      <w:alias w:val="Numeris"/>
                      <w:tag w:val="nr_4893659d0c1d4d7597f1e2ce86aa5c13"/>
                      <w:lock w:val="sdtLocked"/>
                      <w:richText/>
                    </w:sdtPr>
                    <w:sdtContent>
                      <w:r>
                        <w:rPr>
                          <w:iCs/>
                          <w:szCs w:val="24"/>
                          <w:lang w:eastAsia="lt-LT"/>
                        </w:rPr>
                        <w:t>5</w:t>
                      </w:r>
                    </w:sdtContent>
                  </w:sdt>
                  <w:r>
                    <w:rPr>
                      <w:iCs/>
                      <w:szCs w:val="24"/>
                      <w:lang w:eastAsia="lt-LT"/>
                    </w:rPr>
                    <w:t>.</w:t>
                    <w:tab/>
                    <w:t>Atliktas teritorijos, esančios buvusiame Telšių kariniame miestelyje, investicinio patrauklumo gerinimas, modernizuojant jai skirtą susisiekimo infrastruktūrą: Karaliaus Mindaugo g. nuo Rambyno g. sankryžos iki Jono Semaškos g. atkarpos rekonstrukcija. Planuojama įrengti pėsčiųjų taką, apšvietimą bei sutvarkyti minėtą atkarpą.</w:t>
                  </w:r>
                </w:p>
              </w:sdtContent>
            </w:sdt>
            <w:sdt>
              <w:sdtPr>
                <w:alias w:val="6 p."/>
                <w:tag w:val="part_548d6a7d1daf44d1aad36db68988b5bc"/>
                <w:lock w:val="sdtLocked"/>
                <w:richText/>
              </w:sdtPr>
              <w:sdtContent>
                <w:p>
                  <w:pPr>
                    <w:tabs>
                      <w:tab w:val="left" w:pos="1134"/>
                    </w:tabs>
                    <w:ind w:firstLine="720"/>
                    <w:jc w:val="both"/>
                    <w:rPr>
                      <w:szCs w:val="24"/>
                      <w:lang w:eastAsia="lt-LT"/>
                    </w:rPr>
                  </w:pPr>
                  <w:sdt>
                    <w:sdtPr>
                      <w:alias w:val="Numeris"/>
                      <w:tag w:val="nr_548d6a7d1daf44d1aad36db68988b5bc"/>
                      <w:lock w:val="sdtLocked"/>
                      <w:richText/>
                    </w:sdtPr>
                    <w:sdtContent>
                      <w:r>
                        <w:rPr>
                          <w:szCs w:val="24"/>
                          <w:lang w:eastAsia="lt-LT"/>
                        </w:rPr>
                        <w:t>6</w:t>
                      </w:r>
                    </w:sdtContent>
                  </w:sdt>
                  <w:r>
                    <w:rPr>
                      <w:szCs w:val="24"/>
                      <w:lang w:eastAsia="lt-LT"/>
                    </w:rPr>
                    <w:t>.</w:t>
                    <w:tab/>
                    <w:t>Pradėta tvarkyti rekreacinė teritorija palei Masčio ežero pakrantę nuo Žemaičių muziejaus „Alka“ Žemaičių kaimo muziejaus per Malūno gatvę iki Telšių miesto ribos: įrenginėjami pėsčiųjų ir dviračių takai, apšvietimas, poilsio zona su paukščių stebėjimo aikštele bei kita reikalinga infrastruktūra.</w:t>
                  </w:r>
                </w:p>
              </w:sdtContent>
            </w:sdt>
            <w:sdt>
              <w:sdtPr>
                <w:alias w:val="7 p."/>
                <w:tag w:val="part_22fb90173fb94a1388a74a4377ac993b"/>
                <w:lock w:val="sdtLocked"/>
                <w:richText/>
              </w:sdtPr>
              <w:sdtContent>
                <w:p>
                  <w:pPr>
                    <w:tabs>
                      <w:tab w:val="left" w:pos="1134"/>
                    </w:tabs>
                    <w:ind w:firstLine="720"/>
                    <w:jc w:val="both"/>
                    <w:rPr>
                      <w:szCs w:val="24"/>
                      <w:lang w:eastAsia="lt-LT"/>
                    </w:rPr>
                  </w:pPr>
                  <w:sdt>
                    <w:sdtPr>
                      <w:alias w:val="Numeris"/>
                      <w:tag w:val="nr_22fb90173fb94a1388a74a4377ac993b"/>
                      <w:lock w:val="sdtLocked"/>
                      <w:richText/>
                    </w:sdtPr>
                    <w:sdtContent>
                      <w:r>
                        <w:rPr>
                          <w:szCs w:val="24"/>
                          <w:lang w:eastAsia="lt-LT"/>
                        </w:rPr>
                        <w:t>7</w:t>
                      </w:r>
                    </w:sdtContent>
                  </w:sdt>
                  <w:r>
                    <w:rPr>
                      <w:szCs w:val="24"/>
                      <w:lang w:eastAsia="lt-LT"/>
                    </w:rPr>
                    <w:t>.</w:t>
                    <w:tab/>
                    <w:t>Sutvarkyta teritorija, esanti Parko g. 15A, ir pritaikyta bendruomenės poreikiams. Nutiesti pėsčiųjų ir dviračių takai, įrengtas pėsčiųjų ir dviračių tiltelis, apšvietimas, viešasis tualetas, mažosios architektūros elementai. Atlikti Masčio ežero pakrantės valymo ir aplinkos sutvarkymo darbai.</w:t>
                  </w:r>
                </w:p>
              </w:sdtContent>
            </w:sdt>
            <w:sdt>
              <w:sdtPr>
                <w:alias w:val="8 p."/>
                <w:tag w:val="part_2ba6d26fe858480a91c32ec82ee8edf4"/>
                <w:lock w:val="sdtLocked"/>
                <w:richText/>
              </w:sdtPr>
              <w:sdtContent>
                <w:p>
                  <w:pPr>
                    <w:tabs>
                      <w:tab w:val="left" w:pos="1134"/>
                    </w:tabs>
                    <w:ind w:firstLine="720"/>
                    <w:jc w:val="both"/>
                    <w:rPr>
                      <w:szCs w:val="24"/>
                      <w:lang w:eastAsia="lt-LT"/>
                    </w:rPr>
                  </w:pPr>
                  <w:sdt>
                    <w:sdtPr>
                      <w:alias w:val="Numeris"/>
                      <w:tag w:val="nr_2ba6d26fe858480a91c32ec82ee8edf4"/>
                      <w:lock w:val="sdtLocked"/>
                      <w:richText/>
                    </w:sdtPr>
                    <w:sdtContent>
                      <w:r>
                        <w:rPr>
                          <w:szCs w:val="24"/>
                          <w:lang w:eastAsia="lt-LT"/>
                        </w:rPr>
                        <w:t>8</w:t>
                      </w:r>
                    </w:sdtContent>
                  </w:sdt>
                  <w:r>
                    <w:rPr>
                      <w:szCs w:val="24"/>
                      <w:lang w:eastAsia="lt-LT"/>
                    </w:rPr>
                    <w:t>.</w:t>
                    <w:tab/>
                    <w:t>Pradėta tvarkyti teritorija, esanti šalia Žemaičių muziejaus „Alka“ tarp Masčio ežero pakrantės ir Muziejaus g. Formuojama rekreacinė erdvė įrengiant „skate“ parką, parkūro aikštelę, tekbolo aikšteles ir poilsio bei laisvalaikio erdvę, taip pat pėsčiųjų ir dviračių, pėsčiųjų takus, apšvietimą, vandentvarkos infrastruktūrą ir mažosios architektūros elementus.</w:t>
                  </w:r>
                </w:p>
              </w:sdtContent>
            </w:sdt>
            <w:sdt>
              <w:sdtPr>
                <w:alias w:val="9 p."/>
                <w:tag w:val="part_de6498a5c76646f9900838028d117afb"/>
                <w:lock w:val="sdtLocked"/>
                <w:richText/>
              </w:sdtPr>
              <w:sdtContent>
                <w:p>
                  <w:pPr>
                    <w:tabs>
                      <w:tab w:val="left" w:pos="1134"/>
                    </w:tabs>
                    <w:ind w:firstLine="720"/>
                    <w:jc w:val="both"/>
                    <w:rPr>
                      <w:iCs/>
                      <w:szCs w:val="24"/>
                      <w:lang w:eastAsia="lt-LT"/>
                    </w:rPr>
                  </w:pPr>
                  <w:sdt>
                    <w:sdtPr>
                      <w:alias w:val="Numeris"/>
                      <w:tag w:val="nr_de6498a5c76646f9900838028d117afb"/>
                      <w:lock w:val="sdtLocked"/>
                      <w:richText/>
                    </w:sdtPr>
                    <w:sdtContent>
                      <w:r>
                        <w:rPr>
                          <w:iCs/>
                          <w:szCs w:val="24"/>
                          <w:lang w:eastAsia="lt-LT"/>
                        </w:rPr>
                        <w:t>9</w:t>
                      </w:r>
                    </w:sdtContent>
                  </w:sdt>
                  <w:r>
                    <w:rPr>
                      <w:iCs/>
                      <w:szCs w:val="24"/>
                      <w:lang w:eastAsia="lt-LT"/>
                    </w:rPr>
                    <w:t>.</w:t>
                    <w:tab/>
                    <w:t>Atlikta Mažeikių g. (nuo Sedos g. sankryžos iki Mažeikių g. pabaigos) rekonstrukcija, modernizuojant jai skirtą susisiekimo infrastruktūrą, rekonstruojant važiuojamąją dalį, įrengiant dviračių ir pėsčiųjų takus, apšvietimą bei stebėjimo kameras, mažosios architektūros elementus, sutvarkant želdynus, įrengiant automobilių stovėjimo aikšteles bei kitą ekonominei veiklai vystyti reikalingą infrastruktūrą.</w:t>
                  </w:r>
                </w:p>
              </w:sdtContent>
            </w:sdt>
            <w:sdt>
              <w:sdtPr>
                <w:alias w:val="10 p."/>
                <w:tag w:val="part_d6166edff77a4707887f0e6a0c95cdc2"/>
                <w:lock w:val="sdtLocked"/>
                <w:richText/>
              </w:sdtPr>
              <w:sdtContent>
                <w:p>
                  <w:pPr>
                    <w:tabs>
                      <w:tab w:val="left" w:pos="1134"/>
                    </w:tabs>
                    <w:ind w:firstLine="720"/>
                    <w:jc w:val="both"/>
                    <w:rPr>
                      <w:szCs w:val="24"/>
                      <w:lang w:eastAsia="lt-LT"/>
                    </w:rPr>
                  </w:pPr>
                  <w:sdt>
                    <w:sdtPr>
                      <w:alias w:val="Numeris"/>
                      <w:tag w:val="nr_d6166edff77a4707887f0e6a0c95cdc2"/>
                      <w:lock w:val="sdtLocked"/>
                      <w:richText/>
                    </w:sdtPr>
                    <w:sdtContent>
                      <w:r>
                        <w:rPr>
                          <w:szCs w:val="24"/>
                          <w:lang w:eastAsia="lt-LT"/>
                        </w:rPr>
                        <w:t>10</w:t>
                      </w:r>
                    </w:sdtContent>
                  </w:sdt>
                  <w:r>
                    <w:rPr>
                      <w:szCs w:val="24"/>
                      <w:lang w:eastAsia="lt-LT"/>
                    </w:rPr>
                    <w:t>.</w:t>
                    <w:tab/>
                    <w:t>Pradėti Darnaus judumo priemonių diegimo Telšių mieste projektai, kuriuos įgyvendinus bus įrengtos naujos viešojo transporto stotelės bei atnaujinti esami keleivių laukimo paviljonai, įrengtos švieslentės viešojo transporto stotelėse, atnaujintos ir įdiegtos išmaniosios transporto eismo valdymo sistemos Telšių miesto sankryžose. Taip pat planuojama įrengti dviračių stovėjimo ir saugojimo vietas (stogines) prie gimnazijų, progimnazijų bei kitų svarbių objektų, įrengti dviračių remonto stoteles, elektrinių dviračių stovus su įkrovimu, dviračių saugyklas prie gyvenamųjų kvartalų.</w:t>
                  </w:r>
                </w:p>
              </w:sdtContent>
            </w:sdt>
            <w:sdt>
              <w:sdtPr>
                <w:alias w:val="11 p."/>
                <w:tag w:val="part_b05841d875c84ddcb9c71606f9908477"/>
                <w:lock w:val="sdtLocked"/>
                <w:richText/>
              </w:sdtPr>
              <w:sdtContent>
                <w:p>
                  <w:pPr>
                    <w:tabs>
                      <w:tab w:val="left" w:pos="1134"/>
                    </w:tabs>
                    <w:ind w:firstLine="720"/>
                    <w:jc w:val="both"/>
                    <w:rPr>
                      <w:szCs w:val="24"/>
                      <w:lang w:eastAsia="lt-LT"/>
                    </w:rPr>
                  </w:pPr>
                  <w:sdt>
                    <w:sdtPr>
                      <w:alias w:val="Numeris"/>
                      <w:tag w:val="nr_b05841d875c84ddcb9c71606f9908477"/>
                      <w:lock w:val="sdtLocked"/>
                      <w:richText/>
                    </w:sdtPr>
                    <w:sdtContent>
                      <w:r>
                        <w:rPr>
                          <w:szCs w:val="24"/>
                          <w:lang w:eastAsia="lt-LT"/>
                        </w:rPr>
                        <w:t>11</w:t>
                      </w:r>
                    </w:sdtContent>
                  </w:sdt>
                  <w:r>
                    <w:rPr>
                      <w:szCs w:val="24"/>
                      <w:lang w:eastAsia="lt-LT"/>
                    </w:rPr>
                    <w:t>.</w:t>
                    <w:tab/>
                    <w:t>Pradėta tvarkyti arba sutvarkyta dviračių ir pėsčiųjų takų infrastruktūra palei Masčio ežero pakrantę, Saulėtekio g. ir Lygumų g., Parko g., Malūno g., Miško g., Alyvų g. ir Plungės g. Planuojama įrengti apie 7,2 km dviračiams skirtą infrastruktūrą.</w:t>
                  </w:r>
                </w:p>
              </w:sdtContent>
            </w:sdt>
            <w:sdt>
              <w:sdtPr>
                <w:alias w:val="12 p."/>
                <w:tag w:val="part_9847fb728a76471ebed5ef142e2d40df"/>
                <w:lock w:val="sdtLocked"/>
                <w:richText/>
              </w:sdtPr>
              <w:sdtContent>
                <w:p>
                  <w:pPr>
                    <w:tabs>
                      <w:tab w:val="left" w:pos="1134"/>
                    </w:tabs>
                    <w:ind w:firstLine="720"/>
                    <w:jc w:val="both"/>
                    <w:rPr>
                      <w:iCs/>
                      <w:szCs w:val="24"/>
                      <w:lang w:eastAsia="lt-LT"/>
                    </w:rPr>
                  </w:pPr>
                  <w:sdt>
                    <w:sdtPr>
                      <w:alias w:val="Numeris"/>
                      <w:tag w:val="nr_9847fb728a76471ebed5ef142e2d40df"/>
                      <w:lock w:val="sdtLocked"/>
                      <w:richText/>
                    </w:sdtPr>
                    <w:sdtContent>
                      <w:r>
                        <w:rPr>
                          <w:iCs/>
                          <w:szCs w:val="24"/>
                          <w:lang w:eastAsia="lt-LT"/>
                        </w:rPr>
                        <w:t>12</w:t>
                      </w:r>
                    </w:sdtContent>
                  </w:sdt>
                  <w:r>
                    <w:rPr>
                      <w:iCs/>
                      <w:szCs w:val="24"/>
                      <w:lang w:eastAsia="lt-LT"/>
                    </w:rPr>
                    <w:t>.</w:t>
                    <w:tab/>
                  </w:r>
                  <w:r>
                    <w:rPr>
                      <w:szCs w:val="24"/>
                      <w:lang w:eastAsia="lt-LT"/>
                    </w:rPr>
                    <w:t xml:space="preserve">Pagerinta šešių Savivaldybės teritorijoje esančių priedangų infrastruktūra, užtikrinant jų atitiktį II ir III lygio reikalavimams. </w:t>
                  </w:r>
                </w:p>
              </w:sdtContent>
            </w:sdt>
            <w:sdt>
              <w:sdtPr>
                <w:alias w:val="13 p."/>
                <w:tag w:val="part_a10af701a4524df79407c21c8fbdbc78"/>
                <w:lock w:val="sdtLocked"/>
                <w:richText/>
              </w:sdtPr>
              <w:sdtContent>
                <w:p>
                  <w:pPr>
                    <w:tabs>
                      <w:tab w:val="left" w:pos="1134"/>
                    </w:tabs>
                    <w:ind w:firstLine="720"/>
                    <w:jc w:val="both"/>
                    <w:rPr>
                      <w:iCs/>
                      <w:szCs w:val="24"/>
                      <w:lang w:eastAsia="lt-LT"/>
                    </w:rPr>
                  </w:pPr>
                  <w:sdt>
                    <w:sdtPr>
                      <w:alias w:val="Numeris"/>
                      <w:tag w:val="nr_a10af701a4524df79407c21c8fbdbc78"/>
                      <w:lock w:val="sdtLocked"/>
                      <w:richText/>
                    </w:sdtPr>
                    <w:sdtContent>
                      <w:r>
                        <w:rPr>
                          <w:iCs/>
                          <w:szCs w:val="24"/>
                          <w:lang w:eastAsia="lt-LT"/>
                        </w:rPr>
                        <w:t>13</w:t>
                      </w:r>
                    </w:sdtContent>
                  </w:sdt>
                  <w:r>
                    <w:rPr>
                      <w:iCs/>
                      <w:szCs w:val="24"/>
                      <w:lang w:eastAsia="lt-LT"/>
                    </w:rPr>
                    <w:t>.</w:t>
                    <w:tab/>
                  </w:r>
                  <w:r>
                    <w:rPr>
                      <w:szCs w:val="24"/>
                      <w:lang w:eastAsia="lt-LT"/>
                    </w:rPr>
                    <w:t>Upynos kaime įrengta centralizuota nuotekų tvarkymo sistema, kuri sudarys sąlygas patogiai ir saugiai tvarkyti buitines nuotekas, prisidės prie aplinkos kokybės gerinimo ir tvaraus kaimo vystymo. Projekto metu suplanuota pastatyti naujus 65 kub. m per dieną našumo nuotekų valymo įrenginius, nutiesti 1 600 m savitakinių ir slėginių buitinių nuotekų tinklų, prie kurių galės prisijungti 70 būstų (133 gyventojai).</w:t>
                  </w:r>
                </w:p>
              </w:sdtContent>
            </w:sdt>
            <w:sdt>
              <w:sdtPr>
                <w:alias w:val="14 p."/>
                <w:tag w:val="part_05ccfb01d75f447bb346497f29e32dc9"/>
                <w:lock w:val="sdtLocked"/>
                <w:richText/>
              </w:sdtPr>
              <w:sdtContent>
                <w:p>
                  <w:pPr>
                    <w:tabs>
                      <w:tab w:val="left" w:pos="1134"/>
                    </w:tabs>
                    <w:ind w:firstLine="720"/>
                    <w:jc w:val="both"/>
                    <w:rPr>
                      <w:iCs/>
                      <w:szCs w:val="24"/>
                      <w:lang w:eastAsia="lt-LT"/>
                    </w:rPr>
                  </w:pPr>
                  <w:sdt>
                    <w:sdtPr>
                      <w:alias w:val="Numeris"/>
                      <w:tag w:val="nr_05ccfb01d75f447bb346497f29e32dc9"/>
                      <w:lock w:val="sdtLocked"/>
                      <w:richText/>
                    </w:sdtPr>
                    <w:sdtContent>
                      <w:r>
                        <w:rPr>
                          <w:iCs/>
                          <w:szCs w:val="24"/>
                          <w:lang w:eastAsia="lt-LT"/>
                        </w:rPr>
                        <w:t>14</w:t>
                      </w:r>
                    </w:sdtContent>
                  </w:sdt>
                  <w:r>
                    <w:rPr>
                      <w:iCs/>
                      <w:szCs w:val="24"/>
                      <w:lang w:eastAsia="lt-LT"/>
                    </w:rPr>
                    <w:t>.</w:t>
                    <w:tab/>
                  </w:r>
                  <w:r>
                    <w:rPr>
                      <w:szCs w:val="24"/>
                      <w:lang w:eastAsia="lt-LT"/>
                    </w:rPr>
                    <w:t>Įgyvendintas Telšių senamiesčio, Turgaus aikštės, Respublikos gatvės ir jų prieigų apželdinimo projektas, apimantis tiek ant kietų dangų, tiek grunte esančių teritorijų sutvarkymą. Projektu siekiama ne tik atnaujinti miesto viešąsias erdves, bet ir pagerinti jų estetinį vaizdą bei darniai integruoti želdynus į miesto aplinką.</w:t>
                  </w:r>
                </w:p>
              </w:sdtContent>
            </w:sdt>
            <w:sdt>
              <w:sdtPr>
                <w:alias w:val="15 p."/>
                <w:tag w:val="part_0239c4182deb4e128932e6d203c2f06a"/>
                <w:lock w:val="sdtLocked"/>
                <w:richText/>
              </w:sdtPr>
              <w:sdtContent>
                <w:p>
                  <w:pPr>
                    <w:tabs>
                      <w:tab w:val="left" w:pos="1134"/>
                    </w:tabs>
                    <w:ind w:firstLine="720"/>
                    <w:jc w:val="both"/>
                    <w:rPr>
                      <w:iCs/>
                      <w:szCs w:val="24"/>
                      <w:lang w:eastAsia="lt-LT"/>
                    </w:rPr>
                  </w:pPr>
                  <w:sdt>
                    <w:sdtPr>
                      <w:alias w:val="Numeris"/>
                      <w:tag w:val="nr_0239c4182deb4e128932e6d203c2f06a"/>
                      <w:lock w:val="sdtLocked"/>
                      <w:richText/>
                    </w:sdtPr>
                    <w:sdtContent>
                      <w:r>
                        <w:rPr>
                          <w:iCs/>
                          <w:szCs w:val="24"/>
                          <w:lang w:eastAsia="lt-LT"/>
                        </w:rPr>
                        <w:t>15</w:t>
                      </w:r>
                    </w:sdtContent>
                  </w:sdt>
                  <w:r>
                    <w:rPr>
                      <w:iCs/>
                      <w:szCs w:val="24"/>
                      <w:lang w:eastAsia="lt-LT"/>
                    </w:rPr>
                    <w:t>.</w:t>
                    <w:tab/>
                  </w:r>
                  <w:r>
                    <w:rPr>
                      <w:szCs w:val="24"/>
                      <w:lang w:eastAsia="lt-LT"/>
                    </w:rPr>
                    <w:t xml:space="preserve">Atliktas Telšių miesto seniūnijos pastato modernizavimas, siekiant sukurti gyventojams ir pastate dirbantiems darbuotojams palankias sąlygas. </w:t>
                  </w:r>
                </w:p>
              </w:sdtContent>
            </w:sdt>
            <w:sdt>
              <w:sdtPr>
                <w:alias w:val="16 p."/>
                <w:tag w:val="part_096bf48d198d460588df57bf5de34be4"/>
                <w:lock w:val="sdtLocked"/>
                <w:richText/>
              </w:sdtPr>
              <w:sdtContent>
                <w:p>
                  <w:pPr>
                    <w:tabs>
                      <w:tab w:val="left" w:pos="1134"/>
                    </w:tabs>
                    <w:ind w:firstLine="720"/>
                    <w:jc w:val="both"/>
                    <w:rPr>
                      <w:iCs/>
                      <w:szCs w:val="24"/>
                      <w:lang w:eastAsia="lt-LT"/>
                    </w:rPr>
                  </w:pPr>
                  <w:sdt>
                    <w:sdtPr>
                      <w:alias w:val="Numeris"/>
                      <w:tag w:val="nr_096bf48d198d460588df57bf5de34be4"/>
                      <w:lock w:val="sdtLocked"/>
                      <w:richText/>
                    </w:sdtPr>
                    <w:sdtContent>
                      <w:r>
                        <w:rPr>
                          <w:iCs/>
                          <w:szCs w:val="24"/>
                          <w:lang w:eastAsia="lt-LT"/>
                        </w:rPr>
                        <w:t>16</w:t>
                      </w:r>
                    </w:sdtContent>
                  </w:sdt>
                  <w:r>
                    <w:rPr>
                      <w:iCs/>
                      <w:szCs w:val="24"/>
                      <w:lang w:eastAsia="lt-LT"/>
                    </w:rPr>
                    <w:t>.</w:t>
                    <w:tab/>
                  </w:r>
                  <w:r>
                    <w:rPr>
                      <w:szCs w:val="24"/>
                      <w:lang w:eastAsia="lt-LT"/>
                    </w:rPr>
                    <w:t xml:space="preserve">Atliktas pėsčiųjų takų Simono Daukanto g. ir Karaliaus Mindaugo g. remontas, atnaujintas apšvietimas, siekiant užtikrinti gyventojų saugumą. </w:t>
                  </w:r>
                </w:p>
              </w:sdtContent>
            </w:sdt>
            <w:sdt>
              <w:sdtPr>
                <w:alias w:val="17 p."/>
                <w:tag w:val="part_f820dd26bdd047869922a26ed0fc559e"/>
                <w:lock w:val="sdtLocked"/>
                <w:richText/>
              </w:sdtPr>
              <w:sdtContent>
                <w:p>
                  <w:pPr>
                    <w:tabs>
                      <w:tab w:val="left" w:pos="1134"/>
                    </w:tabs>
                    <w:ind w:firstLine="720"/>
                    <w:jc w:val="both"/>
                    <w:rPr>
                      <w:i/>
                      <w:color w:val="EE0000"/>
                      <w:szCs w:val="24"/>
                      <w:lang w:eastAsia="lt-LT"/>
                    </w:rPr>
                  </w:pPr>
                  <w:sdt>
                    <w:sdtPr>
                      <w:alias w:val="Numeris"/>
                      <w:tag w:val="nr_f820dd26bdd047869922a26ed0fc559e"/>
                      <w:lock w:val="sdtLocked"/>
                      <w:richText/>
                    </w:sdtPr>
                    <w:sdtContent>
                      <w:r>
                        <w:rPr>
                          <w:szCs w:val="24"/>
                          <w:lang w:eastAsia="lt-LT"/>
                        </w:rPr>
                        <w:t>17</w:t>
                      </w:r>
                    </w:sdtContent>
                  </w:sdt>
                  <w:r>
                    <w:rPr>
                      <w:szCs w:val="24"/>
                      <w:lang w:eastAsia="lt-LT"/>
                    </w:rPr>
                    <w:t>.</w:t>
                    <w:tab/>
                    <w:t xml:space="preserve">Atlikta Valančiaus g., Telšiuose, rekonstrukcija: įrengtos lietaus nuotekos, vandens tinklai, apšvietimas, pėsčiųjų takai ir asfaltbetonio danga. </w:t>
                  </w:r>
                </w:p>
              </w:sdtContent>
            </w:sdt>
            <w:sdt>
              <w:sdtPr>
                <w:alias w:val="18 p."/>
                <w:tag w:val="part_0ab21dd9fab141a58112ab67c540dcf8"/>
                <w:lock w:val="sdtLocked"/>
                <w:richText/>
              </w:sdtPr>
              <w:sdtContent>
                <w:p>
                  <w:pPr>
                    <w:tabs>
                      <w:tab w:val="left" w:pos="1134"/>
                    </w:tabs>
                    <w:ind w:firstLine="720"/>
                    <w:jc w:val="both"/>
                    <w:rPr>
                      <w:i/>
                      <w:color w:val="EE0000"/>
                      <w:szCs w:val="24"/>
                      <w:lang w:eastAsia="lt-LT"/>
                    </w:rPr>
                  </w:pPr>
                  <w:sdt>
                    <w:sdtPr>
                      <w:alias w:val="Numeris"/>
                      <w:tag w:val="nr_0ab21dd9fab141a58112ab67c540dcf8"/>
                      <w:lock w:val="sdtLocked"/>
                      <w:richText/>
                    </w:sdtPr>
                    <w:sdtContent>
                      <w:r>
                        <w:rPr>
                          <w:szCs w:val="24"/>
                          <w:lang w:eastAsia="lt-LT"/>
                        </w:rPr>
                        <w:t>18</w:t>
                      </w:r>
                    </w:sdtContent>
                  </w:sdt>
                  <w:r>
                    <w:rPr>
                      <w:szCs w:val="24"/>
                      <w:lang w:eastAsia="lt-LT"/>
                    </w:rPr>
                    <w:t>.</w:t>
                    <w:tab/>
                    <w:t xml:space="preserve">Atliktas Telšių Butkų Juzės g. atkarpos nuo Muziejaus g. iki Masčio ežero remontas. </w:t>
                  </w:r>
                </w:p>
              </w:sdtContent>
            </w:sdt>
            <w:sdt>
              <w:sdtPr>
                <w:alias w:val="19 p."/>
                <w:tag w:val="part_50142c1c52fe4ffeb4f60daedc05d4d1"/>
                <w:lock w:val="sdtLocked"/>
                <w:richText/>
              </w:sdtPr>
              <w:sdtContent>
                <w:p>
                  <w:pPr>
                    <w:tabs>
                      <w:tab w:val="left" w:pos="1134"/>
                    </w:tabs>
                    <w:ind w:firstLine="720"/>
                    <w:jc w:val="both"/>
                    <w:rPr>
                      <w:i/>
                      <w:szCs w:val="24"/>
                      <w:lang w:eastAsia="lt-LT"/>
                    </w:rPr>
                  </w:pPr>
                  <w:sdt>
                    <w:sdtPr>
                      <w:alias w:val="Numeris"/>
                      <w:tag w:val="nr_50142c1c52fe4ffeb4f60daedc05d4d1"/>
                      <w:lock w:val="sdtLocked"/>
                      <w:richText/>
                    </w:sdtPr>
                    <w:sdtContent>
                      <w:r>
                        <w:rPr>
                          <w:szCs w:val="24"/>
                          <w:lang w:eastAsia="lt-LT"/>
                        </w:rPr>
                        <w:t>19</w:t>
                      </w:r>
                    </w:sdtContent>
                  </w:sdt>
                  <w:r>
                    <w:rPr>
                      <w:szCs w:val="24"/>
                      <w:lang w:eastAsia="lt-LT"/>
                    </w:rPr>
                    <w:t>.</w:t>
                    <w:tab/>
                    <w:t>Įrengtas paliatyvios pagalbos skyrius viešojoje įstaigoje Regioninė Telšių ligoninėje, įsigyta medicininė įranga ir specializuoti baldai.</w:t>
                  </w:r>
                </w:p>
              </w:sdtContent>
            </w:sdt>
            <w:sdt>
              <w:sdtPr>
                <w:alias w:val="20 p."/>
                <w:tag w:val="part_1983b928bc4e4a988177dc9ede60e7d8"/>
                <w:lock w:val="sdtLocked"/>
                <w:richText/>
              </w:sdtPr>
              <w:sdtContent>
                <w:p>
                  <w:pPr>
                    <w:tabs>
                      <w:tab w:val="left" w:pos="1134"/>
                    </w:tabs>
                    <w:ind w:firstLine="720"/>
                    <w:jc w:val="both"/>
                    <w:rPr>
                      <w:i/>
                      <w:szCs w:val="24"/>
                      <w:lang w:eastAsia="lt-LT"/>
                    </w:rPr>
                  </w:pPr>
                  <w:sdt>
                    <w:sdtPr>
                      <w:alias w:val="Numeris"/>
                      <w:tag w:val="nr_1983b928bc4e4a988177dc9ede60e7d8"/>
                      <w:lock w:val="sdtLocked"/>
                      <w:richText/>
                    </w:sdtPr>
                    <w:sdtContent>
                      <w:r>
                        <w:rPr>
                          <w:szCs w:val="24"/>
                          <w:lang w:eastAsia="lt-LT"/>
                        </w:rPr>
                        <w:t>20</w:t>
                      </w:r>
                    </w:sdtContent>
                  </w:sdt>
                  <w:r>
                    <w:rPr>
                      <w:szCs w:val="24"/>
                      <w:lang w:eastAsia="lt-LT"/>
                    </w:rPr>
                    <w:t>.</w:t>
                    <w:tab/>
                    <w:t>Įsteigtas stacionarinių slaugos paslaugų skyrius žmonėms, sergantiems Alzheimerio liga ir senatvine demencija, Telšių rajono pirminės sveikatos priežiūros centre, Ligoninės g. 3, Varniuose. Įsigyta medicininė įranga ir specializuoti baldai.</w:t>
                  </w:r>
                </w:p>
              </w:sdtContent>
            </w:sdt>
            <w:sdt>
              <w:sdtPr>
                <w:alias w:val="21 p."/>
                <w:tag w:val="part_3cec493770c4475cad110fb7c5f25fc9"/>
                <w:lock w:val="sdtLocked"/>
                <w:richText/>
              </w:sdtPr>
              <w:sdtContent>
                <w:p>
                  <w:pPr>
                    <w:tabs>
                      <w:tab w:val="left" w:pos="1134"/>
                    </w:tabs>
                    <w:ind w:firstLine="720"/>
                    <w:jc w:val="both"/>
                    <w:rPr>
                      <w:i/>
                      <w:szCs w:val="24"/>
                      <w:lang w:eastAsia="lt-LT"/>
                    </w:rPr>
                  </w:pPr>
                  <w:sdt>
                    <w:sdtPr>
                      <w:alias w:val="Numeris"/>
                      <w:tag w:val="nr_3cec493770c4475cad110fb7c5f25fc9"/>
                      <w:lock w:val="sdtLocked"/>
                      <w:richText/>
                    </w:sdtPr>
                    <w:sdtContent>
                      <w:r>
                        <w:rPr>
                          <w:szCs w:val="24"/>
                          <w:lang w:eastAsia="lt-LT"/>
                        </w:rPr>
                        <w:t>21</w:t>
                      </w:r>
                    </w:sdtContent>
                  </w:sdt>
                  <w:r>
                    <w:rPr>
                      <w:szCs w:val="24"/>
                      <w:lang w:eastAsia="lt-LT"/>
                    </w:rPr>
                    <w:t>.</w:t>
                    <w:tab/>
                    <w:t>Sveikatos centro sudėtyje teikiamų sveikatos priežiūros paslaugų infrastruktūros modernizavimui užtikrinti atliktas VšĮ Regioninės Telšių ligoninės patalpų (unik. Nr. 7896-6001-3018), esančių Kalno g. 40, Telšiai, paprastasis remontas, įsigyta medicininė įranga, įsigyta mobili ambulatorija Telšių rajono pirminiam sveikatos priežiūros centrui.</w:t>
                  </w:r>
                </w:p>
              </w:sdtContent>
            </w:sdt>
            <w:sdt>
              <w:sdtPr>
                <w:alias w:val="22 p."/>
                <w:tag w:val="part_bfe5c996102547db926959578744fa68"/>
                <w:lock w:val="sdtLocked"/>
                <w:richText/>
              </w:sdtPr>
              <w:sdtContent>
                <w:p>
                  <w:pPr>
                    <w:tabs>
                      <w:tab w:val="left" w:pos="1134"/>
                    </w:tabs>
                    <w:ind w:firstLine="720"/>
                    <w:jc w:val="both"/>
                    <w:rPr>
                      <w:iCs/>
                      <w:szCs w:val="24"/>
                      <w:lang w:eastAsia="lt-LT"/>
                    </w:rPr>
                  </w:pPr>
                  <w:sdt>
                    <w:sdtPr>
                      <w:alias w:val="Numeris"/>
                      <w:tag w:val="nr_bfe5c996102547db926959578744fa68"/>
                      <w:lock w:val="sdtLocked"/>
                      <w:richText/>
                    </w:sdtPr>
                    <w:sdtContent>
                      <w:r>
                        <w:rPr>
                          <w:iCs/>
                          <w:szCs w:val="24"/>
                          <w:lang w:eastAsia="lt-LT"/>
                        </w:rPr>
                        <w:t>22</w:t>
                      </w:r>
                    </w:sdtContent>
                  </w:sdt>
                  <w:r>
                    <w:rPr>
                      <w:iCs/>
                      <w:szCs w:val="24"/>
                      <w:lang w:eastAsia="lt-LT"/>
                    </w:rPr>
                    <w:t>.</w:t>
                    <w:tab/>
                    <w:t>VšĮ Regioninei Telšių ligoninei įsigytas mamografas, įrengtas gyvybės langelis bei druskų kambarys, taip pagerinant teikiamų sveikatos priežiūros paslaugų prieinamumą ir kokybę.</w:t>
                  </w:r>
                </w:p>
              </w:sdtContent>
            </w:sdt>
            <w:sdt>
              <w:sdtPr>
                <w:alias w:val="23 p."/>
                <w:tag w:val="part_3ea7a73412cb418c8244ea344cb78f4e"/>
                <w:lock w:val="sdtLocked"/>
                <w:richText/>
              </w:sdtPr>
              <w:sdtContent>
                <w:p>
                  <w:pPr>
                    <w:tabs>
                      <w:tab w:val="left" w:pos="1134"/>
                    </w:tabs>
                    <w:ind w:firstLine="720"/>
                    <w:jc w:val="both"/>
                    <w:rPr>
                      <w:iCs/>
                      <w:szCs w:val="24"/>
                      <w:lang w:eastAsia="lt-LT"/>
                    </w:rPr>
                  </w:pPr>
                  <w:sdt>
                    <w:sdtPr>
                      <w:alias w:val="Numeris"/>
                      <w:tag w:val="nr_3ea7a73412cb418c8244ea344cb78f4e"/>
                      <w:lock w:val="sdtLocked"/>
                      <w:richText/>
                    </w:sdtPr>
                    <w:sdtContent>
                      <w:r>
                        <w:rPr>
                          <w:iCs/>
                          <w:szCs w:val="24"/>
                          <w:lang w:eastAsia="lt-LT"/>
                        </w:rPr>
                        <w:t>23</w:t>
                      </w:r>
                    </w:sdtContent>
                  </w:sdt>
                  <w:r>
                    <w:rPr>
                      <w:iCs/>
                      <w:szCs w:val="24"/>
                      <w:lang w:eastAsia="lt-LT"/>
                    </w:rPr>
                    <w:t>.</w:t>
                    <w:tab/>
                  </w:r>
                  <w:r>
                    <w:rPr>
                      <w:szCs w:val="24"/>
                      <w:lang w:eastAsia="lt-LT"/>
                    </w:rPr>
                    <w:t>VšĮ Telšių pirminės sveikatos centro Varnių ambulatorijoje įrengtas liftas, užtikrinantis geresnį paslaugų prieinamumą pacientams su judėjimo negalia ir senyvo amžiaus asmenims.</w:t>
                  </w:r>
                </w:p>
              </w:sdtContent>
            </w:sdt>
            <w:sdt>
              <w:sdtPr>
                <w:alias w:val="24 p."/>
                <w:tag w:val="part_105a0e5d6f3e4c688e94af059f2b1c55"/>
                <w:lock w:val="sdtLocked"/>
                <w:richText/>
              </w:sdtPr>
              <w:sdtContent>
                <w:p>
                  <w:pPr>
                    <w:tabs>
                      <w:tab w:val="left" w:pos="1134"/>
                    </w:tabs>
                    <w:ind w:firstLine="720"/>
                    <w:jc w:val="both"/>
                    <w:rPr>
                      <w:i/>
                      <w:szCs w:val="24"/>
                      <w:lang w:eastAsia="lt-LT"/>
                    </w:rPr>
                  </w:pPr>
                  <w:sdt>
                    <w:sdtPr>
                      <w:alias w:val="Numeris"/>
                      <w:tag w:val="nr_105a0e5d6f3e4c688e94af059f2b1c55"/>
                      <w:lock w:val="sdtLocked"/>
                      <w:richText/>
                    </w:sdtPr>
                    <w:sdtContent>
                      <w:r>
                        <w:rPr>
                          <w:szCs w:val="24"/>
                          <w:lang w:eastAsia="lt-LT"/>
                        </w:rPr>
                        <w:t>24</w:t>
                      </w:r>
                    </w:sdtContent>
                  </w:sdt>
                  <w:r>
                    <w:rPr>
                      <w:szCs w:val="24"/>
                      <w:lang w:eastAsia="lt-LT"/>
                    </w:rPr>
                    <w:t>.</w:t>
                    <w:tab/>
                  </w:r>
                  <w:r>
                    <w:rPr>
                      <w:bCs/>
                      <w:iCs/>
                      <w:szCs w:val="24"/>
                      <w:lang w:eastAsia="lt-LT"/>
                    </w:rPr>
                    <w:t xml:space="preserve">Atnaujinamos ikimokyklinio ir priešmokyklinio ugdymo programas įgyvendinančių įstaigų lauko aikštelės, </w:t>
                  </w:r>
                  <w:r>
                    <w:rPr>
                      <w:szCs w:val="24"/>
                      <w:lang w:eastAsia="lt-LT"/>
                    </w:rPr>
                    <w:t>gerinamos vaikų ugdymo ir laisvalaikio sąlygos</w:t>
                  </w:r>
                  <w:r>
                    <w:rPr>
                      <w:bCs/>
                      <w:iCs/>
                      <w:szCs w:val="24"/>
                      <w:lang w:eastAsia="lt-LT"/>
                    </w:rPr>
                    <w:t>.</w:t>
                  </w:r>
                </w:p>
              </w:sdtContent>
            </w:sdt>
            <w:sdt>
              <w:sdtPr>
                <w:alias w:val="25 p."/>
                <w:tag w:val="part_c43563f8566c492f8377fcd19099d278"/>
                <w:lock w:val="sdtLocked"/>
                <w:richText/>
              </w:sdtPr>
              <w:sdtContent>
                <w:p>
                  <w:pPr>
                    <w:tabs>
                      <w:tab w:val="left" w:pos="1134"/>
                    </w:tabs>
                    <w:ind w:firstLine="720"/>
                    <w:jc w:val="both"/>
                    <w:rPr>
                      <w:iCs/>
                      <w:szCs w:val="24"/>
                      <w:lang w:eastAsia="lt-LT"/>
                    </w:rPr>
                  </w:pPr>
                  <w:sdt>
                    <w:sdtPr>
                      <w:alias w:val="Numeris"/>
                      <w:tag w:val="nr_c43563f8566c492f8377fcd19099d278"/>
                      <w:lock w:val="sdtLocked"/>
                      <w:richText/>
                    </w:sdtPr>
                    <w:sdtContent>
                      <w:r>
                        <w:rPr>
                          <w:iCs/>
                          <w:szCs w:val="24"/>
                          <w:lang w:eastAsia="lt-LT"/>
                        </w:rPr>
                        <w:t>25</w:t>
                      </w:r>
                    </w:sdtContent>
                  </w:sdt>
                  <w:r>
                    <w:rPr>
                      <w:iCs/>
                      <w:szCs w:val="24"/>
                      <w:lang w:eastAsia="lt-LT"/>
                    </w:rPr>
                    <w:t>.</w:t>
                    <w:tab/>
                    <w:t>Telšių „Atžalyno“ progimnazijai įsigytas mokyklinis autobusas su pritaikymu neįgaliesiems vežti.</w:t>
                  </w:r>
                </w:p>
              </w:sdtContent>
            </w:sdt>
            <w:sdt>
              <w:sdtPr>
                <w:alias w:val="26 p."/>
                <w:tag w:val="part_a8dfd435037541549bb500ef1b3a4e4b"/>
                <w:lock w:val="sdtLocked"/>
                <w:richText/>
              </w:sdtPr>
              <w:sdtContent>
                <w:p>
                  <w:pPr>
                    <w:tabs>
                      <w:tab w:val="left" w:pos="1134"/>
                    </w:tabs>
                    <w:ind w:firstLine="720"/>
                    <w:jc w:val="both"/>
                    <w:rPr>
                      <w:iCs/>
                      <w:color w:val="EE0000"/>
                      <w:szCs w:val="24"/>
                      <w:lang w:eastAsia="lt-LT"/>
                    </w:rPr>
                  </w:pPr>
                  <w:sdt>
                    <w:sdtPr>
                      <w:alias w:val="Numeris"/>
                      <w:tag w:val="nr_a8dfd435037541549bb500ef1b3a4e4b"/>
                      <w:lock w:val="sdtLocked"/>
                      <w:richText/>
                    </w:sdtPr>
                    <w:sdtContent>
                      <w:r>
                        <w:rPr>
                          <w:iCs/>
                          <w:szCs w:val="24"/>
                          <w:lang w:eastAsia="lt-LT"/>
                        </w:rPr>
                        <w:t>26</w:t>
                      </w:r>
                    </w:sdtContent>
                  </w:sdt>
                  <w:r>
                    <w:rPr>
                      <w:iCs/>
                      <w:szCs w:val="24"/>
                      <w:lang w:eastAsia="lt-LT"/>
                    </w:rPr>
                    <w:t>.</w:t>
                    <w:tab/>
                    <w:t xml:space="preserve">Atliktas Telšių „Atžalyno“ progimnazijos sporto aikštynų ir teritorijos kapitalinis remontas. </w:t>
                  </w:r>
                  <w:r>
                    <w:rPr>
                      <w:szCs w:val="24"/>
                      <w:lang w:eastAsia="lt-LT"/>
                    </w:rPr>
                    <w:t>Numatoma kapitaliai suremontuoti stadioną su bėgimo takais, sporto aikštelėmis ir apšvietimu, krepšinio aikštelę, kiemo aikštelę, privažiavimą prie mokyklos ir takelius su apšvietimu. 2026 m. planuojama užbaigti projekte „Atžalyno“ progimnazijos stadiono, sporto aikštelių ir kiemo aikštelės su takais ir įvažiavimu, esančiais adresu P. Cvirkos g. 2 ir 2a, Telšių miestas, kapitalinio remonto aprašas“ numatytus kapitalinio remonto darbus</w:t>
                  </w:r>
                  <w:r>
                    <w:rPr>
                      <w:iCs/>
                      <w:szCs w:val="24"/>
                      <w:lang w:eastAsia="lt-LT"/>
                    </w:rPr>
                    <w:t xml:space="preserve">. </w:t>
                  </w:r>
                </w:p>
              </w:sdtContent>
            </w:sdt>
            <w:sdt>
              <w:sdtPr>
                <w:alias w:val="27 p."/>
                <w:tag w:val="part_bc525da2993742a68d9c40f14b74b922"/>
                <w:lock w:val="sdtLocked"/>
                <w:richText/>
              </w:sdtPr>
              <w:sdtContent>
                <w:p>
                  <w:pPr>
                    <w:tabs>
                      <w:tab w:val="left" w:pos="1134"/>
                    </w:tabs>
                    <w:ind w:firstLine="720"/>
                    <w:jc w:val="both"/>
                    <w:rPr>
                      <w:iCs/>
                      <w:szCs w:val="24"/>
                      <w:lang w:eastAsia="lt-LT"/>
                    </w:rPr>
                  </w:pPr>
                  <w:sdt>
                    <w:sdtPr>
                      <w:alias w:val="Numeris"/>
                      <w:tag w:val="nr_bc525da2993742a68d9c40f14b74b922"/>
                      <w:lock w:val="sdtLocked"/>
                      <w:richText/>
                    </w:sdtPr>
                    <w:sdtContent>
                      <w:r>
                        <w:rPr>
                          <w:iCs/>
                          <w:szCs w:val="24"/>
                          <w:lang w:eastAsia="lt-LT"/>
                        </w:rPr>
                        <w:t>27</w:t>
                      </w:r>
                    </w:sdtContent>
                  </w:sdt>
                  <w:r>
                    <w:rPr>
                      <w:iCs/>
                      <w:szCs w:val="24"/>
                      <w:lang w:eastAsia="lt-LT"/>
                    </w:rPr>
                    <w:t>.</w:t>
                    <w:tab/>
                  </w:r>
                  <w:r>
                    <w:rPr>
                      <w:szCs w:val="24"/>
                      <w:lang w:eastAsia="lt-LT"/>
                    </w:rPr>
                    <w:t xml:space="preserve">Pradėti Telšių „Germanto“ progimnazijos pastato kapitalinio remonto darbai: bus įdiegti universalaus dizaino principai, įrengiamos trūkstamos ugdymo ir poilsio erdvės, trūkstami mokymo kabinetai bei aktų salė, atnaujintos vidaus patalpos bei vidaus inžinerinės sistemos ir įdiegtos energiją taupančios ir pastato energetinio efektyvumo didinimo priemonės. Šiauriniame korpuse bus įrengiamos 5 naujos pradinio ugdymo klasės Telšių Vincento Borisevičiaus gimnazijos pradinio ugdymo mokiniams. </w:t>
                  </w:r>
                </w:p>
              </w:sdtContent>
            </w:sdt>
            <w:sdt>
              <w:sdtPr>
                <w:alias w:val="28 p."/>
                <w:tag w:val="part_02103d5eaa554668b3acb625a01b770c"/>
                <w:lock w:val="sdtLocked"/>
                <w:richText/>
              </w:sdtPr>
              <w:sdtContent>
                <w:p>
                  <w:pPr>
                    <w:tabs>
                      <w:tab w:val="left" w:pos="720"/>
                      <w:tab w:val="left" w:pos="993"/>
                      <w:tab w:val="left" w:pos="1134"/>
                    </w:tabs>
                    <w:ind w:firstLine="720"/>
                    <w:jc w:val="both"/>
                    <w:rPr>
                      <w:iCs/>
                      <w:szCs w:val="24"/>
                      <w:lang w:eastAsia="lt-LT"/>
                    </w:rPr>
                  </w:pPr>
                  <w:sdt>
                    <w:sdtPr>
                      <w:alias w:val="Numeris"/>
                      <w:tag w:val="nr_02103d5eaa554668b3acb625a01b770c"/>
                      <w:lock w:val="sdtLocked"/>
                      <w:richText/>
                    </w:sdtPr>
                    <w:sdtContent>
                      <w:r>
                        <w:rPr>
                          <w:iCs/>
                          <w:szCs w:val="24"/>
                          <w:lang w:eastAsia="lt-LT"/>
                        </w:rPr>
                        <w:t>28</w:t>
                      </w:r>
                    </w:sdtContent>
                  </w:sdt>
                  <w:r>
                    <w:rPr>
                      <w:iCs/>
                      <w:szCs w:val="24"/>
                      <w:lang w:eastAsia="lt-LT"/>
                    </w:rPr>
                    <w:t>.</w:t>
                    <w:tab/>
                  </w:r>
                  <w:r>
                    <w:rPr>
                      <w:szCs w:val="24"/>
                      <w:lang w:eastAsia="lt-LT"/>
                    </w:rPr>
                    <w:t>Pradėti Telšių „Džiugo“ gimnazijos pastato kapitalinio remonto darbai: įdiegti universalaus dizaino principai, įrengiamos trūkstamos ugdymo ir poilsio erdvės, laboratorijos, trūkstami mokymo kabinetai, sanitariniai mazgai, modernizuotos aktų bei sporto salės, atnaujintos vidaus patalpos bei vidaus inžinerinės sistemos ir įdiegtos energiją taupančios priemonės, pastato energetinio efektyvumo didinimo priemonės.</w:t>
                  </w:r>
                </w:p>
              </w:sdtContent>
            </w:sdt>
            <w:sdt>
              <w:sdtPr>
                <w:alias w:val="29 p."/>
                <w:tag w:val="part_162e314504914787a333feec14533a3c"/>
                <w:lock w:val="sdtLocked"/>
                <w:richText/>
              </w:sdtPr>
              <w:sdtContent>
                <w:p>
                  <w:pPr>
                    <w:tabs>
                      <w:tab w:val="left" w:pos="1134"/>
                    </w:tabs>
                    <w:ind w:firstLine="720"/>
                    <w:jc w:val="both"/>
                    <w:rPr>
                      <w:iCs/>
                      <w:szCs w:val="24"/>
                      <w:lang w:eastAsia="lt-LT"/>
                    </w:rPr>
                  </w:pPr>
                  <w:sdt>
                    <w:sdtPr>
                      <w:alias w:val="Numeris"/>
                      <w:tag w:val="nr_162e314504914787a333feec14533a3c"/>
                      <w:lock w:val="sdtLocked"/>
                      <w:richText/>
                    </w:sdtPr>
                    <w:sdtContent>
                      <w:r>
                        <w:rPr>
                          <w:iCs/>
                          <w:szCs w:val="24"/>
                          <w:lang w:eastAsia="lt-LT"/>
                        </w:rPr>
                        <w:t>29</w:t>
                      </w:r>
                    </w:sdtContent>
                  </w:sdt>
                  <w:r>
                    <w:rPr>
                      <w:iCs/>
                      <w:szCs w:val="24"/>
                      <w:lang w:eastAsia="lt-LT"/>
                    </w:rPr>
                    <w:t>.</w:t>
                    <w:tab/>
                  </w:r>
                  <w:r>
                    <w:rPr>
                      <w:szCs w:val="24"/>
                      <w:lang w:eastAsia="lt-LT"/>
                    </w:rPr>
                    <w:t>Atlikti Telšių lopšelio-darželio „Berželis“ II korpuso remonto darbai, įrengtos naujos ikimokyklinio ugdymo grupės bei sukurta 110 naujų vietų 1–5 metų amžiaus vaikams.</w:t>
                  </w:r>
                </w:p>
              </w:sdtContent>
            </w:sdt>
            <w:sdt>
              <w:sdtPr>
                <w:alias w:val="30 p."/>
                <w:tag w:val="part_51d0af73f7a546599cbfa7b64ab4178d"/>
                <w:lock w:val="sdtLocked"/>
                <w:richText/>
              </w:sdtPr>
              <w:sdtContent>
                <w:p>
                  <w:pPr>
                    <w:tabs>
                      <w:tab w:val="left" w:pos="1134"/>
                    </w:tabs>
                    <w:ind w:firstLine="720"/>
                    <w:jc w:val="both"/>
                    <w:rPr>
                      <w:iCs/>
                      <w:szCs w:val="24"/>
                      <w:lang w:eastAsia="lt-LT"/>
                    </w:rPr>
                  </w:pPr>
                  <w:sdt>
                    <w:sdtPr>
                      <w:alias w:val="Numeris"/>
                      <w:tag w:val="nr_51d0af73f7a546599cbfa7b64ab4178d"/>
                      <w:lock w:val="sdtLocked"/>
                      <w:richText/>
                    </w:sdtPr>
                    <w:sdtContent>
                      <w:r>
                        <w:rPr>
                          <w:iCs/>
                          <w:szCs w:val="24"/>
                          <w:lang w:eastAsia="lt-LT"/>
                        </w:rPr>
                        <w:t>30</w:t>
                      </w:r>
                    </w:sdtContent>
                  </w:sdt>
                  <w:r>
                    <w:rPr>
                      <w:iCs/>
                      <w:szCs w:val="24"/>
                      <w:lang w:eastAsia="lt-LT"/>
                    </w:rPr>
                    <w:t>.</w:t>
                    <w:tab/>
                  </w:r>
                  <w:r>
                    <w:rPr>
                      <w:szCs w:val="24"/>
                      <w:lang w:eastAsia="lt-LT"/>
                    </w:rPr>
                    <w:t>Atliekamos nekilnojamojo turto – žemės sklypų, reikalingų Telšių pramonės parkui steigti, pirkimo procedūros iš asmenų, kuriems nuosavybės teise priklauso sklypai. Bus pradėtas rengti Telšių pramonės parko plėtros planas, kuriame bus nustatyti parko veiklos tikslai, numatomos ūkinės veiklos rūšys, infrastruktūros vystymo sprendimai ir investicijų skatinimo priemonės. Taip pat bus atliekama Pramonės parko kaštų ir naudos analizė.</w:t>
                  </w:r>
                </w:p>
              </w:sdtContent>
            </w:sdt>
            <w:sdt>
              <w:sdtPr>
                <w:alias w:val="31 p."/>
                <w:tag w:val="part_f8653cb320374ca594018f8b4ef8f30c"/>
                <w:lock w:val="sdtLocked"/>
                <w:richText/>
              </w:sdtPr>
              <w:sdtContent>
                <w:p>
                  <w:pPr>
                    <w:tabs>
                      <w:tab w:val="left" w:pos="1134"/>
                    </w:tabs>
                    <w:ind w:firstLine="720"/>
                    <w:jc w:val="both"/>
                    <w:rPr>
                      <w:iCs/>
                      <w:szCs w:val="24"/>
                      <w:lang w:eastAsia="lt-LT"/>
                    </w:rPr>
                  </w:pPr>
                  <w:sdt>
                    <w:sdtPr>
                      <w:alias w:val="Numeris"/>
                      <w:tag w:val="nr_f8653cb320374ca594018f8b4ef8f30c"/>
                      <w:lock w:val="sdtLocked"/>
                      <w:richText/>
                    </w:sdtPr>
                    <w:sdtContent>
                      <w:r>
                        <w:rPr>
                          <w:iCs/>
                          <w:szCs w:val="24"/>
                          <w:lang w:eastAsia="lt-LT"/>
                        </w:rPr>
                        <w:t>31</w:t>
                      </w:r>
                    </w:sdtContent>
                  </w:sdt>
                  <w:r>
                    <w:rPr>
                      <w:iCs/>
                      <w:szCs w:val="24"/>
                      <w:lang w:eastAsia="lt-LT"/>
                    </w:rPr>
                    <w:t>.</w:t>
                    <w:tab/>
                  </w:r>
                  <w:r>
                    <w:rPr>
                      <w:szCs w:val="24"/>
                      <w:lang w:eastAsia="lt-LT"/>
                    </w:rPr>
                    <w:t>Atlikti Rainių Kančios koplyčios, žudynių vietos ir atminties ąžuolyno teritorijų, esančių adresu Rainių k., Telšių r., pritaikymo lankymui darbai: nuo automobilių aikštelės iki Rainių Kančios koplyčios bus įrengtas pėsčiųjų takas su apšvietimu, atnaujintos dangos ir mažoji architektūra, modernizuotas koplyčios bokšto bei teritorijos apšvietimas, informacinė infrastruktūra, įrengta apšviesta automobilių sustojimo aikštelė ir poilsio zona, viskas pritaikoma universalaus dizaino principams; Rainių miškelio žudynių vietoje bus pritaikyti takai žmonėms su negalia, modernizuota paminklo aikštelė, įrengtas apšvietimas ir mažoji architektūra; atminties ąžuolyne bus įrengtas pėsčiųjų takelis, poilsio–apžvalgos aikštelė, mažoji architektūra ir informaciniai stendai.</w:t>
                  </w:r>
                </w:p>
              </w:sdtContent>
            </w:sdt>
            <w:sdt>
              <w:sdtPr>
                <w:alias w:val="32 p."/>
                <w:tag w:val="part_7d575981feca46d4b92f60f89043e5dd"/>
                <w:lock w:val="sdtLocked"/>
                <w:richText/>
              </w:sdtPr>
              <w:sdtContent>
                <w:p>
                  <w:pPr>
                    <w:tabs>
                      <w:tab w:val="left" w:pos="1134"/>
                    </w:tabs>
                    <w:ind w:firstLine="720"/>
                    <w:jc w:val="both"/>
                    <w:rPr>
                      <w:iCs/>
                      <w:szCs w:val="24"/>
                      <w:lang w:eastAsia="lt-LT"/>
                    </w:rPr>
                  </w:pPr>
                  <w:sdt>
                    <w:sdtPr>
                      <w:alias w:val="Numeris"/>
                      <w:tag w:val="nr_7d575981feca46d4b92f60f89043e5dd"/>
                      <w:lock w:val="sdtLocked"/>
                      <w:richText/>
                    </w:sdtPr>
                    <w:sdtContent>
                      <w:r>
                        <w:rPr>
                          <w:iCs/>
                          <w:szCs w:val="24"/>
                          <w:lang w:eastAsia="lt-LT"/>
                        </w:rPr>
                        <w:t>32</w:t>
                      </w:r>
                    </w:sdtContent>
                  </w:sdt>
                  <w:r>
                    <w:rPr>
                      <w:iCs/>
                      <w:szCs w:val="24"/>
                      <w:lang w:eastAsia="lt-LT"/>
                    </w:rPr>
                    <w:t>.</w:t>
                    <w:tab/>
                    <w:t>Atlikti Biržuvėnų dvaro sodybos parko tvarkymo darbai: atkurti pėsčiųjų takai, įrengti tilteliai per tvenkinius, suremontuoti laiptai, pastatytos pavėsinės, įrengtas parko apšvietimas ir mažosios architektūros elementai. Teritorijoje bus įrengtas sauso tipo tualetas, informacinis interaktyvus stendas, lankytojų skaičiuotuvas, krypties rodyklės, informaciniai stendai ir maršruto „Gamtos peizažai“ ženklinimas. Taip pat bus atlikti apželdinimo tvarkymo darbai: medžių genėjimas, krūmų šalinimas, kelmų rovimas, žolės pjovimas, vejų įrengimas bei tvenkinių sutvarkymo darbai, apimantys šlaitų formavimą ir dumblo šalinimą. Sutvarkius tvenkinius, bus įrengtos maudyklos su paplūdimio zonomis ir patogiomis prieigomis, pritaikytomis saugiam įvairių poreikių turinčių lankytojų poilsiui.</w:t>
                  </w:r>
                </w:p>
              </w:sdtContent>
            </w:sdt>
            <w:sdt>
              <w:sdtPr>
                <w:alias w:val="33 p."/>
                <w:tag w:val="part_a66fa33361d74cfa87d093de46d15a22"/>
                <w:lock w:val="sdtLocked"/>
                <w:richText/>
              </w:sdtPr>
              <w:sdtContent>
                <w:p>
                  <w:pPr>
                    <w:tabs>
                      <w:tab w:val="left" w:pos="1134"/>
                    </w:tabs>
                    <w:ind w:firstLine="720"/>
                    <w:jc w:val="both"/>
                    <w:rPr>
                      <w:iCs/>
                      <w:szCs w:val="24"/>
                      <w:lang w:eastAsia="lt-LT"/>
                    </w:rPr>
                  </w:pPr>
                  <w:sdt>
                    <w:sdtPr>
                      <w:alias w:val="Numeris"/>
                      <w:tag w:val="nr_a66fa33361d74cfa87d093de46d15a22"/>
                      <w:lock w:val="sdtLocked"/>
                      <w:richText/>
                    </w:sdtPr>
                    <w:sdtContent>
                      <w:r>
                        <w:rPr>
                          <w:iCs/>
                          <w:szCs w:val="24"/>
                          <w:lang w:eastAsia="lt-LT"/>
                        </w:rPr>
                        <w:t>33</w:t>
                      </w:r>
                    </w:sdtContent>
                  </w:sdt>
                  <w:r>
                    <w:rPr>
                      <w:iCs/>
                      <w:szCs w:val="24"/>
                      <w:lang w:eastAsia="lt-LT"/>
                    </w:rPr>
                    <w:t>.</w:t>
                    <w:tab/>
                  </w:r>
                  <w:r>
                    <w:rPr>
                      <w:szCs w:val="24"/>
                      <w:lang w:eastAsia="lt-LT"/>
                    </w:rPr>
                    <w:t xml:space="preserve">Atlikti Žemaitės dramos teatro pastato paprastojo remonto darbai: suremontuotas pastato fasadas ir cokolis, lauko laiptai, stogas, pakeisti langai ir durys, apšiltinta pastogė, atnaujinti lietaus nuotekų ir drenažo tinklai.  Atlikus vidaus patalpų remontą bus suremontuota teatro žiūrovų salė, įskaitant sceną ir balkoną, bei įsigyta žiūrovų salės ir scenos įranga (garso, vaizdo ir apšvietimo). Taip pat bus suremontuota kolonų salė, buvusios vaikų bibliotekėlės patalpos bei tualetai, įsigyta įranga ir baldai, skirti neformaliam suaugusiųjų švietimui bei vaikų ir jaunimo meniniam ugdymui pagal neformaliojo vaikų švietimo ir formaliojo švietimo, papildančio ugdymo programas, kriterijus. Projektų metu bus įgyvendinti universalaus dizaino principai, taip užtikrinant paslaugų prieinamumą visiems.</w:t>
                  </w:r>
                </w:p>
              </w:sdtContent>
            </w:sdt>
            <w:sdt>
              <w:sdtPr>
                <w:alias w:val="34 p."/>
                <w:tag w:val="part_5b85c8fe3a78477989ee4ff9487274f0"/>
                <w:lock w:val="sdtLocked"/>
                <w:richText/>
              </w:sdtPr>
              <w:sdtContent>
                <w:p>
                  <w:pPr>
                    <w:tabs>
                      <w:tab w:val="left" w:pos="1134"/>
                    </w:tabs>
                    <w:ind w:firstLine="720"/>
                    <w:jc w:val="both"/>
                    <w:rPr>
                      <w:iCs/>
                      <w:szCs w:val="24"/>
                      <w:lang w:eastAsia="lt-LT"/>
                    </w:rPr>
                  </w:pPr>
                  <w:sdt>
                    <w:sdtPr>
                      <w:alias w:val="Numeris"/>
                      <w:tag w:val="nr_5b85c8fe3a78477989ee4ff9487274f0"/>
                      <w:lock w:val="sdtLocked"/>
                      <w:richText/>
                    </w:sdtPr>
                    <w:sdtContent>
                      <w:r>
                        <w:rPr>
                          <w:iCs/>
                          <w:szCs w:val="24"/>
                          <w:lang w:eastAsia="lt-LT"/>
                        </w:rPr>
                        <w:t>34</w:t>
                      </w:r>
                    </w:sdtContent>
                  </w:sdt>
                  <w:r>
                    <w:rPr>
                      <w:iCs/>
                      <w:szCs w:val="24"/>
                      <w:lang w:eastAsia="lt-LT"/>
                    </w:rPr>
                    <w:t>.</w:t>
                    <w:tab/>
                  </w:r>
                  <w:r>
                    <w:rPr>
                      <w:bCs/>
                      <w:iCs/>
                      <w:szCs w:val="24"/>
                      <w:lang w:eastAsia="lt-LT"/>
                    </w:rPr>
                    <w:t xml:space="preserve">Atliktas Telšių centro „Viltis“ pastato B korpuso kapitalinis remontas su fasado atnaujinimu, lauko inžinerinių tinklų įrengimu ir sklypo sutvarkymu.  B korpuso I a. ir II a. patalpose bus įkuriami specializuotos socialinės globos ir slaugos namai.</w:t>
                  </w:r>
                </w:p>
              </w:sdtContent>
            </w:sdt>
            <w:sdt>
              <w:sdtPr>
                <w:alias w:val="35 p."/>
                <w:tag w:val="part_b1de38d42efb43cfa57515b750d066d5"/>
                <w:lock w:val="sdtLocked"/>
                <w:richText/>
              </w:sdtPr>
              <w:sdtContent>
                <w:p>
                  <w:pPr>
                    <w:tabs>
                      <w:tab w:val="left" w:pos="1134"/>
                    </w:tabs>
                    <w:ind w:firstLine="720"/>
                    <w:jc w:val="both"/>
                    <w:rPr>
                      <w:iCs/>
                      <w:szCs w:val="24"/>
                      <w:lang w:eastAsia="lt-LT"/>
                    </w:rPr>
                  </w:pPr>
                  <w:sdt>
                    <w:sdtPr>
                      <w:alias w:val="Numeris"/>
                      <w:tag w:val="nr_b1de38d42efb43cfa57515b750d066d5"/>
                      <w:lock w:val="sdtLocked"/>
                      <w:richText/>
                    </w:sdtPr>
                    <w:sdtContent>
                      <w:r>
                        <w:rPr>
                          <w:iCs/>
                          <w:szCs w:val="24"/>
                          <w:lang w:eastAsia="lt-LT"/>
                        </w:rPr>
                        <w:t>35</w:t>
                      </w:r>
                    </w:sdtContent>
                  </w:sdt>
                  <w:r>
                    <w:rPr>
                      <w:iCs/>
                      <w:szCs w:val="24"/>
                      <w:lang w:eastAsia="lt-LT"/>
                    </w:rPr>
                    <w:t>.</w:t>
                    <w:tab/>
                  </w:r>
                  <w:r>
                    <w:rPr>
                      <w:szCs w:val="24"/>
                      <w:lang w:eastAsia="lt-LT"/>
                    </w:rPr>
                    <w:t>Atlikta gyvenamojo namo, esančio adresu Žarėnų g. 16, Ryškėnuose, rekonstrukcija. Savivaldybė planuoja įrengti 21 socialinį būstą, kurių talpumas – 87 asmenys. 12 butų (trijų-keturių kambarių) gausioms šeimoms ir 9 butai (vieno-dviejų-trijų kambarių) – neįgaliesiems ir jų šeimoms;</w:t>
                  </w:r>
                </w:p>
              </w:sdtContent>
            </w:sdt>
            <w:sdt>
              <w:sdtPr>
                <w:alias w:val="36 p."/>
                <w:tag w:val="part_d069f175886c427f8c67a8e96f9e1472"/>
                <w:lock w:val="sdtLocked"/>
                <w:richText/>
              </w:sdtPr>
              <w:sdtContent>
                <w:p>
                  <w:pPr>
                    <w:tabs>
                      <w:tab w:val="left" w:pos="720"/>
                      <w:tab w:val="left" w:pos="1134"/>
                    </w:tabs>
                    <w:ind w:firstLine="720"/>
                    <w:jc w:val="both"/>
                    <w:rPr>
                      <w:iCs/>
                      <w:szCs w:val="24"/>
                      <w:lang w:eastAsia="lt-LT"/>
                    </w:rPr>
                  </w:pPr>
                  <w:sdt>
                    <w:sdtPr>
                      <w:alias w:val="Numeris"/>
                      <w:tag w:val="nr_d069f175886c427f8c67a8e96f9e1472"/>
                      <w:lock w:val="sdtLocked"/>
                      <w:richText/>
                    </w:sdtPr>
                    <w:sdtContent>
                      <w:r>
                        <w:rPr>
                          <w:iCs/>
                          <w:szCs w:val="24"/>
                          <w:lang w:eastAsia="lt-LT"/>
                        </w:rPr>
                        <w:t>36</w:t>
                      </w:r>
                    </w:sdtContent>
                  </w:sdt>
                  <w:r>
                    <w:rPr>
                      <w:iCs/>
                      <w:szCs w:val="24"/>
                      <w:lang w:eastAsia="lt-LT"/>
                    </w:rPr>
                    <w:t>.</w:t>
                    <w:tab/>
                    <w:t>Atliktas Telšių senelių globos namų kapitalinis remontas. Visos infrastruktūros modernizavimas bus pritaikytas asmenims su specialiais poreikiais.</w:t>
                  </w:r>
                </w:p>
              </w:sdtContent>
            </w:sdt>
            <w:sdt>
              <w:sdtPr>
                <w:alias w:val="37 p."/>
                <w:tag w:val="part_717e364e5177416b9b2bc19fbf048b35"/>
                <w:lock w:val="sdtLocked"/>
                <w:richText/>
              </w:sdtPr>
              <w:sdtContent>
                <w:p>
                  <w:pPr>
                    <w:tabs>
                      <w:tab w:val="left" w:pos="720"/>
                      <w:tab w:val="left" w:pos="1134"/>
                    </w:tabs>
                    <w:ind w:firstLine="709"/>
                    <w:jc w:val="both"/>
                    <w:rPr>
                      <w:iCs/>
                      <w:color w:val="FF0000"/>
                      <w:szCs w:val="24"/>
                      <w:lang w:eastAsia="lt-LT"/>
                    </w:rPr>
                  </w:pPr>
                  <w:sdt>
                    <w:sdtPr>
                      <w:alias w:val="Numeris"/>
                      <w:tag w:val="nr_717e364e5177416b9b2bc19fbf048b35"/>
                      <w:lock w:val="sdtLocked"/>
                      <w:richText/>
                    </w:sdtPr>
                    <w:sdtContent>
                      <w:r>
                        <w:rPr>
                          <w:iCs/>
                          <w:szCs w:val="24"/>
                          <w:lang w:eastAsia="lt-LT"/>
                        </w:rPr>
                        <w:t>37</w:t>
                      </w:r>
                    </w:sdtContent>
                  </w:sdt>
                  <w:r>
                    <w:rPr>
                      <w:iCs/>
                      <w:szCs w:val="24"/>
                      <w:lang w:eastAsia="lt-LT"/>
                    </w:rPr>
                    <w:t>.</w:t>
                    <w:tab/>
                    <w:t xml:space="preserve">Sukurta ir įdiegta Telšių rajono savivaldybės laidojimo duomenų informacinė sistema su integruotais skaitmeniniais kapinių žemėlapiais bei duomenų registravimo baze. Duomenys viešai prieinami internetinėje svetainėje </w:t>
                  </w:r>
                  <w:r>
                    <w:rPr>
                      <w:iCs/>
                      <w:color w:val="0563C1"/>
                      <w:szCs w:val="24"/>
                      <w:u w:val="single"/>
                      <w:lang w:eastAsia="lt-LT"/>
                    </w:rPr>
                    <w:t>https://cemety.lt/</w:t>
                  </w:r>
                  <w:r>
                    <w:rPr>
                      <w:iCs/>
                      <w:color w:val="0563C1"/>
                      <w:szCs w:val="24"/>
                      <w:u w:val="single"/>
                      <w:lang w:eastAsia="lt-LT"/>
                    </w:rPr>
                    <w:t>.</w:t>
                  </w:r>
                </w:p>
              </w:sdtContent>
            </w:sdt>
            <w:sdt>
              <w:sdtPr>
                <w:alias w:val="38 p."/>
                <w:tag w:val="part_25c7cd6281204b66aac771c6e13659a5"/>
                <w:lock w:val="sdtLocked"/>
                <w:richText/>
              </w:sdtPr>
              <w:sdtContent>
                <w:p>
                  <w:pPr>
                    <w:tabs>
                      <w:tab w:val="left" w:pos="720"/>
                      <w:tab w:val="left" w:pos="1134"/>
                    </w:tabs>
                    <w:ind w:firstLine="709"/>
                    <w:jc w:val="both"/>
                    <w:rPr>
                      <w:iCs/>
                      <w:szCs w:val="24"/>
                      <w:lang w:eastAsia="lt-LT"/>
                    </w:rPr>
                  </w:pPr>
                  <w:sdt>
                    <w:sdtPr>
                      <w:alias w:val="Numeris"/>
                      <w:tag w:val="nr_25c7cd6281204b66aac771c6e13659a5"/>
                      <w:lock w:val="sdtLocked"/>
                      <w:richText/>
                    </w:sdtPr>
                    <w:sdtContent>
                      <w:r>
                        <w:rPr>
                          <w:iCs/>
                          <w:szCs w:val="24"/>
                          <w:lang w:eastAsia="lt-LT"/>
                        </w:rPr>
                        <w:t>38</w:t>
                      </w:r>
                    </w:sdtContent>
                  </w:sdt>
                  <w:r>
                    <w:rPr>
                      <w:iCs/>
                      <w:szCs w:val="24"/>
                      <w:lang w:eastAsia="lt-LT"/>
                    </w:rPr>
                    <w:t>.</w:t>
                    <w:tab/>
                    <w:t>Pradėtas Lūksto ežero pakrantės, esančios adresu Graužų k., Telšių r., tvarkymas: modernizuojama poilsiavietė, įrengiama automobilių stovėjimo aikštelė, teritorijos apšvietimas, pėsčiųjų–dviračių takai, atnaujinamas paplūdimys, įrengiami mažosios architektūros elementai bei kita reikalinga infrastruktūra.</w:t>
                  </w:r>
                </w:p>
              </w:sdtContent>
            </w:sdt>
            <w:sdt>
              <w:sdtPr>
                <w:alias w:val="39 p."/>
                <w:tag w:val="part_192bbc11efb044e786439e534ed4b854"/>
                <w:lock w:val="sdtLocked"/>
                <w:richText/>
              </w:sdtPr>
              <w:sdtContent>
                <w:p>
                  <w:pPr>
                    <w:tabs>
                      <w:tab w:val="left" w:pos="720"/>
                      <w:tab w:val="left" w:pos="1134"/>
                    </w:tabs>
                    <w:ind w:firstLine="709"/>
                    <w:jc w:val="both"/>
                    <w:rPr>
                      <w:iCs/>
                      <w:szCs w:val="24"/>
                      <w:lang w:eastAsia="lt-LT"/>
                    </w:rPr>
                  </w:pPr>
                  <w:sdt>
                    <w:sdtPr>
                      <w:alias w:val="Numeris"/>
                      <w:tag w:val="nr_192bbc11efb044e786439e534ed4b854"/>
                      <w:lock w:val="sdtLocked"/>
                      <w:richText/>
                    </w:sdtPr>
                    <w:sdtContent>
                      <w:r>
                        <w:rPr>
                          <w:iCs/>
                          <w:szCs w:val="24"/>
                          <w:lang w:eastAsia="lt-LT"/>
                        </w:rPr>
                        <w:t>39</w:t>
                      </w:r>
                    </w:sdtContent>
                  </w:sdt>
                  <w:r>
                    <w:rPr>
                      <w:iCs/>
                      <w:szCs w:val="24"/>
                      <w:lang w:eastAsia="lt-LT"/>
                    </w:rPr>
                    <w:t>.</w:t>
                    <w:tab/>
                    <w:t xml:space="preserve">Pradėtas Germanto ežero pakrantės, esančios adresu Kuodžių k., Telšių rajone, tvarkymas:  atnaujinamas ir modernizuojamas pažintinis takas, įrengiamos poilsiavietės ir paplūdimys, apžvalgos aikštelės, mažosios architektūros elementai bei kita reikalinga infrastruktūra.</w:t>
                  </w:r>
                </w:p>
              </w:sdtContent>
            </w:sdt>
            <w:sdt>
              <w:sdtPr>
                <w:alias w:val="40 p."/>
                <w:tag w:val="part_db970e527a0b4262a8663a998dd89022"/>
                <w:lock w:val="sdtLocked"/>
                <w:richText/>
              </w:sdtPr>
              <w:sdtContent>
                <w:p>
                  <w:pPr>
                    <w:tabs>
                      <w:tab w:val="left" w:pos="720"/>
                      <w:tab w:val="left" w:pos="1134"/>
                    </w:tabs>
                    <w:ind w:firstLine="709"/>
                    <w:jc w:val="both"/>
                    <w:rPr>
                      <w:iCs/>
                      <w:szCs w:val="24"/>
                      <w:lang w:eastAsia="lt-LT"/>
                    </w:rPr>
                  </w:pPr>
                  <w:sdt>
                    <w:sdtPr>
                      <w:alias w:val="Numeris"/>
                      <w:tag w:val="nr_db970e527a0b4262a8663a998dd89022"/>
                      <w:lock w:val="sdtLocked"/>
                      <w:richText/>
                    </w:sdtPr>
                    <w:sdtContent>
                      <w:r>
                        <w:rPr>
                          <w:iCs/>
                          <w:szCs w:val="24"/>
                          <w:lang w:eastAsia="lt-LT"/>
                        </w:rPr>
                        <w:t>40</w:t>
                      </w:r>
                    </w:sdtContent>
                  </w:sdt>
                  <w:r>
                    <w:rPr>
                      <w:iCs/>
                      <w:szCs w:val="24"/>
                      <w:lang w:eastAsia="lt-LT"/>
                    </w:rPr>
                    <w:t>.</w:t>
                    <w:tab/>
                    <w:t>Įgyvendinami regiono savivaldybių (Telšių, Mažeikių, Plungės, Rietavo) bendrieji veiksmai, panaudojant turizmo funkcinius ryšius: turizmo išteklių ir paslaugų informacinio įrankio ir jo turinio sukūrimas, regiono turizmo vystymui ir skatinimui skirtos rinkodarinės kampanijos organizavimas ir pravedimas, turizmo informacinės sistemos, skirtos regiono turizmo išteklių prieinamumo ir patrauklumo didinimui, svečių informavimui apie regiono turizmo išteklius, išvystymas.</w:t>
                  </w:r>
                </w:p>
              </w:sdtContent>
            </w:sdt>
            <w:sdt>
              <w:sdtPr>
                <w:alias w:val="41 p."/>
                <w:tag w:val="part_1612b773fee74789b100a69c5df9db53"/>
                <w:lock w:val="sdtLocked"/>
                <w:richText/>
              </w:sdtPr>
              <w:sdtContent>
                <w:p>
                  <w:pPr>
                    <w:tabs>
                      <w:tab w:val="left" w:pos="720"/>
                      <w:tab w:val="left" w:pos="1134"/>
                    </w:tabs>
                    <w:ind w:firstLine="709"/>
                    <w:jc w:val="both"/>
                    <w:rPr>
                      <w:iCs/>
                      <w:szCs w:val="24"/>
                      <w:lang w:eastAsia="lt-LT"/>
                    </w:rPr>
                  </w:pPr>
                  <w:sdt>
                    <w:sdtPr>
                      <w:alias w:val="Numeris"/>
                      <w:tag w:val="nr_1612b773fee74789b100a69c5df9db53"/>
                      <w:lock w:val="sdtLocked"/>
                      <w:richText/>
                    </w:sdtPr>
                    <w:sdtContent>
                      <w:r>
                        <w:rPr>
                          <w:iCs/>
                          <w:szCs w:val="24"/>
                          <w:lang w:eastAsia="lt-LT"/>
                        </w:rPr>
                        <w:t>41</w:t>
                      </w:r>
                    </w:sdtContent>
                  </w:sdt>
                  <w:r>
                    <w:rPr>
                      <w:iCs/>
                      <w:szCs w:val="24"/>
                      <w:lang w:eastAsia="lt-LT"/>
                    </w:rPr>
                    <w:t>.</w:t>
                    <w:tab/>
                    <w:t>Pradėti regiono savivaldybių (Telšių, Mažeikių, Plungės, Rietavo) bendrieji veiksmai, didinant Telšių regiono patrauklumą verslo kūrimui ir plėtrai bei investicijoms: verslo ir investicijų skatinimo skaitmeninio įrankio, leidžiančio tinkamai pristatyti ir valdyti verslo plėtros galimybes ir sąlygas, sukūrimas bei bendrų savivaldybių rinkodaros veiksmų, nukreiptų į investicijų pritraukimą, įgyvendinimas.</w:t>
                  </w:r>
                </w:p>
                <w:p>
                  <w:pPr>
                    <w:rPr>
                      <w:color w:val="ED0000"/>
                      <w:sz w:val="20"/>
                      <w:szCs w:val="24"/>
                      <w:lang w:eastAsia="lt-LT"/>
                    </w:rPr>
                  </w:pPr>
                </w:p>
              </w:sdtContent>
            </w:sdt>
          </w:sdtContent>
        </w:sdt>
        <w:sdt>
          <w:sdtPr>
            <w:alias w:val="skyrius"/>
            <w:tag w:val="part_405b07481e1a48b4a603f1c3e89e38f1"/>
            <w:lock w:val="sdtLocked"/>
            <w:richText/>
          </w:sdtPr>
          <w:sdtContent>
            <w:p>
              <w:pPr>
                <w:jc w:val="center"/>
                <w:rPr>
                  <w:b/>
                  <w:bCs/>
                  <w:szCs w:val="24"/>
                  <w:lang w:eastAsia="lt-LT"/>
                </w:rPr>
              </w:pPr>
              <w:sdt>
                <w:sdtPr>
                  <w:alias w:val="Numeris"/>
                  <w:tag w:val="nr_405b07481e1a48b4a603f1c3e89e38f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405b07481e1a48b4a603f1c3e89e38f1"/>
                  <w:lock w:val="sdtLocked"/>
                  <w:richText/>
                </w:sdtPr>
                <w:sdtContent>
                  <w:r>
                    <w:rPr>
                      <w:b/>
                      <w:bCs/>
                      <w:szCs w:val="24"/>
                      <w:lang w:eastAsia="lt-LT"/>
                    </w:rPr>
                    <w:t>PROGRAMOS</w:t>
                  </w:r>
                </w:sdtContent>
              </w:sdt>
            </w:p>
            <w:p>
              <w:pPr>
                <w:rPr>
                  <w:sz w:val="20"/>
                  <w:szCs w:val="24"/>
                  <w:lang w:eastAsia="lt-LT"/>
                </w:rPr>
              </w:pPr>
            </w:p>
            <w:p>
              <w:pPr>
                <w:ind w:firstLine="720"/>
                <w:jc w:val="both"/>
                <w:rPr>
                  <w:iCs/>
                  <w:szCs w:val="24"/>
                  <w:lang w:eastAsia="lt-LT"/>
                </w:rPr>
              </w:pPr>
              <w:r>
                <w:rPr>
                  <w:iCs/>
                  <w:szCs w:val="24"/>
                  <w:lang w:eastAsia="lt-LT"/>
                </w:rPr>
                <w:t xml:space="preserve">Įgyvendinant SVP, yra vykdomos 7 programos, iš kurių šešios (2–7 programos) yra funkcijų vykdymo programos, ir viena (1 programa) – valdymo programa. </w:t>
              </w:r>
            </w:p>
            <w:p>
              <w:pPr>
                <w:ind w:firstLine="720"/>
                <w:jc w:val="both"/>
                <w:rPr>
                  <w:rFonts w:eastAsia="Calibri"/>
                  <w:iCs/>
                  <w:szCs w:val="24"/>
                  <w:lang w:eastAsia="lt-LT"/>
                </w:rPr>
              </w:pPr>
              <w:r>
                <w:rPr>
                  <w:rFonts w:eastAsia="Calibri"/>
                  <w:b/>
                  <w:bCs/>
                  <w:i/>
                  <w:szCs w:val="24"/>
                  <w:lang w:eastAsia="lt-LT"/>
                </w:rPr>
                <w:t>001 Savivaldybės valdymo programa</w:t>
              </w:r>
              <w:r>
                <w:rPr>
                  <w:rFonts w:eastAsia="Calibri"/>
                  <w:iCs/>
                  <w:szCs w:val="24"/>
                  <w:lang w:eastAsia="lt-LT"/>
                </w:rPr>
                <w:t xml:space="preserve"> yra užtikrinamas Savivaldybės valdymas, didinamas veiklos ir funkcijų įgyvendinimo efektyvumas, formuojamas rajono įvaizdis, </w:t>
              </w:r>
              <w:r>
                <w:rPr>
                  <w:iCs/>
                  <w:szCs w:val="24"/>
                  <w:lang w:eastAsia="lt-LT"/>
                </w:rPr>
                <w:t>užtikrinamas darnus teritorijų planavimas</w:t>
              </w:r>
              <w:r>
                <w:rPr>
                  <w:rFonts w:eastAsia="Calibri"/>
                  <w:iCs/>
                  <w:szCs w:val="24"/>
                  <w:lang w:eastAsia="lt-LT"/>
                </w:rPr>
                <w:t>.</w:t>
              </w:r>
            </w:p>
            <w:p>
              <w:pPr>
                <w:ind w:firstLine="720"/>
                <w:jc w:val="both"/>
                <w:rPr>
                  <w:iCs/>
                  <w:szCs w:val="24"/>
                  <w:lang w:eastAsia="lt-LT"/>
                </w:rPr>
              </w:pPr>
              <w:r>
                <w:rPr>
                  <w:b/>
                  <w:bCs/>
                  <w:i/>
                  <w:szCs w:val="24"/>
                  <w:lang w:eastAsia="lt-LT"/>
                </w:rPr>
                <w:t>002 Saugios aplinkos užtikrinimo programa</w:t>
              </w:r>
              <w:r>
                <w:rPr>
                  <w:iCs/>
                  <w:szCs w:val="24"/>
                  <w:lang w:eastAsia="lt-LT"/>
                </w:rPr>
                <w:t xml:space="preserve"> </w:t>
              </w:r>
              <w:r>
                <w:rPr>
                  <w:szCs w:val="24"/>
                  <w:lang w:eastAsia="lt-LT"/>
                </w:rPr>
                <w:t>yra gerinamas Savivaldybės pasiekiamumas, gerinama aplinkos kokybė, didinamas kraštovaizdžio patrauklumas, įgyvendinant prevencines aplinkos apsaugos priemones, plėtojant ir diegiant gamtos išsaugojimo priemones, užtikrinama viešoji tvarka ir didinamas gyventojų saugumas.</w:t>
              </w:r>
            </w:p>
            <w:p>
              <w:pPr>
                <w:ind w:firstLine="720"/>
                <w:jc w:val="both"/>
                <w:rPr>
                  <w:iCs/>
                  <w:szCs w:val="24"/>
                  <w:lang w:eastAsia="lt-LT"/>
                </w:rPr>
              </w:pPr>
              <w:r>
                <w:rPr>
                  <w:b/>
                  <w:bCs/>
                  <w:i/>
                  <w:szCs w:val="24"/>
                  <w:lang w:eastAsia="lt-LT"/>
                </w:rPr>
                <w:t xml:space="preserve">003 Sveikatos priežiūros  program</w:t>
              </w:r>
              <w:r>
                <w:rPr>
                  <w:iCs/>
                  <w:szCs w:val="24"/>
                  <w:lang w:eastAsia="lt-LT"/>
                </w:rPr>
                <w:t>a yra užtikrinama ir stiprinama visuomenės sveikatos priežiūra, skatinama sveika gyvensena.</w:t>
              </w:r>
            </w:p>
            <w:p>
              <w:pPr>
                <w:ind w:firstLine="720"/>
                <w:jc w:val="both"/>
                <w:rPr>
                  <w:iCs/>
                  <w:szCs w:val="24"/>
                  <w:lang w:eastAsia="lt-LT"/>
                </w:rPr>
              </w:pPr>
              <w:r>
                <w:rPr>
                  <w:b/>
                  <w:bCs/>
                  <w:i/>
                  <w:szCs w:val="24"/>
                  <w:lang w:eastAsia="lt-LT"/>
                </w:rPr>
                <w:t xml:space="preserve">004 Išsilavinusios bendruomenės ugdymo(-si)  programa</w:t>
              </w:r>
              <w:r>
                <w:rPr>
                  <w:iCs/>
                  <w:szCs w:val="24"/>
                  <w:lang w:eastAsia="lt-LT"/>
                </w:rPr>
                <w:t xml:space="preserve"> yra užtikrinamas kokybiškų švietimo paslaugų teikimas ir prieinamumas, ugdymo aplinkos gerinimas, papildomų kompetencijų įgijimas, organizuojant neformalųjį ugdymą ir įgyvendinant jaunimo politiką.</w:t>
              </w:r>
            </w:p>
            <w:p>
              <w:pPr>
                <w:ind w:firstLine="720"/>
                <w:jc w:val="both"/>
                <w:rPr>
                  <w:iCs/>
                  <w:szCs w:val="24"/>
                  <w:lang w:eastAsia="lt-LT"/>
                </w:rPr>
              </w:pPr>
              <w:r>
                <w:rPr>
                  <w:b/>
                  <w:bCs/>
                  <w:i/>
                  <w:szCs w:val="24"/>
                  <w:lang w:eastAsia="lt-LT"/>
                </w:rPr>
                <w:t>005 Ekonomikos ir verslo skatinimo programa</w:t>
              </w:r>
              <w:r>
                <w:rPr>
                  <w:iCs/>
                  <w:szCs w:val="24"/>
                  <w:lang w:eastAsia="lt-LT"/>
                </w:rPr>
                <w:t xml:space="preserve"> yra užtikrinama investicijoms palanki ir ekonomikos augimą skatinanti verslo aplinka, skatinamas gyventojų užimtumas, </w:t>
              </w:r>
              <w:r>
                <w:rPr>
                  <w:szCs w:val="24"/>
                  <w:lang w:eastAsia="lt-LT"/>
                </w:rPr>
                <w:t>skatinamas turistinis visuomenės aktyvumas,</w:t>
              </w:r>
              <w:r>
                <w:rPr>
                  <w:iCs/>
                  <w:szCs w:val="24"/>
                  <w:lang w:eastAsia="lt-LT"/>
                </w:rPr>
                <w:t xml:space="preserve"> </w:t>
              </w:r>
              <w:r>
                <w:rPr>
                  <w:szCs w:val="24"/>
                  <w:lang w:eastAsia="lt-LT"/>
                </w:rPr>
                <w:t>didinamas melioracijos sistemų efektyvumas</w:t>
              </w:r>
              <w:r>
                <w:rPr>
                  <w:iCs/>
                  <w:szCs w:val="24"/>
                  <w:lang w:eastAsia="lt-LT"/>
                </w:rPr>
                <w:t>.</w:t>
              </w:r>
            </w:p>
            <w:p>
              <w:pPr>
                <w:ind w:firstLine="720"/>
                <w:jc w:val="both"/>
                <w:rPr>
                  <w:iCs/>
                  <w:szCs w:val="24"/>
                  <w:lang w:eastAsia="lt-LT"/>
                </w:rPr>
              </w:pPr>
              <w:r>
                <w:rPr>
                  <w:b/>
                  <w:bCs/>
                  <w:i/>
                  <w:szCs w:val="24"/>
                  <w:lang w:eastAsia="lt-LT"/>
                </w:rPr>
                <w:t>006 Kultūros ir sporto politikos įgyvendinimo programa</w:t>
              </w:r>
              <w:r>
                <w:rPr>
                  <w:iCs/>
                  <w:szCs w:val="24"/>
                  <w:lang w:eastAsia="lt-LT"/>
                </w:rPr>
                <w:t xml:space="preserve"> yra </w:t>
              </w:r>
              <w:r>
                <w:rPr>
                  <w:szCs w:val="24"/>
                  <w:lang w:eastAsia="lt-LT"/>
                </w:rPr>
                <w:t>didinamas kultūros paslaugų patrauklumas, skatinamas kultūrinis visuomenės aktyvumas, užtikrinamas kultūros paveldo išsaugojimas, skatinimas sportinis aktyvumas, bendruomenių iniciatyvumas ir</w:t>
              </w:r>
              <w:r>
                <w:rPr>
                  <w:iCs/>
                  <w:szCs w:val="24"/>
                  <w:lang w:eastAsia="lt-LT"/>
                </w:rPr>
                <w:t xml:space="preserve"> bendruomeniškumo skatinimas</w:t>
              </w:r>
              <w:r>
                <w:rPr>
                  <w:szCs w:val="24"/>
                  <w:lang w:eastAsia="lt-LT"/>
                </w:rPr>
                <w:t>.</w:t>
              </w:r>
            </w:p>
            <w:p>
              <w:pPr>
                <w:ind w:firstLine="720"/>
                <w:jc w:val="both"/>
                <w:rPr>
                  <w:iCs/>
                  <w:szCs w:val="24"/>
                  <w:lang w:eastAsia="lt-LT"/>
                </w:rPr>
              </w:pPr>
              <w:r>
                <w:rPr>
                  <w:b/>
                  <w:bCs/>
                  <w:i/>
                  <w:szCs w:val="24"/>
                  <w:lang w:eastAsia="lt-LT"/>
                </w:rPr>
                <w:t>007 Socialinės paramos įgyvendinimo programa</w:t>
              </w:r>
              <w:r>
                <w:rPr>
                  <w:iCs/>
                  <w:szCs w:val="24"/>
                  <w:lang w:eastAsia="lt-LT"/>
                </w:rPr>
                <w:t xml:space="preserve"> yra</w:t>
              </w:r>
              <w:r>
                <w:rPr>
                  <w:szCs w:val="24"/>
                  <w:lang w:eastAsia="lt-LT"/>
                </w:rPr>
                <w:t xml:space="preserve"> užtikrinama saugi socialinė aplinka, didinamas socialinių paslaugų prieinamumas, sudaromos sąlygos socialiai pažeidžiamų asmenų integracijai į visuomenę, stiprinama socialinė atsakomybė.</w:t>
              </w:r>
            </w:p>
            <w:p>
              <w:pPr>
                <w:jc w:val="both"/>
                <w:rPr>
                  <w:b/>
                  <w:bCs/>
                  <w:color w:val="000000"/>
                  <w:szCs w:val="24"/>
                  <w:lang w:eastAsia="lt-LT"/>
                </w:rPr>
              </w:pPr>
            </w:p>
            <w:p>
              <w:pPr>
                <w:jc w:val="both"/>
                <w:rPr>
                  <w:color w:val="000000"/>
                  <w:szCs w:val="24"/>
                  <w:lang w:eastAsia="lt-LT"/>
                </w:rPr>
              </w:pPr>
              <w:r>
                <w:rPr>
                  <w:b/>
                  <w:bCs/>
                  <w:color w:val="000000"/>
                  <w:szCs w:val="24"/>
                  <w:lang w:eastAsia="lt-LT"/>
                </w:rPr>
                <w:t>2 lentelė</w:t>
              </w:r>
              <w:r>
                <w:rPr>
                  <w:color w:val="000000"/>
                  <w:szCs w:val="24"/>
                  <w:lang w:eastAsia="lt-LT"/>
                </w:rPr>
                <w:t>.</w:t>
              </w:r>
              <w:r>
                <w:rPr>
                  <w:i/>
                  <w:color w:val="000000"/>
                  <w:szCs w:val="24"/>
                  <w:lang w:eastAsia="lt-LT"/>
                </w:rPr>
                <w:t xml:space="preserve"> </w:t>
              </w:r>
              <w:r>
                <w:rPr>
                  <w:iCs/>
                  <w:color w:val="000000"/>
                  <w:szCs w:val="24"/>
                  <w:lang w:eastAsia="lt-LT"/>
                </w:rPr>
                <w:t>2026</w:t>
              </w:r>
              <w:r>
                <w:rPr>
                  <w:color w:val="000000"/>
                  <w:szCs w:val="24"/>
                  <w:lang w:eastAsia="lt-LT"/>
                </w:rPr>
                <w:t xml:space="preserve">–2028 metų asignavimų ir kitų lėšų pasiskirstymas pagal programas (eurais) </w:t>
              </w:r>
            </w:p>
            <w:tbl>
              <w:tblP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3323"/>
                <w:gridCol w:w="2117"/>
                <w:gridCol w:w="2127"/>
                <w:gridCol w:w="2093"/>
              </w:tblGrid>
              <w:tr>
                <w:trPr>
                  <w:trHeight w:val="252"/>
                </w:trPr>
                <w:tc>
                  <w:tcPr>
                    <w:tcW w:w="5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6"/>
                        <w:lang w:eastAsia="lt-LT"/>
                      </w:rPr>
                    </w:pPr>
                    <w:r>
                      <w:rPr>
                        <w:b/>
                        <w:bCs/>
                        <w:sz w:val="18"/>
                        <w:szCs w:val="16"/>
                        <w:lang w:eastAsia="lt-LT"/>
                      </w:rPr>
                      <w:t>Eil. Nr.</w:t>
                    </w:r>
                  </w:p>
                </w:tc>
                <w:tc>
                  <w:tcPr>
                    <w:tcW w:w="332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6"/>
                        <w:lang w:eastAsia="lt-LT"/>
                      </w:rPr>
                    </w:pPr>
                    <w:r>
                      <w:rPr>
                        <w:b/>
                        <w:bCs/>
                        <w:sz w:val="18"/>
                        <w:szCs w:val="16"/>
                        <w:lang w:eastAsia="lt-LT"/>
                      </w:rPr>
                      <w:t>Programos kodas ir pavadinimas</w:t>
                    </w:r>
                  </w:p>
                </w:tc>
                <w:tc>
                  <w:tcPr>
                    <w:tcW w:w="21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6"/>
                        <w:lang w:eastAsia="lt-LT"/>
                      </w:rPr>
                    </w:pPr>
                    <w:r>
                      <w:rPr>
                        <w:b/>
                        <w:bCs/>
                        <w:sz w:val="18"/>
                        <w:szCs w:val="16"/>
                        <w:lang w:eastAsia="lt-LT"/>
                      </w:rPr>
                      <w:t>2026 metų asignavimai ir kitos lėšos</w:t>
                    </w:r>
                  </w:p>
                </w:tc>
                <w:tc>
                  <w:tcPr>
                    <w:tcW w:w="212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6"/>
                        <w:lang w:eastAsia="lt-LT"/>
                      </w:rPr>
                    </w:pPr>
                    <w:r>
                      <w:rPr>
                        <w:b/>
                        <w:bCs/>
                        <w:sz w:val="18"/>
                        <w:szCs w:val="16"/>
                        <w:lang w:eastAsia="lt-LT"/>
                      </w:rPr>
                      <w:t>2027 metų asignavimai ir kitos lėšos</w:t>
                    </w:r>
                  </w:p>
                </w:tc>
                <w:tc>
                  <w:tcPr>
                    <w:tcW w:w="209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18"/>
                        <w:szCs w:val="16"/>
                        <w:lang w:eastAsia="lt-LT"/>
                      </w:rPr>
                    </w:pPr>
                    <w:r>
                      <w:rPr>
                        <w:b/>
                        <w:bCs/>
                        <w:sz w:val="18"/>
                        <w:szCs w:val="16"/>
                        <w:lang w:eastAsia="lt-LT"/>
                      </w:rPr>
                      <w:t>2028 metų asignavimai ir kitos lėšos</w:t>
                    </w:r>
                  </w:p>
                </w:tc>
              </w:tr>
              <w:tr>
                <w:trPr>
                  <w:trHeight w:val="90"/>
                </w:trPr>
                <w:tc>
                  <w:tcPr>
                    <w:tcW w:w="5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8"/>
                        <w:szCs w:val="16"/>
                        <w:lang w:eastAsia="lt-LT"/>
                      </w:rPr>
                    </w:pPr>
                    <w:r>
                      <w:rPr>
                        <w:sz w:val="18"/>
                        <w:szCs w:val="16"/>
                        <w:lang w:eastAsia="lt-LT"/>
                      </w:rPr>
                      <w:t>1</w:t>
                    </w:r>
                  </w:p>
                </w:tc>
                <w:tc>
                  <w:tcPr>
                    <w:tcW w:w="332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8"/>
                        <w:szCs w:val="16"/>
                        <w:lang w:eastAsia="lt-LT"/>
                      </w:rPr>
                    </w:pPr>
                    <w:r>
                      <w:rPr>
                        <w:sz w:val="18"/>
                        <w:szCs w:val="16"/>
                        <w:lang w:eastAsia="lt-LT"/>
                      </w:rPr>
                      <w:t>2</w:t>
                    </w:r>
                  </w:p>
                </w:tc>
                <w:tc>
                  <w:tcPr>
                    <w:tcW w:w="211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8"/>
                        <w:szCs w:val="16"/>
                        <w:lang w:eastAsia="lt-LT"/>
                      </w:rPr>
                    </w:pPr>
                    <w:r>
                      <w:rPr>
                        <w:sz w:val="18"/>
                        <w:szCs w:val="16"/>
                        <w:lang w:eastAsia="lt-LT"/>
                      </w:rPr>
                      <w:t>3</w:t>
                    </w:r>
                  </w:p>
                </w:tc>
                <w:tc>
                  <w:tcPr>
                    <w:tcW w:w="212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8"/>
                        <w:szCs w:val="16"/>
                        <w:lang w:eastAsia="lt-LT"/>
                      </w:rPr>
                    </w:pPr>
                    <w:r>
                      <w:rPr>
                        <w:sz w:val="18"/>
                        <w:szCs w:val="16"/>
                        <w:lang w:eastAsia="lt-LT"/>
                      </w:rPr>
                      <w:t>4</w:t>
                    </w:r>
                  </w:p>
                </w:tc>
                <w:tc>
                  <w:tcPr>
                    <w:tcW w:w="209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sz w:val="18"/>
                        <w:szCs w:val="16"/>
                        <w:lang w:eastAsia="lt-LT"/>
                      </w:rPr>
                    </w:pPr>
                    <w:r>
                      <w:rPr>
                        <w:sz w:val="18"/>
                        <w:szCs w:val="16"/>
                        <w:lang w:eastAsia="lt-LT"/>
                      </w:rPr>
                      <w:t>5</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sz w:val="18"/>
                        <w:szCs w:val="16"/>
                        <w:lang w:eastAsia="lt-LT"/>
                      </w:rPr>
                    </w:pPr>
                    <w:r>
                      <w:rPr>
                        <w:b/>
                        <w:bCs/>
                        <w:sz w:val="18"/>
                        <w:szCs w:val="16"/>
                        <w:lang w:eastAsia="lt-LT"/>
                      </w:rPr>
                      <w:t>1.</w:t>
                    </w:r>
                  </w:p>
                </w:tc>
                <w:tc>
                  <w:tcPr>
                    <w:tcW w:w="3323" w:type="dxa"/>
                    <w:tcBorders>
                      <w:top w:val="single" w:sz="4" w:space="0" w:color="auto"/>
                      <w:left w:val="single" w:sz="4" w:space="0" w:color="auto"/>
                      <w:bottom w:val="single" w:sz="4" w:space="0" w:color="auto"/>
                      <w:right w:val="single" w:sz="4" w:space="0" w:color="auto"/>
                    </w:tcBorders>
                    <w:vAlign w:val="center"/>
                  </w:tcPr>
                  <w:p>
                    <w:pPr>
                      <w:rPr>
                        <w:b/>
                        <w:bCs/>
                        <w:sz w:val="18"/>
                        <w:szCs w:val="18"/>
                        <w:lang w:eastAsia="lt-LT"/>
                      </w:rPr>
                    </w:pPr>
                    <w:r>
                      <w:rPr>
                        <w:b/>
                        <w:bCs/>
                        <w:sz w:val="18"/>
                        <w:szCs w:val="18"/>
                        <w:lang w:eastAsia="lt-LT"/>
                      </w:rPr>
                      <w:t>001 Savivaldybės valdymo programa</w:t>
                    </w:r>
                  </w:p>
                </w:tc>
                <w:tc>
                  <w:tcPr>
                    <w:tcW w:w="2117"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14 971 225,74</w:t>
                    </w:r>
                  </w:p>
                </w:tc>
                <w:tc>
                  <w:tcPr>
                    <w:tcW w:w="2127"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16 257 335,00</w:t>
                    </w:r>
                  </w:p>
                </w:tc>
                <w:tc>
                  <w:tcPr>
                    <w:tcW w:w="2093"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17 195 682,00</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sz w:val="18"/>
                        <w:szCs w:val="16"/>
                        <w:lang w:eastAsia="lt-LT"/>
                      </w:rPr>
                    </w:pPr>
                    <w:r>
                      <w:rPr>
                        <w:b/>
                        <w:bCs/>
                        <w:sz w:val="18"/>
                        <w:szCs w:val="16"/>
                        <w:lang w:eastAsia="lt-LT"/>
                      </w:rPr>
                      <w:t>2.</w:t>
                    </w:r>
                  </w:p>
                </w:tc>
                <w:tc>
                  <w:tcPr>
                    <w:tcW w:w="3323" w:type="dxa"/>
                    <w:tcBorders>
                      <w:top w:val="single" w:sz="4" w:space="0" w:color="auto"/>
                      <w:left w:val="single" w:sz="4" w:space="0" w:color="auto"/>
                      <w:bottom w:val="single" w:sz="4" w:space="0" w:color="auto"/>
                      <w:right w:val="single" w:sz="4" w:space="0" w:color="auto"/>
                    </w:tcBorders>
                    <w:vAlign w:val="center"/>
                  </w:tcPr>
                  <w:p>
                    <w:pPr>
                      <w:rPr>
                        <w:b/>
                        <w:bCs/>
                        <w:sz w:val="18"/>
                        <w:szCs w:val="16"/>
                        <w:lang w:eastAsia="lt-LT"/>
                      </w:rPr>
                    </w:pPr>
                    <w:r>
                      <w:rPr>
                        <w:b/>
                        <w:bCs/>
                        <w:sz w:val="18"/>
                        <w:szCs w:val="16"/>
                        <w:lang w:eastAsia="lt-LT"/>
                      </w:rPr>
                      <w:t>002 Saugios aplinkos užtikrinimo programa</w:t>
                    </w:r>
                  </w:p>
                </w:tc>
                <w:tc>
                  <w:tcPr>
                    <w:tcW w:w="2117"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17 688 878,24</w:t>
                    </w:r>
                  </w:p>
                </w:tc>
                <w:tc>
                  <w:tcPr>
                    <w:tcW w:w="2127"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21 077 592,29</w:t>
                    </w:r>
                  </w:p>
                </w:tc>
                <w:tc>
                  <w:tcPr>
                    <w:tcW w:w="2093"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19 292 684,29</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sz w:val="18"/>
                        <w:szCs w:val="16"/>
                        <w:lang w:eastAsia="lt-LT"/>
                      </w:rPr>
                    </w:pPr>
                    <w:r>
                      <w:rPr>
                        <w:b/>
                        <w:bCs/>
                        <w:sz w:val="18"/>
                        <w:szCs w:val="16"/>
                        <w:lang w:eastAsia="lt-LT"/>
                      </w:rPr>
                      <w:t xml:space="preserve">3. </w:t>
                    </w:r>
                  </w:p>
                </w:tc>
                <w:tc>
                  <w:tcPr>
                    <w:tcW w:w="3323" w:type="dxa"/>
                    <w:tcBorders>
                      <w:top w:val="single" w:sz="4" w:space="0" w:color="auto"/>
                      <w:left w:val="single" w:sz="4" w:space="0" w:color="auto"/>
                      <w:bottom w:val="single" w:sz="4" w:space="0" w:color="auto"/>
                      <w:right w:val="single" w:sz="4" w:space="0" w:color="auto"/>
                    </w:tcBorders>
                    <w:vAlign w:val="center"/>
                  </w:tcPr>
                  <w:p>
                    <w:pPr>
                      <w:rPr>
                        <w:b/>
                        <w:bCs/>
                        <w:sz w:val="18"/>
                        <w:szCs w:val="16"/>
                        <w:lang w:eastAsia="lt-LT"/>
                      </w:rPr>
                    </w:pPr>
                    <w:r>
                      <w:rPr>
                        <w:b/>
                        <w:bCs/>
                        <w:sz w:val="18"/>
                        <w:szCs w:val="16"/>
                        <w:lang w:eastAsia="lt-LT"/>
                      </w:rPr>
                      <w:t xml:space="preserve">003 Sveikatos priežiūros  programa</w:t>
                    </w:r>
                  </w:p>
                </w:tc>
                <w:tc>
                  <w:tcPr>
                    <w:tcW w:w="2117"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2 786 188,39</w:t>
                    </w:r>
                  </w:p>
                </w:tc>
                <w:tc>
                  <w:tcPr>
                    <w:tcW w:w="2127"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2 489 474,2</w:t>
                    </w:r>
                  </w:p>
                </w:tc>
                <w:tc>
                  <w:tcPr>
                    <w:tcW w:w="2093" w:type="dxa"/>
                    <w:tcBorders>
                      <w:top w:val="single" w:sz="4" w:space="0" w:color="auto"/>
                      <w:left w:val="single" w:sz="4" w:space="0" w:color="auto"/>
                      <w:bottom w:val="single" w:sz="4" w:space="0" w:color="auto"/>
                      <w:right w:val="single" w:sz="4" w:space="0" w:color="auto"/>
                    </w:tcBorders>
                  </w:tcPr>
                  <w:p>
                    <w:pPr>
                      <w:jc w:val="center"/>
                      <w:rPr>
                        <w:b/>
                        <w:bCs/>
                        <w:sz w:val="18"/>
                        <w:szCs w:val="18"/>
                        <w:lang w:eastAsia="lt-LT"/>
                      </w:rPr>
                    </w:pPr>
                    <w:r>
                      <w:rPr>
                        <w:b/>
                        <w:bCs/>
                        <w:sz w:val="18"/>
                        <w:szCs w:val="18"/>
                        <w:lang w:eastAsia="lt-LT"/>
                      </w:rPr>
                      <w:t>2 711 814,4</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212121"/>
                        <w:sz w:val="18"/>
                        <w:szCs w:val="16"/>
                        <w:lang w:eastAsia="lt-LT"/>
                      </w:rPr>
                    </w:pPr>
                    <w:r>
                      <w:rPr>
                        <w:b/>
                        <w:bCs/>
                        <w:color w:val="212121"/>
                        <w:sz w:val="18"/>
                        <w:szCs w:val="16"/>
                        <w:lang w:eastAsia="lt-LT"/>
                      </w:rPr>
                      <w:t>4.</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212121"/>
                        <w:sz w:val="18"/>
                        <w:szCs w:val="16"/>
                        <w:lang w:eastAsia="lt-LT"/>
                      </w:rPr>
                    </w:pPr>
                    <w:r>
                      <w:rPr>
                        <w:b/>
                        <w:bCs/>
                        <w:color w:val="212121"/>
                        <w:sz w:val="18"/>
                        <w:szCs w:val="16"/>
                        <w:lang w:eastAsia="lt-LT"/>
                      </w:rPr>
                      <w:t xml:space="preserve">004 Išsilavinusios bendruomenės ugdymo(-si)  programa</w:t>
                    </w:r>
                  </w:p>
                </w:tc>
                <w:tc>
                  <w:tcPr>
                    <w:tcW w:w="211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45 184 554,22</w:t>
                    </w:r>
                  </w:p>
                </w:tc>
                <w:tc>
                  <w:tcPr>
                    <w:tcW w:w="212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60 656 888,83</w:t>
                    </w:r>
                  </w:p>
                </w:tc>
                <w:tc>
                  <w:tcPr>
                    <w:tcW w:w="2093"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53 105 602,00</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212121"/>
                        <w:sz w:val="18"/>
                        <w:szCs w:val="16"/>
                        <w:lang w:eastAsia="lt-LT"/>
                      </w:rPr>
                    </w:pPr>
                    <w:r>
                      <w:rPr>
                        <w:b/>
                        <w:bCs/>
                        <w:color w:val="212121"/>
                        <w:sz w:val="18"/>
                        <w:szCs w:val="16"/>
                        <w:lang w:eastAsia="lt-LT"/>
                      </w:rPr>
                      <w:t>5.</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212121"/>
                        <w:sz w:val="18"/>
                        <w:szCs w:val="16"/>
                        <w:lang w:eastAsia="lt-LT"/>
                      </w:rPr>
                    </w:pPr>
                    <w:r>
                      <w:rPr>
                        <w:b/>
                        <w:bCs/>
                        <w:color w:val="212121"/>
                        <w:sz w:val="18"/>
                        <w:szCs w:val="16"/>
                        <w:lang w:eastAsia="lt-LT"/>
                      </w:rPr>
                      <w:t>005 Ekonomikos ir verslo skatinimo programa</w:t>
                    </w:r>
                  </w:p>
                </w:tc>
                <w:tc>
                  <w:tcPr>
                    <w:tcW w:w="211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1 929 808,00</w:t>
                    </w:r>
                  </w:p>
                </w:tc>
                <w:tc>
                  <w:tcPr>
                    <w:tcW w:w="212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3 933 851,00</w:t>
                    </w:r>
                  </w:p>
                </w:tc>
                <w:tc>
                  <w:tcPr>
                    <w:tcW w:w="2093"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5 304 237,00</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212121"/>
                        <w:sz w:val="18"/>
                        <w:szCs w:val="16"/>
                        <w:lang w:eastAsia="lt-LT"/>
                      </w:rPr>
                    </w:pPr>
                    <w:r>
                      <w:rPr>
                        <w:b/>
                        <w:bCs/>
                        <w:color w:val="212121"/>
                        <w:sz w:val="18"/>
                        <w:szCs w:val="16"/>
                        <w:lang w:eastAsia="lt-LT"/>
                      </w:rPr>
                      <w:t>6.</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212121"/>
                        <w:sz w:val="18"/>
                        <w:szCs w:val="16"/>
                        <w:lang w:eastAsia="lt-LT"/>
                      </w:rPr>
                    </w:pPr>
                    <w:r>
                      <w:rPr>
                        <w:b/>
                        <w:bCs/>
                        <w:color w:val="212121"/>
                        <w:sz w:val="18"/>
                        <w:szCs w:val="16"/>
                        <w:lang w:eastAsia="lt-LT"/>
                      </w:rPr>
                      <w:t>006 Kultūros ir sporto politikos įgyvendinimo programa</w:t>
                    </w:r>
                  </w:p>
                </w:tc>
                <w:tc>
                  <w:tcPr>
                    <w:tcW w:w="211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8 907 414,1</w:t>
                    </w:r>
                  </w:p>
                </w:tc>
                <w:tc>
                  <w:tcPr>
                    <w:tcW w:w="212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7 728 213,76</w:t>
                    </w:r>
                  </w:p>
                </w:tc>
                <w:tc>
                  <w:tcPr>
                    <w:tcW w:w="2093"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7 895 588,82</w:t>
                    </w:r>
                  </w:p>
                </w:tc>
              </w:tr>
              <w:tr>
                <w:trPr>
                  <w:trHeight w:val="324"/>
                </w:trPr>
                <w:tc>
                  <w:tcPr>
                    <w:tcW w:w="500" w:type="dxa"/>
                    <w:tcBorders>
                      <w:top w:val="single" w:sz="4" w:space="0" w:color="auto"/>
                      <w:left w:val="single" w:sz="4" w:space="0" w:color="auto"/>
                      <w:bottom w:val="single" w:sz="4" w:space="0" w:color="auto"/>
                      <w:right w:val="single" w:sz="4" w:space="0" w:color="auto"/>
                    </w:tcBorders>
                    <w:vAlign w:val="center"/>
                  </w:tcPr>
                  <w:p>
                    <w:pPr>
                      <w:jc w:val="center"/>
                      <w:rPr>
                        <w:b/>
                        <w:bCs/>
                        <w:color w:val="212121"/>
                        <w:sz w:val="18"/>
                        <w:szCs w:val="16"/>
                        <w:lang w:eastAsia="lt-LT"/>
                      </w:rPr>
                    </w:pPr>
                    <w:r>
                      <w:rPr>
                        <w:b/>
                        <w:bCs/>
                        <w:color w:val="212121"/>
                        <w:sz w:val="18"/>
                        <w:szCs w:val="16"/>
                        <w:lang w:eastAsia="lt-LT"/>
                      </w:rPr>
                      <w:t>7.</w:t>
                    </w:r>
                  </w:p>
                </w:tc>
                <w:tc>
                  <w:tcPr>
                    <w:tcW w:w="3323" w:type="dxa"/>
                    <w:tcBorders>
                      <w:top w:val="single" w:sz="4" w:space="0" w:color="auto"/>
                      <w:left w:val="single" w:sz="4" w:space="0" w:color="auto"/>
                      <w:bottom w:val="single" w:sz="4" w:space="0" w:color="auto"/>
                      <w:right w:val="single" w:sz="4" w:space="0" w:color="auto"/>
                    </w:tcBorders>
                    <w:vAlign w:val="center"/>
                  </w:tcPr>
                  <w:p>
                    <w:pPr>
                      <w:rPr>
                        <w:b/>
                        <w:bCs/>
                        <w:color w:val="212121"/>
                        <w:sz w:val="18"/>
                        <w:szCs w:val="16"/>
                        <w:lang w:eastAsia="lt-LT"/>
                      </w:rPr>
                    </w:pPr>
                    <w:r>
                      <w:rPr>
                        <w:b/>
                        <w:bCs/>
                        <w:color w:val="212121"/>
                        <w:sz w:val="18"/>
                        <w:szCs w:val="16"/>
                        <w:lang w:eastAsia="lt-LT"/>
                      </w:rPr>
                      <w:t>007 Socialinės paramos įgyvendinimo programa</w:t>
                    </w:r>
                  </w:p>
                </w:tc>
                <w:tc>
                  <w:tcPr>
                    <w:tcW w:w="211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41 521 192,92</w:t>
                    </w:r>
                  </w:p>
                </w:tc>
                <w:tc>
                  <w:tcPr>
                    <w:tcW w:w="2127"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44 020 317,67</w:t>
                    </w:r>
                  </w:p>
                </w:tc>
                <w:tc>
                  <w:tcPr>
                    <w:tcW w:w="2093" w:type="dxa"/>
                    <w:tcBorders>
                      <w:top w:val="single" w:sz="4" w:space="0" w:color="auto"/>
                      <w:left w:val="single" w:sz="4" w:space="0" w:color="auto"/>
                      <w:bottom w:val="single" w:sz="4" w:space="0" w:color="auto"/>
                      <w:right w:val="single" w:sz="4" w:space="0" w:color="auto"/>
                    </w:tcBorders>
                  </w:tcPr>
                  <w:p>
                    <w:pPr>
                      <w:jc w:val="center"/>
                      <w:rPr>
                        <w:b/>
                        <w:bCs/>
                        <w:color w:val="212121"/>
                        <w:sz w:val="18"/>
                        <w:szCs w:val="18"/>
                        <w:lang w:eastAsia="lt-LT"/>
                      </w:rPr>
                    </w:pPr>
                    <w:r>
                      <w:rPr>
                        <w:b/>
                        <w:bCs/>
                        <w:color w:val="212121"/>
                        <w:sz w:val="18"/>
                        <w:szCs w:val="18"/>
                        <w:lang w:eastAsia="lt-LT"/>
                      </w:rPr>
                      <w:t>42 636 635,86</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1. Savivaldybės biudžetas (įskaitant skolintas lėšas)</w:t>
                    </w:r>
                  </w:p>
                </w:tc>
                <w:tc>
                  <w:tcPr>
                    <w:tcW w:w="211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107 609 526,40</w:t>
                    </w:r>
                  </w:p>
                </w:tc>
                <w:tc>
                  <w:tcPr>
                    <w:tcW w:w="212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132 240 249,43</w:t>
                    </w:r>
                  </w:p>
                </w:tc>
                <w:tc>
                  <w:tcPr>
                    <w:tcW w:w="2093"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124 161 928,43</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8"/>
                        <w:lang w:eastAsia="lt-LT"/>
                      </w:rPr>
                    </w:pPr>
                    <w:r>
                      <w:rPr>
                        <w:color w:val="212121"/>
                        <w:sz w:val="18"/>
                        <w:szCs w:val="18"/>
                        <w:lang w:eastAsia="lt-LT"/>
                      </w:rPr>
                      <w:t>Iš jo:</w:t>
                    </w:r>
                  </w:p>
                  <w:p>
                    <w:pPr>
                      <w:rPr>
                        <w:color w:val="212121"/>
                        <w:sz w:val="18"/>
                        <w:szCs w:val="16"/>
                        <w:lang w:eastAsia="lt-LT"/>
                      </w:rPr>
                    </w:pPr>
                    <w:r>
                      <w:rPr>
                        <w:color w:val="212121"/>
                        <w:sz w:val="18"/>
                        <w:szCs w:val="18"/>
                        <w:lang w:eastAsia="lt-LT"/>
                      </w:rPr>
                      <w:t>1.1. savivaldybės biudžeto lėšos (nuosavos, be ankstesnių metų likučio)</w:t>
                    </w:r>
                  </w:p>
                </w:tc>
                <w:tc>
                  <w:tcPr>
                    <w:tcW w:w="211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56 564 000,00</w:t>
                    </w:r>
                  </w:p>
                </w:tc>
                <w:tc>
                  <w:tcPr>
                    <w:tcW w:w="212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60 519 000,00</w:t>
                    </w:r>
                  </w:p>
                </w:tc>
                <w:tc>
                  <w:tcPr>
                    <w:tcW w:w="2093"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63 652 000,00</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1.2. Lietuvos Respublikos valstybės biudžeto dotacijos</w:t>
                    </w:r>
                  </w:p>
                </w:tc>
                <w:tc>
                  <w:tcPr>
                    <w:tcW w:w="211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36 965 600,43</w:t>
                    </w:r>
                  </w:p>
                </w:tc>
                <w:tc>
                  <w:tcPr>
                    <w:tcW w:w="212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39 211 299,43</w:t>
                    </w:r>
                  </w:p>
                </w:tc>
                <w:tc>
                  <w:tcPr>
                    <w:tcW w:w="2093"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41 783 548,43</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1.3. Pajamų įmokos ir kitos pajamos</w:t>
                    </w:r>
                  </w:p>
                </w:tc>
                <w:tc>
                  <w:tcPr>
                    <w:tcW w:w="211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2 807 900,00</w:t>
                    </w:r>
                  </w:p>
                </w:tc>
                <w:tc>
                  <w:tcPr>
                    <w:tcW w:w="212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2 861 100,00</w:t>
                    </w:r>
                  </w:p>
                </w:tc>
                <w:tc>
                  <w:tcPr>
                    <w:tcW w:w="2093"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2 890 600,00</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1.4. Europos Sąjungos ir kitos tarptautinės finansinės paramos lėšos</w:t>
                    </w:r>
                  </w:p>
                </w:tc>
                <w:tc>
                  <w:tcPr>
                    <w:tcW w:w="211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4 693 063,00</w:t>
                    </w:r>
                  </w:p>
                </w:tc>
                <w:tc>
                  <w:tcPr>
                    <w:tcW w:w="212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13 280 650,00</w:t>
                    </w:r>
                  </w:p>
                </w:tc>
                <w:tc>
                  <w:tcPr>
                    <w:tcW w:w="2093"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11 814 780,00</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1.5. Skolintos lėšos</w:t>
                    </w:r>
                  </w:p>
                </w:tc>
                <w:tc>
                  <w:tcPr>
                    <w:tcW w:w="211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3 834 500,00</w:t>
                    </w:r>
                  </w:p>
                </w:tc>
                <w:tc>
                  <w:tcPr>
                    <w:tcW w:w="212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15 368 200,00</w:t>
                    </w:r>
                  </w:p>
                </w:tc>
                <w:tc>
                  <w:tcPr>
                    <w:tcW w:w="2093"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3 021 000,00</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1.6. Ankstesnių metų likučiai</w:t>
                    </w:r>
                  </w:p>
                </w:tc>
                <w:tc>
                  <w:tcPr>
                    <w:tcW w:w="211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2 744 462,97</w:t>
                    </w:r>
                  </w:p>
                </w:tc>
                <w:tc>
                  <w:tcPr>
                    <w:tcW w:w="212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1 000 000,00</w:t>
                    </w:r>
                  </w:p>
                </w:tc>
                <w:tc>
                  <w:tcPr>
                    <w:tcW w:w="2093"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1 000 000,00</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2. Kiti šaltiniai (Europos Sąjungos finansinė parama projektams įgyvendinti ir kitos teisėtai gautos lėšos, nurodant atskirus šaltinius)</w:t>
                    </w:r>
                  </w:p>
                </w:tc>
                <w:tc>
                  <w:tcPr>
                    <w:tcW w:w="2117" w:type="dxa"/>
                    <w:tcBorders>
                      <w:top w:val="single" w:sz="4" w:space="0" w:color="auto"/>
                      <w:left w:val="single" w:sz="4" w:space="0" w:color="auto"/>
                      <w:bottom w:val="single" w:sz="4" w:space="0" w:color="auto"/>
                      <w:right w:val="single" w:sz="4" w:space="0" w:color="auto"/>
                    </w:tcBorders>
                  </w:tcPr>
                  <w:p>
                    <w:pPr>
                      <w:jc w:val="center"/>
                      <w:rPr>
                        <w:color w:val="000000"/>
                        <w:sz w:val="18"/>
                        <w:szCs w:val="18"/>
                        <w:lang w:eastAsia="lt-LT"/>
                      </w:rPr>
                    </w:pPr>
                  </w:p>
                  <w:p>
                    <w:pPr>
                      <w:jc w:val="center"/>
                      <w:rPr>
                        <w:color w:val="212121"/>
                        <w:sz w:val="18"/>
                        <w:szCs w:val="18"/>
                        <w:lang w:eastAsia="lt-LT"/>
                      </w:rPr>
                    </w:pPr>
                    <w:r>
                      <w:rPr>
                        <w:color w:val="000000"/>
                        <w:sz w:val="18"/>
                        <w:szCs w:val="18"/>
                        <w:lang w:eastAsia="lt-LT"/>
                      </w:rPr>
                      <w:t>25 379 735,21</w:t>
                    </w:r>
                  </w:p>
                </w:tc>
                <w:tc>
                  <w:tcPr>
                    <w:tcW w:w="2127" w:type="dxa"/>
                    <w:tcBorders>
                      <w:top w:val="single" w:sz="4" w:space="0" w:color="auto"/>
                      <w:left w:val="single" w:sz="4" w:space="0" w:color="auto"/>
                      <w:bottom w:val="single" w:sz="4" w:space="0" w:color="auto"/>
                      <w:right w:val="single" w:sz="4" w:space="0" w:color="auto"/>
                    </w:tcBorders>
                  </w:tcPr>
                  <w:p>
                    <w:pPr>
                      <w:jc w:val="center"/>
                      <w:rPr>
                        <w:color w:val="000000"/>
                        <w:sz w:val="18"/>
                        <w:szCs w:val="18"/>
                        <w:lang w:eastAsia="lt-LT"/>
                      </w:rPr>
                    </w:pPr>
                  </w:p>
                  <w:p>
                    <w:pPr>
                      <w:jc w:val="center"/>
                      <w:rPr>
                        <w:color w:val="212121"/>
                        <w:sz w:val="18"/>
                        <w:szCs w:val="18"/>
                        <w:lang w:eastAsia="lt-LT"/>
                      </w:rPr>
                    </w:pPr>
                    <w:r>
                      <w:rPr>
                        <w:color w:val="000000"/>
                        <w:sz w:val="18"/>
                        <w:szCs w:val="18"/>
                        <w:lang w:eastAsia="lt-LT"/>
                      </w:rPr>
                      <w:t>23 923 423,32</w:t>
                    </w:r>
                  </w:p>
                </w:tc>
                <w:tc>
                  <w:tcPr>
                    <w:tcW w:w="2093" w:type="dxa"/>
                    <w:tcBorders>
                      <w:top w:val="single" w:sz="4" w:space="0" w:color="auto"/>
                      <w:left w:val="single" w:sz="4" w:space="0" w:color="auto"/>
                      <w:bottom w:val="single" w:sz="4" w:space="0" w:color="auto"/>
                      <w:right w:val="single" w:sz="4" w:space="0" w:color="auto"/>
                    </w:tcBorders>
                  </w:tcPr>
                  <w:p>
                    <w:pPr>
                      <w:jc w:val="center"/>
                      <w:rPr>
                        <w:color w:val="000000"/>
                        <w:sz w:val="18"/>
                        <w:szCs w:val="18"/>
                        <w:lang w:eastAsia="lt-LT"/>
                      </w:rPr>
                    </w:pPr>
                  </w:p>
                  <w:p>
                    <w:pPr>
                      <w:jc w:val="center"/>
                      <w:rPr>
                        <w:color w:val="212121"/>
                        <w:sz w:val="18"/>
                        <w:szCs w:val="18"/>
                        <w:lang w:eastAsia="lt-LT"/>
                      </w:rPr>
                    </w:pPr>
                    <w:r>
                      <w:rPr>
                        <w:color w:val="000000"/>
                        <w:sz w:val="18"/>
                        <w:szCs w:val="18"/>
                        <w:lang w:eastAsia="lt-LT"/>
                      </w:rPr>
                      <w:t>23 980 315,94</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 xml:space="preserve">IŠ VISO programai finansuoti pagal finansavimo šaltinius </w:t>
                    </w:r>
                    <w:r>
                      <w:rPr>
                        <w:i/>
                        <w:color w:val="212121"/>
                        <w:sz w:val="18"/>
                        <w:szCs w:val="18"/>
                        <w:lang w:eastAsia="lt-LT"/>
                      </w:rPr>
                      <w:t>(1 ir 2 punktai)</w:t>
                    </w:r>
                  </w:p>
                </w:tc>
                <w:tc>
                  <w:tcPr>
                    <w:tcW w:w="211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132 989 261,61</w:t>
                    </w:r>
                  </w:p>
                </w:tc>
                <w:tc>
                  <w:tcPr>
                    <w:tcW w:w="212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156 163 672,75</w:t>
                    </w:r>
                  </w:p>
                </w:tc>
                <w:tc>
                  <w:tcPr>
                    <w:tcW w:w="2093"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148 142 244,37</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Iš jų: regioninių pažangos priemonių lėšos</w:t>
                    </w:r>
                  </w:p>
                </w:tc>
                <w:tc>
                  <w:tcPr>
                    <w:tcW w:w="211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7 258 471,38</w:t>
                    </w:r>
                  </w:p>
                </w:tc>
                <w:tc>
                  <w:tcPr>
                    <w:tcW w:w="2127"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28 473 177,20</w:t>
                    </w:r>
                  </w:p>
                </w:tc>
                <w:tc>
                  <w:tcPr>
                    <w:tcW w:w="2093" w:type="dxa"/>
                    <w:tcBorders>
                      <w:top w:val="single" w:sz="4" w:space="0" w:color="auto"/>
                      <w:left w:val="single" w:sz="4" w:space="0" w:color="auto"/>
                      <w:bottom w:val="single" w:sz="4" w:space="0" w:color="auto"/>
                      <w:right w:val="single" w:sz="4" w:space="0" w:color="auto"/>
                    </w:tcBorders>
                  </w:tcPr>
                  <w:p>
                    <w:pPr>
                      <w:jc w:val="center"/>
                      <w:rPr>
                        <w:color w:val="212121"/>
                        <w:sz w:val="18"/>
                        <w:szCs w:val="18"/>
                        <w:lang w:eastAsia="lt-LT"/>
                      </w:rPr>
                    </w:pPr>
                    <w:r>
                      <w:rPr>
                        <w:color w:val="000000"/>
                        <w:sz w:val="18"/>
                        <w:szCs w:val="18"/>
                        <w:lang w:eastAsia="lt-LT"/>
                      </w:rPr>
                      <w:t>14 804 454,40</w:t>
                    </w:r>
                  </w:p>
                </w:tc>
              </w:tr>
              <w:tr>
                <w:trPr>
                  <w:trHeight w:val="324"/>
                </w:trPr>
                <w:tc>
                  <w:tcPr>
                    <w:tcW w:w="3823" w:type="dxa"/>
                    <w:gridSpan w:val="2"/>
                    <w:tcBorders>
                      <w:top w:val="single" w:sz="4" w:space="0" w:color="auto"/>
                      <w:left w:val="single" w:sz="4" w:space="0" w:color="auto"/>
                      <w:bottom w:val="single" w:sz="4" w:space="0" w:color="auto"/>
                      <w:right w:val="single" w:sz="4" w:space="0" w:color="auto"/>
                    </w:tcBorders>
                    <w:vAlign w:val="center"/>
                    <w:hideMark/>
                  </w:tcPr>
                  <w:p>
                    <w:pPr>
                      <w:rPr>
                        <w:color w:val="212121"/>
                        <w:sz w:val="18"/>
                        <w:szCs w:val="16"/>
                        <w:lang w:eastAsia="lt-LT"/>
                      </w:rPr>
                    </w:pPr>
                    <w:r>
                      <w:rPr>
                        <w:color w:val="212121"/>
                        <w:sz w:val="18"/>
                        <w:szCs w:val="18"/>
                        <w:lang w:eastAsia="lt-LT"/>
                      </w:rPr>
                      <w:t>Asignavimų ir kitų lėšų pokytis, palyginti su ankstesnių metų patvirtintų asignavimų ir kitų lėšų planu</w:t>
                    </w:r>
                  </w:p>
                </w:tc>
                <w:tc>
                  <w:tcPr>
                    <w:tcW w:w="211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12 182 114,52</w:t>
                    </w:r>
                  </w:p>
                </w:tc>
                <w:tc>
                  <w:tcPr>
                    <w:tcW w:w="2127"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30 133 435,84</w:t>
                    </w:r>
                  </w:p>
                </w:tc>
                <w:tc>
                  <w:tcPr>
                    <w:tcW w:w="2093" w:type="dxa"/>
                    <w:tcBorders>
                      <w:top w:val="single" w:sz="4" w:space="0" w:color="auto"/>
                      <w:left w:val="single" w:sz="4" w:space="0" w:color="auto"/>
                      <w:bottom w:val="single" w:sz="4" w:space="0" w:color="auto"/>
                      <w:right w:val="single" w:sz="4" w:space="0" w:color="auto"/>
                    </w:tcBorders>
                    <w:vAlign w:val="center"/>
                  </w:tcPr>
                  <w:p>
                    <w:pPr>
                      <w:jc w:val="center"/>
                      <w:rPr>
                        <w:color w:val="212121"/>
                        <w:sz w:val="18"/>
                        <w:szCs w:val="18"/>
                        <w:lang w:eastAsia="lt-LT"/>
                      </w:rPr>
                    </w:pPr>
                    <w:r>
                      <w:rPr>
                        <w:color w:val="212121"/>
                        <w:sz w:val="18"/>
                        <w:szCs w:val="18"/>
                        <w:lang w:eastAsia="lt-LT"/>
                      </w:rPr>
                      <w:t>16 984 301,46</w:t>
                    </w:r>
                  </w:p>
                </w:tc>
              </w:tr>
            </w:tbl>
            <w:p>
              <w:pPr>
                <w:rPr>
                  <w:b/>
                  <w:bCs/>
                  <w:color w:val="000000"/>
                  <w:sz w:val="16"/>
                  <w:szCs w:val="24"/>
                  <w:lang w:eastAsia="lt-LT"/>
                </w:rPr>
              </w:pPr>
            </w:p>
            <w:sdt>
              <w:sdtPr>
                <w:alias w:val="poskyris"/>
                <w:tag w:val="part_e5069696d923403bac39e621ca0a136c"/>
                <w:lock w:val="sdtLocked"/>
                <w:richText/>
              </w:sdtPr>
              <w:sdtContent>
                <w:p>
                  <w:pPr>
                    <w:rPr>
                      <w:b/>
                      <w:bCs/>
                      <w:color w:val="000000"/>
                      <w:szCs w:val="24"/>
                      <w:lang w:eastAsia="lt-LT"/>
                    </w:rPr>
                  </w:pPr>
                  <w:sdt>
                    <w:sdtPr>
                      <w:alias w:val="Pavadinimas"/>
                      <w:tag w:val="title_e5069696d923403bac39e621ca0a136c"/>
                      <w:lock w:val="sdtLocked"/>
                      <w:richText/>
                    </w:sdtPr>
                    <w:sdtContent>
                      <w:r>
                        <w:rPr>
                          <w:b/>
                          <w:bCs/>
                          <w:color w:val="000000"/>
                          <w:szCs w:val="24"/>
                          <w:lang w:eastAsia="lt-LT"/>
                        </w:rPr>
                        <w:t>1 grafikas.</w:t>
                      </w:r>
                      <w:r>
                        <w:rPr>
                          <w:i/>
                          <w:color w:val="000000"/>
                          <w:szCs w:val="24"/>
                          <w:lang w:eastAsia="lt-LT"/>
                        </w:rPr>
                        <w:t xml:space="preserve"> </w:t>
                      </w:r>
                      <w:r>
                        <w:rPr>
                          <w:b/>
                          <w:bCs/>
                          <w:color w:val="000000"/>
                          <w:szCs w:val="24"/>
                          <w:lang w:eastAsia="lt-LT"/>
                        </w:rPr>
                        <w:t>2026–2028 metų asignavimų ir kitų lėšų pasiskirstymas pagal programas</w:t>
                      </w:r>
                    </w:sdtContent>
                  </w:sdt>
                </w:p>
                <w:p>
                  <w:pPr>
                    <w:jc w:val="center"/>
                    <w:rPr>
                      <w:color w:val="ED0000"/>
                      <w:szCs w:val="24"/>
                      <w:lang w:eastAsia="lt-LT"/>
                    </w:rPr>
                  </w:pPr>
                  <w:r>
                    <w:rPr>
                      <w:color w:val="ED0000"/>
                      <w:szCs w:val="24"/>
                      <w:lang w:val="en-US"/>
                    </w:rPr>
                    <w:drawing>
                      <wp:inline distT="0" distB="0" distL="0" distR="0" wp14:anchorId="2A285EAB" wp14:editId="69C47EEA">
                        <wp:extent cx="6566226" cy="3207570"/>
                        <wp:effectExtent l="0" t="0" r="6350" b="0"/>
                        <wp:docPr id="200779119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86256" cy="3217355"/>
                                </a:xfrm>
                                <a:prstGeom prst="rect">
                                  <a:avLst/>
                                </a:prstGeom>
                                <a:noFill/>
                              </pic:spPr>
                            </pic:pic>
                          </a:graphicData>
                        </a:graphic>
                      </wp:inline>
                    </w:drawing>
                  </w:r>
                </w:p>
                <w:p>
                  <w:pPr>
                    <w:jc w:val="center"/>
                    <w:rPr>
                      <w:color w:val="ED0000"/>
                      <w:szCs w:val="24"/>
                      <w:lang w:eastAsia="lt-LT"/>
                    </w:rPr>
                  </w:pPr>
                </w:p>
                <w:p>
                  <w:pPr>
                    <w:ind w:firstLine="720"/>
                    <w:jc w:val="both"/>
                    <w:rPr>
                      <w:rFonts w:eastAsia="Calibri"/>
                      <w:iCs/>
                      <w:szCs w:val="24"/>
                      <w:lang w:eastAsia="lt-LT"/>
                    </w:rPr>
                  </w:pPr>
                  <w:r>
                    <w:rPr>
                      <w:rFonts w:eastAsia="Calibri"/>
                      <w:b/>
                      <w:bCs/>
                      <w:iCs/>
                      <w:szCs w:val="24"/>
                      <w:lang w:eastAsia="lt-LT"/>
                    </w:rPr>
                    <w:t xml:space="preserve">Detali informacija apie kiekvieną 2026–2028 metų vykdomą programą, programos uždavinius ir </w:t>
                  </w:r>
                  <w:r>
                    <w:rPr>
                      <w:b/>
                      <w:bCs/>
                      <w:iCs/>
                      <w:szCs w:val="24"/>
                      <w:lang w:eastAsia="lt-LT"/>
                    </w:rPr>
                    <w:t>uždaviniams įgyvendinti numatytas priemones</w:t>
                  </w:r>
                  <w:r>
                    <w:rPr>
                      <w:iCs/>
                      <w:szCs w:val="24"/>
                      <w:lang w:eastAsia="lt-LT"/>
                    </w:rPr>
                    <w:t xml:space="preserve"> yra pateikiama SVP 1.1–1.7 prieduose</w:t>
                  </w:r>
                  <w:r>
                    <w:rPr>
                      <w:rFonts w:eastAsia="Calibri"/>
                      <w:iCs/>
                      <w:szCs w:val="24"/>
                      <w:lang w:eastAsia="lt-LT"/>
                    </w:rPr>
                    <w:t>:</w:t>
                  </w:r>
                </w:p>
                <w:sdt>
                  <w:sdtPr>
                    <w:alias w:val="1 p."/>
                    <w:tag w:val="part_4e2d7854102748fc887efad0019bd7bd"/>
                    <w:lock w:val="sdtLocked"/>
                    <w:richText/>
                  </w:sdtPr>
                  <w:sdtContent>
                    <w:p>
                      <w:pPr>
                        <w:ind w:left="1080" w:hanging="360"/>
                        <w:rPr>
                          <w:i/>
                          <w:szCs w:val="24"/>
                          <w:lang w:eastAsia="lt-LT"/>
                        </w:rPr>
                      </w:pPr>
                      <w:sdt>
                        <w:sdtPr>
                          <w:alias w:val="Numeris"/>
                          <w:tag w:val="nr_4e2d7854102748fc887efad0019bd7bd"/>
                          <w:lock w:val="sdtLocked"/>
                          <w:richText/>
                        </w:sdtPr>
                        <w:sdtContent>
                          <w:r>
                            <w:rPr>
                              <w:rFonts w:eastAsia="Calibri"/>
                            </w:rPr>
                            <w:t>1</w:t>
                          </w:r>
                        </w:sdtContent>
                      </w:sdt>
                      <w:r>
                        <w:rPr>
                          <w:rFonts w:eastAsia="Calibri"/>
                        </w:rPr>
                        <w:t>.</w:t>
                        <w:tab/>
                      </w:r>
                      <w:r>
                        <w:rPr>
                          <w:rFonts w:eastAsia="Calibri"/>
                          <w:iCs/>
                          <w:szCs w:val="24"/>
                          <w:lang w:eastAsia="lt-LT"/>
                        </w:rPr>
                        <w:t>001 Savivaldybės valdymo programa, 1.1 priedas.</w:t>
                      </w:r>
                    </w:p>
                  </w:sdtContent>
                </w:sdt>
                <w:sdt>
                  <w:sdtPr>
                    <w:alias w:val="2 p."/>
                    <w:tag w:val="part_4c2932cffbe741119961116a24ae72a1"/>
                    <w:lock w:val="sdtLocked"/>
                    <w:richText/>
                  </w:sdtPr>
                  <w:sdtContent>
                    <w:p>
                      <w:pPr>
                        <w:ind w:left="1080" w:hanging="360"/>
                        <w:rPr>
                          <w:i/>
                          <w:color w:val="ED0000"/>
                          <w:szCs w:val="24"/>
                          <w:lang w:eastAsia="lt-LT"/>
                        </w:rPr>
                      </w:pPr>
                      <w:sdt>
                        <w:sdtPr>
                          <w:alias w:val="Numeris"/>
                          <w:tag w:val="nr_4c2932cffbe741119961116a24ae72a1"/>
                          <w:lock w:val="sdtLocked"/>
                          <w:richText/>
                        </w:sdtPr>
                        <w:sdtContent>
                          <w:r>
                            <w:rPr>
                              <w:rFonts w:eastAsia="Calibri"/>
                            </w:rPr>
                            <w:t>2</w:t>
                          </w:r>
                        </w:sdtContent>
                      </w:sdt>
                      <w:r>
                        <w:rPr>
                          <w:rFonts w:eastAsia="Calibri"/>
                        </w:rPr>
                        <w:t>.</w:t>
                        <w:tab/>
                      </w:r>
                      <w:r>
                        <w:rPr>
                          <w:rFonts w:eastAsia="Calibri"/>
                          <w:iCs/>
                          <w:szCs w:val="24"/>
                          <w:lang w:eastAsia="lt-LT"/>
                        </w:rPr>
                        <w:t>002 Saugios aplinkos užtikrinimo programa, 1.2 priedas.</w:t>
                      </w:r>
                    </w:p>
                  </w:sdtContent>
                </w:sdt>
                <w:sdt>
                  <w:sdtPr>
                    <w:alias w:val="3 p."/>
                    <w:tag w:val="part_4ba3f74961be4010b61df07dcebd8803"/>
                    <w:lock w:val="sdtLocked"/>
                    <w:richText/>
                  </w:sdtPr>
                  <w:sdtContent>
                    <w:p>
                      <w:pPr>
                        <w:ind w:left="1080" w:hanging="360"/>
                        <w:rPr>
                          <w:i/>
                          <w:szCs w:val="24"/>
                          <w:lang w:eastAsia="lt-LT"/>
                        </w:rPr>
                      </w:pPr>
                      <w:sdt>
                        <w:sdtPr>
                          <w:alias w:val="Numeris"/>
                          <w:tag w:val="nr_4ba3f74961be4010b61df07dcebd8803"/>
                          <w:lock w:val="sdtLocked"/>
                          <w:richText/>
                        </w:sdtPr>
                        <w:sdtContent>
                          <w:r>
                            <w:rPr>
                              <w:rFonts w:eastAsia="Calibri"/>
                            </w:rPr>
                            <w:t>3</w:t>
                          </w:r>
                        </w:sdtContent>
                      </w:sdt>
                      <w:r>
                        <w:rPr>
                          <w:rFonts w:eastAsia="Calibri"/>
                        </w:rPr>
                        <w:t>.</w:t>
                        <w:tab/>
                      </w:r>
                      <w:r>
                        <w:rPr>
                          <w:rFonts w:eastAsia="Calibri"/>
                          <w:iCs/>
                          <w:szCs w:val="24"/>
                          <w:lang w:eastAsia="lt-LT"/>
                        </w:rPr>
                        <w:t>003 Sveikatos priežiūros programa, 1.3 priedas.</w:t>
                      </w:r>
                    </w:p>
                  </w:sdtContent>
                </w:sdt>
                <w:sdt>
                  <w:sdtPr>
                    <w:alias w:val="4 p."/>
                    <w:tag w:val="part_92d8297abed54a7aa7a969918d685802"/>
                    <w:lock w:val="sdtLocked"/>
                    <w:richText/>
                  </w:sdtPr>
                  <w:sdtContent>
                    <w:p>
                      <w:pPr>
                        <w:ind w:left="1080" w:hanging="360"/>
                        <w:rPr>
                          <w:i/>
                          <w:szCs w:val="24"/>
                          <w:lang w:eastAsia="lt-LT"/>
                        </w:rPr>
                      </w:pPr>
                      <w:sdt>
                        <w:sdtPr>
                          <w:alias w:val="Numeris"/>
                          <w:tag w:val="nr_92d8297abed54a7aa7a969918d685802"/>
                          <w:lock w:val="sdtLocked"/>
                          <w:richText/>
                        </w:sdtPr>
                        <w:sdtContent>
                          <w:r>
                            <w:rPr>
                              <w:rFonts w:eastAsia="Calibri"/>
                            </w:rPr>
                            <w:t>4</w:t>
                          </w:r>
                        </w:sdtContent>
                      </w:sdt>
                      <w:r>
                        <w:rPr>
                          <w:rFonts w:eastAsia="Calibri"/>
                        </w:rPr>
                        <w:t>.</w:t>
                        <w:tab/>
                      </w:r>
                      <w:r>
                        <w:rPr>
                          <w:rFonts w:eastAsia="Calibri"/>
                          <w:iCs/>
                          <w:szCs w:val="24"/>
                          <w:lang w:eastAsia="lt-LT"/>
                        </w:rPr>
                        <w:t>004 Išsilavinusios bendruomenės ugdymo(-si) programa, 1.4 priedas.</w:t>
                      </w:r>
                    </w:p>
                  </w:sdtContent>
                </w:sdt>
                <w:sdt>
                  <w:sdtPr>
                    <w:alias w:val="5 p."/>
                    <w:tag w:val="part_de017844d7fa43efadd447c3ae15ffb0"/>
                    <w:lock w:val="sdtLocked"/>
                    <w:richText/>
                  </w:sdtPr>
                  <w:sdtContent>
                    <w:p>
                      <w:pPr>
                        <w:ind w:left="1080" w:hanging="360"/>
                        <w:rPr>
                          <w:i/>
                          <w:color w:val="ED0000"/>
                          <w:szCs w:val="24"/>
                          <w:lang w:eastAsia="lt-LT"/>
                        </w:rPr>
                      </w:pPr>
                      <w:sdt>
                        <w:sdtPr>
                          <w:alias w:val="Numeris"/>
                          <w:tag w:val="nr_de017844d7fa43efadd447c3ae15ffb0"/>
                          <w:lock w:val="sdtLocked"/>
                          <w:richText/>
                        </w:sdtPr>
                        <w:sdtContent>
                          <w:r>
                            <w:rPr>
                              <w:rFonts w:eastAsia="Calibri"/>
                            </w:rPr>
                            <w:t>5</w:t>
                          </w:r>
                        </w:sdtContent>
                      </w:sdt>
                      <w:r>
                        <w:rPr>
                          <w:rFonts w:eastAsia="Calibri"/>
                        </w:rPr>
                        <w:t>.</w:t>
                        <w:tab/>
                      </w:r>
                      <w:r>
                        <w:rPr>
                          <w:rFonts w:eastAsia="Calibri"/>
                          <w:iCs/>
                          <w:szCs w:val="24"/>
                          <w:lang w:eastAsia="lt-LT"/>
                        </w:rPr>
                        <w:t>005 Ekonomikos ir verslo skatinimo programa, 1.5 priedas.</w:t>
                      </w:r>
                    </w:p>
                  </w:sdtContent>
                </w:sdt>
                <w:sdt>
                  <w:sdtPr>
                    <w:alias w:val="6 p."/>
                    <w:tag w:val="part_1e2654bd25344909b507ebb5ee453d1f"/>
                    <w:lock w:val="sdtLocked"/>
                    <w:richText/>
                  </w:sdtPr>
                  <w:sdtContent>
                    <w:p>
                      <w:pPr>
                        <w:ind w:left="1080" w:hanging="360"/>
                        <w:rPr>
                          <w:i/>
                          <w:szCs w:val="24"/>
                          <w:lang w:eastAsia="lt-LT"/>
                        </w:rPr>
                      </w:pPr>
                      <w:sdt>
                        <w:sdtPr>
                          <w:alias w:val="Numeris"/>
                          <w:tag w:val="nr_1e2654bd25344909b507ebb5ee453d1f"/>
                          <w:lock w:val="sdtLocked"/>
                          <w:richText/>
                        </w:sdtPr>
                        <w:sdtContent>
                          <w:r>
                            <w:rPr>
                              <w:rFonts w:eastAsia="Calibri"/>
                            </w:rPr>
                            <w:t>6</w:t>
                          </w:r>
                        </w:sdtContent>
                      </w:sdt>
                      <w:r>
                        <w:rPr>
                          <w:rFonts w:eastAsia="Calibri"/>
                        </w:rPr>
                        <w:t>.</w:t>
                        <w:tab/>
                      </w:r>
                      <w:r>
                        <w:rPr>
                          <w:rFonts w:eastAsia="Calibri"/>
                          <w:iCs/>
                          <w:szCs w:val="24"/>
                          <w:lang w:eastAsia="lt-LT"/>
                        </w:rPr>
                        <w:t>006 Kultūros ir sporto politikos įgyvendinimo programa, 1.6 priedas.</w:t>
                      </w:r>
                    </w:p>
                  </w:sdtContent>
                </w:sdt>
                <w:sdt>
                  <w:sdtPr>
                    <w:alias w:val="7 p."/>
                    <w:tag w:val="part_5ad559df4c104a8cb265dd962d6dacb5"/>
                    <w:lock w:val="sdtLocked"/>
                    <w:richText/>
                  </w:sdtPr>
                  <w:sdtContent>
                    <w:p>
                      <w:pPr>
                        <w:ind w:left="1080" w:hanging="360"/>
                        <w:rPr>
                          <w:i/>
                          <w:szCs w:val="24"/>
                          <w:lang w:eastAsia="lt-LT"/>
                        </w:rPr>
                      </w:pPr>
                      <w:sdt>
                        <w:sdtPr>
                          <w:alias w:val="Numeris"/>
                          <w:tag w:val="nr_5ad559df4c104a8cb265dd962d6dacb5"/>
                          <w:lock w:val="sdtLocked"/>
                          <w:richText/>
                        </w:sdtPr>
                        <w:sdtContent>
                          <w:r>
                            <w:rPr>
                              <w:rFonts w:eastAsia="Calibri"/>
                            </w:rPr>
                            <w:t>7</w:t>
                          </w:r>
                        </w:sdtContent>
                      </w:sdt>
                      <w:r>
                        <w:rPr>
                          <w:rFonts w:eastAsia="Calibri"/>
                        </w:rPr>
                        <w:t>.</w:t>
                        <w:tab/>
                      </w:r>
                      <w:r>
                        <w:rPr>
                          <w:rFonts w:eastAsia="Calibri"/>
                          <w:iCs/>
                          <w:szCs w:val="24"/>
                          <w:lang w:eastAsia="lt-LT"/>
                        </w:rPr>
                        <w:t>007 Socialinės paramos įgyvendinimo programa, 1.7 priedas.</w:t>
                      </w:r>
                    </w:p>
                    <w:p>
                      <w:pPr>
                        <w:rPr>
                          <w:b/>
                          <w:bCs/>
                          <w:color w:val="ED0000"/>
                          <w:szCs w:val="24"/>
                          <w:lang w:eastAsia="lt-LT"/>
                        </w:rPr>
                      </w:pPr>
                    </w:p>
                    <w:p>
                      <w:pPr>
                        <w:ind w:firstLine="720"/>
                        <w:jc w:val="both"/>
                        <w:rPr>
                          <w:rFonts w:eastAsia="Calibri"/>
                          <w:iCs/>
                          <w:szCs w:val="24"/>
                          <w:lang w:eastAsia="lt-LT"/>
                        </w:rPr>
                      </w:pPr>
                      <w:r>
                        <w:rPr>
                          <w:b/>
                          <w:bCs/>
                          <w:iCs/>
                          <w:szCs w:val="24"/>
                          <w:lang w:eastAsia="lt-LT"/>
                        </w:rPr>
                        <w:t>2026–2028</w:t>
                      </w:r>
                      <w:r>
                        <w:rPr>
                          <w:b/>
                          <w:bCs/>
                          <w:szCs w:val="24"/>
                          <w:lang w:eastAsia="lt-LT"/>
                        </w:rPr>
                        <w:t xml:space="preserve"> metų programų uždaviniai, priemonės, asignavimai ir kitos lėšos (eurais) </w:t>
                      </w:r>
                      <w:r>
                        <w:rPr>
                          <w:szCs w:val="24"/>
                          <w:lang w:eastAsia="lt-LT"/>
                        </w:rPr>
                        <w:t>yra</w:t>
                      </w:r>
                      <w:r>
                        <w:rPr>
                          <w:b/>
                          <w:bCs/>
                          <w:szCs w:val="24"/>
                          <w:lang w:eastAsia="lt-LT"/>
                        </w:rPr>
                        <w:t xml:space="preserve"> </w:t>
                      </w:r>
                      <w:r>
                        <w:rPr>
                          <w:iCs/>
                          <w:szCs w:val="24"/>
                          <w:lang w:eastAsia="lt-LT"/>
                        </w:rPr>
                        <w:t>pateikiamos SVP 2.1–2.7 prieduose</w:t>
                      </w:r>
                      <w:r>
                        <w:rPr>
                          <w:rFonts w:eastAsia="Calibri"/>
                          <w:iCs/>
                          <w:szCs w:val="24"/>
                          <w:lang w:eastAsia="lt-LT"/>
                        </w:rPr>
                        <w:t>:</w:t>
                      </w:r>
                    </w:p>
                  </w:sdtContent>
                </w:sdt>
                <w:sdt>
                  <w:sdtPr>
                    <w:alias w:val="1 p."/>
                    <w:tag w:val="part_b815c488288247e083fc8878c0784058"/>
                    <w:lock w:val="sdtLocked"/>
                    <w:richText/>
                  </w:sdtPr>
                  <w:sdtContent>
                    <w:p>
                      <w:pPr>
                        <w:tabs>
                          <w:tab w:val="left" w:pos="993"/>
                        </w:tabs>
                        <w:ind w:firstLine="720"/>
                        <w:jc w:val="both"/>
                        <w:rPr>
                          <w:i/>
                          <w:szCs w:val="24"/>
                          <w:lang w:eastAsia="lt-LT"/>
                        </w:rPr>
                      </w:pPr>
                      <w:sdt>
                        <w:sdtPr>
                          <w:alias w:val="Numeris"/>
                          <w:tag w:val="nr_b815c488288247e083fc8878c0784058"/>
                          <w:lock w:val="sdtLocked"/>
                          <w:richText/>
                        </w:sdtPr>
                        <w:sdtContent>
                          <w:r>
                            <w:rPr>
                              <w:rFonts w:eastAsia="Calibri"/>
                            </w:rPr>
                            <w:t>1</w:t>
                          </w:r>
                        </w:sdtContent>
                      </w:sdt>
                      <w:r>
                        <w:rPr>
                          <w:rFonts w:eastAsia="Calibri"/>
                        </w:rPr>
                        <w:t>.</w:t>
                        <w:tab/>
                      </w:r>
                      <w:r>
                        <w:rPr>
                          <w:rFonts w:eastAsia="Calibri"/>
                          <w:iCs/>
                          <w:szCs w:val="24"/>
                          <w:lang w:eastAsia="lt-LT"/>
                        </w:rPr>
                        <w:t>2026–2028 metų 001 Savivaldybės valdymo programos uždaviniai, priemonės, asignavimai ir kitos lėšos (eurais), 2.1 priedas.</w:t>
                      </w:r>
                    </w:p>
                  </w:sdtContent>
                </w:sdt>
                <w:sdt>
                  <w:sdtPr>
                    <w:alias w:val="2 p."/>
                    <w:tag w:val="part_244fc53ba82d47c58e9b9cb376490a5f"/>
                    <w:lock w:val="sdtLocked"/>
                    <w:richText/>
                  </w:sdtPr>
                  <w:sdtContent>
                    <w:p>
                      <w:pPr>
                        <w:tabs>
                          <w:tab w:val="left" w:pos="993"/>
                        </w:tabs>
                        <w:ind w:firstLine="720"/>
                        <w:jc w:val="both"/>
                        <w:rPr>
                          <w:i/>
                          <w:szCs w:val="24"/>
                          <w:lang w:eastAsia="lt-LT"/>
                        </w:rPr>
                      </w:pPr>
                      <w:sdt>
                        <w:sdtPr>
                          <w:alias w:val="Numeris"/>
                          <w:tag w:val="nr_244fc53ba82d47c58e9b9cb376490a5f"/>
                          <w:lock w:val="sdtLocked"/>
                          <w:richText/>
                        </w:sdtPr>
                        <w:sdtContent>
                          <w:r>
                            <w:rPr>
                              <w:rFonts w:eastAsia="Calibri"/>
                            </w:rPr>
                            <w:t>2</w:t>
                          </w:r>
                        </w:sdtContent>
                      </w:sdt>
                      <w:r>
                        <w:rPr>
                          <w:rFonts w:eastAsia="Calibri"/>
                        </w:rPr>
                        <w:t>.</w:t>
                        <w:tab/>
                      </w:r>
                      <w:r>
                        <w:rPr>
                          <w:rFonts w:eastAsia="Calibri"/>
                          <w:iCs/>
                          <w:szCs w:val="24"/>
                          <w:lang w:eastAsia="lt-LT"/>
                        </w:rPr>
                        <w:t>2026–2028 metų 002 Saugios aplinkos užtikrinimo programos uždaviniai, priemonės, asignavimai ir kitos lėšos (eurais), 2.2 priedas.</w:t>
                      </w:r>
                    </w:p>
                  </w:sdtContent>
                </w:sdt>
                <w:sdt>
                  <w:sdtPr>
                    <w:alias w:val="3 p."/>
                    <w:tag w:val="part_d025041dbc604b3d8a8426b66739e914"/>
                    <w:lock w:val="sdtLocked"/>
                    <w:richText/>
                  </w:sdtPr>
                  <w:sdtContent>
                    <w:p>
                      <w:pPr>
                        <w:tabs>
                          <w:tab w:val="left" w:pos="993"/>
                        </w:tabs>
                        <w:ind w:firstLine="720"/>
                        <w:jc w:val="both"/>
                        <w:rPr>
                          <w:i/>
                          <w:szCs w:val="24"/>
                          <w:lang w:eastAsia="lt-LT"/>
                        </w:rPr>
                      </w:pPr>
                      <w:sdt>
                        <w:sdtPr>
                          <w:alias w:val="Numeris"/>
                          <w:tag w:val="nr_d025041dbc604b3d8a8426b66739e914"/>
                          <w:lock w:val="sdtLocked"/>
                          <w:richText/>
                        </w:sdtPr>
                        <w:sdtContent>
                          <w:r>
                            <w:rPr>
                              <w:rFonts w:eastAsia="Calibri"/>
                              <w:szCs w:val="24"/>
                            </w:rPr>
                            <w:t>3</w:t>
                          </w:r>
                        </w:sdtContent>
                      </w:sdt>
                      <w:r>
                        <w:rPr>
                          <w:rFonts w:eastAsia="Calibri"/>
                          <w:szCs w:val="24"/>
                        </w:rPr>
                        <w:t>.</w:t>
                        <w:tab/>
                      </w:r>
                      <w:r>
                        <w:rPr>
                          <w:rFonts w:eastAsia="Calibri"/>
                          <w:iCs/>
                          <w:szCs w:val="24"/>
                          <w:lang w:eastAsia="lt-LT"/>
                        </w:rPr>
                        <w:t>2026–2028 metų 003 Sveikatos priežiūros programos uždaviniai, priemonės, asignavimai ir kitos lėšos (eurais), 2.3 priedas.</w:t>
                      </w:r>
                    </w:p>
                  </w:sdtContent>
                </w:sdt>
                <w:sdt>
                  <w:sdtPr>
                    <w:alias w:val="4 p."/>
                    <w:tag w:val="part_ec7e9cf638e442248d270d280b9a426a"/>
                    <w:lock w:val="sdtLocked"/>
                    <w:richText/>
                  </w:sdtPr>
                  <w:sdtContent>
                    <w:p>
                      <w:pPr>
                        <w:tabs>
                          <w:tab w:val="left" w:pos="993"/>
                        </w:tabs>
                        <w:ind w:firstLine="720"/>
                        <w:jc w:val="both"/>
                        <w:rPr>
                          <w:i/>
                          <w:szCs w:val="24"/>
                          <w:lang w:eastAsia="lt-LT"/>
                        </w:rPr>
                      </w:pPr>
                      <w:sdt>
                        <w:sdtPr>
                          <w:alias w:val="Numeris"/>
                          <w:tag w:val="nr_ec7e9cf638e442248d270d280b9a426a"/>
                          <w:lock w:val="sdtLocked"/>
                          <w:richText/>
                        </w:sdtPr>
                        <w:sdtContent>
                          <w:r>
                            <w:rPr>
                              <w:rFonts w:eastAsia="Calibri"/>
                            </w:rPr>
                            <w:t>4</w:t>
                          </w:r>
                        </w:sdtContent>
                      </w:sdt>
                      <w:r>
                        <w:rPr>
                          <w:rFonts w:eastAsia="Calibri"/>
                        </w:rPr>
                        <w:t>.</w:t>
                        <w:tab/>
                      </w:r>
                      <w:r>
                        <w:rPr>
                          <w:rFonts w:eastAsia="Calibri"/>
                          <w:iCs/>
                          <w:szCs w:val="24"/>
                          <w:lang w:eastAsia="lt-LT"/>
                        </w:rPr>
                        <w:t>2026–2028 metų 004 Išsilavinusios bendruomenės ugdymo(-si) programos</w:t>
                      </w:r>
                      <w:r>
                        <w:rPr>
                          <w:szCs w:val="24"/>
                          <w:lang w:eastAsia="lt-LT"/>
                        </w:rPr>
                        <w:t xml:space="preserve"> </w:t>
                      </w:r>
                      <w:r>
                        <w:rPr>
                          <w:rFonts w:eastAsia="Calibri"/>
                          <w:iCs/>
                          <w:szCs w:val="24"/>
                          <w:lang w:eastAsia="lt-LT"/>
                        </w:rPr>
                        <w:t>uždaviniai, priemonės, asignavimai ir kitos lėšos (eurais), 2.4 priedas.</w:t>
                      </w:r>
                    </w:p>
                  </w:sdtContent>
                </w:sdt>
                <w:sdt>
                  <w:sdtPr>
                    <w:alias w:val="5 p."/>
                    <w:tag w:val="part_386dfad6334a406db997db6f285fc4f5"/>
                    <w:lock w:val="sdtLocked"/>
                    <w:richText/>
                  </w:sdtPr>
                  <w:sdtContent>
                    <w:p>
                      <w:pPr>
                        <w:tabs>
                          <w:tab w:val="left" w:pos="993"/>
                        </w:tabs>
                        <w:ind w:firstLine="720"/>
                        <w:jc w:val="both"/>
                        <w:rPr>
                          <w:i/>
                          <w:szCs w:val="24"/>
                          <w:lang w:eastAsia="lt-LT"/>
                        </w:rPr>
                      </w:pPr>
                      <w:sdt>
                        <w:sdtPr>
                          <w:alias w:val="Numeris"/>
                          <w:tag w:val="nr_386dfad6334a406db997db6f285fc4f5"/>
                          <w:lock w:val="sdtLocked"/>
                          <w:richText/>
                        </w:sdtPr>
                        <w:sdtContent>
                          <w:r>
                            <w:rPr>
                              <w:rFonts w:eastAsia="Calibri"/>
                            </w:rPr>
                            <w:t>5</w:t>
                          </w:r>
                        </w:sdtContent>
                      </w:sdt>
                      <w:r>
                        <w:rPr>
                          <w:rFonts w:eastAsia="Calibri"/>
                        </w:rPr>
                        <w:t>.</w:t>
                        <w:tab/>
                      </w:r>
                      <w:r>
                        <w:rPr>
                          <w:rFonts w:eastAsia="Calibri"/>
                          <w:iCs/>
                          <w:szCs w:val="24"/>
                          <w:lang w:eastAsia="lt-LT"/>
                        </w:rPr>
                        <w:t>2026–2028 metų 005 Ekonomikos ir verslo skatinimo programos uždaviniai, priemonės, asignavimai ir kitos lėšos (eurais), 2.5 priedas.</w:t>
                      </w:r>
                    </w:p>
                  </w:sdtContent>
                </w:sdt>
                <w:sdt>
                  <w:sdtPr>
                    <w:alias w:val="6 p."/>
                    <w:tag w:val="part_270ffb789f514aabaa4b1ec77512b1a5"/>
                    <w:lock w:val="sdtLocked"/>
                    <w:richText/>
                  </w:sdtPr>
                  <w:sdtContent>
                    <w:p>
                      <w:pPr>
                        <w:tabs>
                          <w:tab w:val="left" w:pos="993"/>
                        </w:tabs>
                        <w:ind w:firstLine="720"/>
                        <w:jc w:val="both"/>
                        <w:rPr>
                          <w:i/>
                          <w:szCs w:val="24"/>
                          <w:lang w:eastAsia="lt-LT"/>
                        </w:rPr>
                      </w:pPr>
                      <w:sdt>
                        <w:sdtPr>
                          <w:alias w:val="Numeris"/>
                          <w:tag w:val="nr_270ffb789f514aabaa4b1ec77512b1a5"/>
                          <w:lock w:val="sdtLocked"/>
                          <w:richText/>
                        </w:sdtPr>
                        <w:sdtContent>
                          <w:r>
                            <w:rPr>
                              <w:rFonts w:eastAsia="Calibri"/>
                            </w:rPr>
                            <w:t>6</w:t>
                          </w:r>
                        </w:sdtContent>
                      </w:sdt>
                      <w:r>
                        <w:rPr>
                          <w:rFonts w:eastAsia="Calibri"/>
                        </w:rPr>
                        <w:t>.</w:t>
                        <w:tab/>
                      </w:r>
                      <w:r>
                        <w:rPr>
                          <w:rFonts w:eastAsia="Calibri"/>
                          <w:iCs/>
                          <w:szCs w:val="24"/>
                          <w:lang w:eastAsia="lt-LT"/>
                        </w:rPr>
                        <w:t>2026–2028 metų 006 Kultūros ir sporto politikos įgyvendinimo programos</w:t>
                      </w:r>
                      <w:r>
                        <w:rPr>
                          <w:szCs w:val="24"/>
                          <w:lang w:eastAsia="lt-LT"/>
                        </w:rPr>
                        <w:t xml:space="preserve"> </w:t>
                      </w:r>
                      <w:r>
                        <w:rPr>
                          <w:rFonts w:eastAsia="Calibri"/>
                          <w:iCs/>
                          <w:szCs w:val="24"/>
                          <w:lang w:eastAsia="lt-LT"/>
                        </w:rPr>
                        <w:t>uždaviniai, priemonės, asignavimai ir kitos lėšos (eurais), 2.6 priedas.</w:t>
                      </w:r>
                    </w:p>
                  </w:sdtContent>
                </w:sdt>
                <w:sdt>
                  <w:sdtPr>
                    <w:alias w:val="7 p."/>
                    <w:tag w:val="part_9e759a6dc03d4d539a0169b20d6f5ad4"/>
                    <w:lock w:val="sdtLocked"/>
                    <w:richText/>
                  </w:sdtPr>
                  <w:sdtContent>
                    <w:p>
                      <w:pPr>
                        <w:tabs>
                          <w:tab w:val="left" w:pos="993"/>
                        </w:tabs>
                        <w:ind w:firstLine="720"/>
                        <w:jc w:val="both"/>
                        <w:rPr>
                          <w:i/>
                          <w:szCs w:val="24"/>
                          <w:lang w:eastAsia="lt-LT"/>
                        </w:rPr>
                      </w:pPr>
                      <w:sdt>
                        <w:sdtPr>
                          <w:alias w:val="Numeris"/>
                          <w:tag w:val="nr_9e759a6dc03d4d539a0169b20d6f5ad4"/>
                          <w:lock w:val="sdtLocked"/>
                          <w:richText/>
                        </w:sdtPr>
                        <w:sdtContent>
                          <w:r>
                            <w:rPr>
                              <w:rFonts w:eastAsia="Calibri"/>
                            </w:rPr>
                            <w:t>7</w:t>
                          </w:r>
                        </w:sdtContent>
                      </w:sdt>
                      <w:r>
                        <w:rPr>
                          <w:rFonts w:eastAsia="Calibri"/>
                        </w:rPr>
                        <w:t>.</w:t>
                        <w:tab/>
                      </w:r>
                      <w:r>
                        <w:rPr>
                          <w:rFonts w:eastAsia="Calibri"/>
                          <w:iCs/>
                          <w:szCs w:val="24"/>
                          <w:lang w:eastAsia="lt-LT"/>
                        </w:rPr>
                        <w:t>2026–2028 metų 007 Socialinės paramos įgyvendinimo programos uždaviniai, priemonės, asignavimai ir kitos lėšos (eurais), 2.7 priedas.</w:t>
                      </w:r>
                      <w:r>
                        <w:rPr>
                          <w:b/>
                          <w:bCs/>
                          <w:szCs w:val="24"/>
                          <w:lang w:eastAsia="lt-LT"/>
                        </w:rPr>
                        <w:t xml:space="preserve"> </w:t>
                      </w:r>
                    </w:p>
                    <w:p>
                      <w:pPr>
                        <w:jc w:val="both"/>
                        <w:rPr>
                          <w:b/>
                          <w:bCs/>
                          <w:color w:val="ED0000"/>
                          <w:szCs w:val="24"/>
                          <w:lang w:eastAsia="lt-LT"/>
                        </w:rPr>
                      </w:pPr>
                    </w:p>
                    <w:p>
                      <w:pPr>
                        <w:ind w:firstLine="720"/>
                        <w:jc w:val="both"/>
                        <w:rPr>
                          <w:rFonts w:eastAsia="Calibri"/>
                          <w:iCs/>
                          <w:szCs w:val="24"/>
                          <w:lang w:eastAsia="lt-LT"/>
                        </w:rPr>
                      </w:pPr>
                      <w:r>
                        <w:rPr>
                          <w:b/>
                          <w:bCs/>
                          <w:iCs/>
                          <w:szCs w:val="24"/>
                          <w:lang w:eastAsia="lt-LT"/>
                        </w:rPr>
                        <w:t>2026–2028</w:t>
                      </w:r>
                      <w:r>
                        <w:rPr>
                          <w:b/>
                          <w:bCs/>
                          <w:szCs w:val="24"/>
                          <w:lang w:eastAsia="lt-LT"/>
                        </w:rPr>
                        <w:t xml:space="preserve"> metų programų uždaviniai, priemonės ir jų stebėsenos rodikliai </w:t>
                      </w:r>
                      <w:r>
                        <w:rPr>
                          <w:szCs w:val="24"/>
                          <w:lang w:eastAsia="lt-LT"/>
                        </w:rPr>
                        <w:t xml:space="preserve">yra </w:t>
                      </w:r>
                      <w:r>
                        <w:rPr>
                          <w:iCs/>
                          <w:szCs w:val="24"/>
                          <w:lang w:eastAsia="lt-LT"/>
                        </w:rPr>
                        <w:t>pateikiami SVP 3.1–3.7 prieduose</w:t>
                      </w:r>
                      <w:r>
                        <w:rPr>
                          <w:rFonts w:eastAsia="Calibri"/>
                          <w:iCs/>
                          <w:szCs w:val="24"/>
                          <w:lang w:eastAsia="lt-LT"/>
                        </w:rPr>
                        <w:t>:</w:t>
                      </w:r>
                    </w:p>
                  </w:sdtContent>
                </w:sdt>
                <w:sdt>
                  <w:sdtPr>
                    <w:alias w:val="1 p."/>
                    <w:tag w:val="part_c167a45d31074c37973fafa9ddb86658"/>
                    <w:lock w:val="sdtLocked"/>
                    <w:richText/>
                  </w:sdtPr>
                  <w:sdtContent>
                    <w:p>
                      <w:pPr>
                        <w:tabs>
                          <w:tab w:val="left" w:pos="993"/>
                        </w:tabs>
                        <w:ind w:firstLine="720"/>
                        <w:jc w:val="both"/>
                        <w:rPr>
                          <w:i/>
                          <w:szCs w:val="24"/>
                          <w:lang w:eastAsia="lt-LT"/>
                        </w:rPr>
                      </w:pPr>
                      <w:sdt>
                        <w:sdtPr>
                          <w:alias w:val="Numeris"/>
                          <w:tag w:val="nr_c167a45d31074c37973fafa9ddb86658"/>
                          <w:lock w:val="sdtLocked"/>
                          <w:richText/>
                        </w:sdtPr>
                        <w:sdtContent>
                          <w:r>
                            <w:rPr>
                              <w:rFonts w:eastAsia="Calibri"/>
                            </w:rPr>
                            <w:t>1</w:t>
                          </w:r>
                        </w:sdtContent>
                      </w:sdt>
                      <w:r>
                        <w:rPr>
                          <w:rFonts w:eastAsia="Calibri"/>
                        </w:rPr>
                        <w:t>.</w:t>
                        <w:tab/>
                      </w:r>
                      <w:r>
                        <w:rPr>
                          <w:rFonts w:eastAsia="Calibri"/>
                          <w:iCs/>
                          <w:szCs w:val="24"/>
                          <w:lang w:eastAsia="lt-LT"/>
                        </w:rPr>
                        <w:t>001 Savivaldybės valdymo programos uždaviniai, priemonės ir jų stebėsenos rodikliai, 3.1 priedas.</w:t>
                      </w:r>
                    </w:p>
                  </w:sdtContent>
                </w:sdt>
                <w:sdt>
                  <w:sdtPr>
                    <w:alias w:val="2 p."/>
                    <w:tag w:val="part_3b0ab5709ac04b2b886c42de17880192"/>
                    <w:lock w:val="sdtLocked"/>
                    <w:richText/>
                  </w:sdtPr>
                  <w:sdtContent>
                    <w:p>
                      <w:pPr>
                        <w:tabs>
                          <w:tab w:val="left" w:pos="993"/>
                        </w:tabs>
                        <w:ind w:firstLine="720"/>
                        <w:jc w:val="both"/>
                        <w:rPr>
                          <w:i/>
                          <w:szCs w:val="24"/>
                          <w:lang w:eastAsia="lt-LT"/>
                        </w:rPr>
                      </w:pPr>
                      <w:sdt>
                        <w:sdtPr>
                          <w:alias w:val="Numeris"/>
                          <w:tag w:val="nr_3b0ab5709ac04b2b886c42de17880192"/>
                          <w:lock w:val="sdtLocked"/>
                          <w:richText/>
                        </w:sdtPr>
                        <w:sdtContent>
                          <w:r>
                            <w:rPr>
                              <w:rFonts w:eastAsia="Calibri"/>
                            </w:rPr>
                            <w:t>2</w:t>
                          </w:r>
                        </w:sdtContent>
                      </w:sdt>
                      <w:r>
                        <w:rPr>
                          <w:rFonts w:eastAsia="Calibri"/>
                        </w:rPr>
                        <w:t>.</w:t>
                        <w:tab/>
                      </w:r>
                      <w:r>
                        <w:rPr>
                          <w:rFonts w:eastAsia="Calibri"/>
                          <w:iCs/>
                          <w:szCs w:val="24"/>
                          <w:lang w:eastAsia="lt-LT"/>
                        </w:rPr>
                        <w:t>002 Saugios aplinkos užtikrinimo programos uždaviniai, priemonės ir jų stebėsenos rodikliai, 3.2 priedas.</w:t>
                      </w:r>
                    </w:p>
                  </w:sdtContent>
                </w:sdt>
                <w:sdt>
                  <w:sdtPr>
                    <w:alias w:val="3 p."/>
                    <w:tag w:val="part_fd1fdc1d7c954c0f9cf09c326d0dc4f2"/>
                    <w:lock w:val="sdtLocked"/>
                    <w:richText/>
                  </w:sdtPr>
                  <w:sdtContent>
                    <w:p>
                      <w:pPr>
                        <w:tabs>
                          <w:tab w:val="left" w:pos="993"/>
                        </w:tabs>
                        <w:ind w:firstLine="720"/>
                        <w:jc w:val="both"/>
                        <w:rPr>
                          <w:i/>
                          <w:szCs w:val="24"/>
                          <w:lang w:eastAsia="lt-LT"/>
                        </w:rPr>
                      </w:pPr>
                      <w:sdt>
                        <w:sdtPr>
                          <w:alias w:val="Numeris"/>
                          <w:tag w:val="nr_fd1fdc1d7c954c0f9cf09c326d0dc4f2"/>
                          <w:lock w:val="sdtLocked"/>
                          <w:richText/>
                        </w:sdtPr>
                        <w:sdtContent>
                          <w:r>
                            <w:rPr>
                              <w:rFonts w:eastAsia="Calibri"/>
                            </w:rPr>
                            <w:t>3</w:t>
                          </w:r>
                        </w:sdtContent>
                      </w:sdt>
                      <w:r>
                        <w:rPr>
                          <w:rFonts w:eastAsia="Calibri"/>
                        </w:rPr>
                        <w:t>.</w:t>
                        <w:tab/>
                      </w:r>
                      <w:r>
                        <w:rPr>
                          <w:rFonts w:eastAsia="Calibri"/>
                          <w:iCs/>
                          <w:szCs w:val="24"/>
                          <w:lang w:eastAsia="lt-LT"/>
                        </w:rPr>
                        <w:t>003 Sveikatos priežiūros programos uždaviniai, priemonės ir jų stebėsenos rodikliai, 3.3 priedas.</w:t>
                      </w:r>
                    </w:p>
                  </w:sdtContent>
                </w:sdt>
                <w:sdt>
                  <w:sdtPr>
                    <w:alias w:val="4 p."/>
                    <w:tag w:val="part_8e3e764a2d7f48f39ec78176b0a40a2c"/>
                    <w:lock w:val="sdtLocked"/>
                    <w:richText/>
                  </w:sdtPr>
                  <w:sdtContent>
                    <w:p>
                      <w:pPr>
                        <w:tabs>
                          <w:tab w:val="left" w:pos="993"/>
                        </w:tabs>
                        <w:ind w:firstLine="720"/>
                        <w:jc w:val="both"/>
                        <w:rPr>
                          <w:i/>
                          <w:szCs w:val="24"/>
                          <w:lang w:eastAsia="lt-LT"/>
                        </w:rPr>
                      </w:pPr>
                      <w:sdt>
                        <w:sdtPr>
                          <w:alias w:val="Numeris"/>
                          <w:tag w:val="nr_8e3e764a2d7f48f39ec78176b0a40a2c"/>
                          <w:lock w:val="sdtLocked"/>
                          <w:richText/>
                        </w:sdtPr>
                        <w:sdtContent>
                          <w:r>
                            <w:rPr>
                              <w:rFonts w:eastAsia="Calibri"/>
                            </w:rPr>
                            <w:t>4</w:t>
                          </w:r>
                        </w:sdtContent>
                      </w:sdt>
                      <w:r>
                        <w:rPr>
                          <w:rFonts w:eastAsia="Calibri"/>
                        </w:rPr>
                        <w:t>.</w:t>
                        <w:tab/>
                      </w:r>
                      <w:r>
                        <w:rPr>
                          <w:rFonts w:eastAsia="Calibri"/>
                          <w:iCs/>
                          <w:szCs w:val="24"/>
                          <w:lang w:eastAsia="lt-LT"/>
                        </w:rPr>
                        <w:t>004 Išsilavinusios bendruomenės ugdymo(-si) programos uždaviniai, priemonės ir jų stebėsenos rodikliai, 3.4 priedas.</w:t>
                      </w:r>
                    </w:p>
                  </w:sdtContent>
                </w:sdt>
                <w:sdt>
                  <w:sdtPr>
                    <w:alias w:val="5 p."/>
                    <w:tag w:val="part_1d0b2035c9e1443b893ef33fa787b316"/>
                    <w:lock w:val="sdtLocked"/>
                    <w:richText/>
                  </w:sdtPr>
                  <w:sdtContent>
                    <w:p>
                      <w:pPr>
                        <w:tabs>
                          <w:tab w:val="left" w:pos="993"/>
                        </w:tabs>
                        <w:ind w:firstLine="720"/>
                        <w:jc w:val="both"/>
                        <w:rPr>
                          <w:i/>
                          <w:szCs w:val="24"/>
                          <w:lang w:eastAsia="lt-LT"/>
                        </w:rPr>
                      </w:pPr>
                      <w:sdt>
                        <w:sdtPr>
                          <w:alias w:val="Numeris"/>
                          <w:tag w:val="nr_1d0b2035c9e1443b893ef33fa787b316"/>
                          <w:lock w:val="sdtLocked"/>
                          <w:richText/>
                        </w:sdtPr>
                        <w:sdtContent>
                          <w:r>
                            <w:rPr>
                              <w:rFonts w:eastAsia="Calibri"/>
                            </w:rPr>
                            <w:t>5</w:t>
                          </w:r>
                        </w:sdtContent>
                      </w:sdt>
                      <w:r>
                        <w:rPr>
                          <w:rFonts w:eastAsia="Calibri"/>
                        </w:rPr>
                        <w:t>.</w:t>
                        <w:tab/>
                      </w:r>
                      <w:r>
                        <w:rPr>
                          <w:rFonts w:eastAsia="Calibri"/>
                          <w:iCs/>
                          <w:szCs w:val="24"/>
                          <w:lang w:eastAsia="lt-LT"/>
                        </w:rPr>
                        <w:t>005 Ekonomikos ir verslo skatinimo programos uždaviniai, priemonės ir jų stebėsenos rodikliai, 3.5 priedas.</w:t>
                      </w:r>
                    </w:p>
                  </w:sdtContent>
                </w:sdt>
                <w:sdt>
                  <w:sdtPr>
                    <w:alias w:val="6 p."/>
                    <w:tag w:val="part_f94b12f43cc94a6985c045da1a2e8b7e"/>
                    <w:lock w:val="sdtLocked"/>
                    <w:richText/>
                  </w:sdtPr>
                  <w:sdtContent>
                    <w:p>
                      <w:pPr>
                        <w:tabs>
                          <w:tab w:val="left" w:pos="993"/>
                        </w:tabs>
                        <w:ind w:firstLine="720"/>
                        <w:jc w:val="both"/>
                        <w:rPr>
                          <w:i/>
                          <w:szCs w:val="24"/>
                          <w:lang w:eastAsia="lt-LT"/>
                        </w:rPr>
                      </w:pPr>
                      <w:sdt>
                        <w:sdtPr>
                          <w:alias w:val="Numeris"/>
                          <w:tag w:val="nr_f94b12f43cc94a6985c045da1a2e8b7e"/>
                          <w:lock w:val="sdtLocked"/>
                          <w:richText/>
                        </w:sdtPr>
                        <w:sdtContent>
                          <w:r>
                            <w:rPr>
                              <w:rFonts w:eastAsia="Calibri"/>
                            </w:rPr>
                            <w:t>6</w:t>
                          </w:r>
                        </w:sdtContent>
                      </w:sdt>
                      <w:r>
                        <w:rPr>
                          <w:rFonts w:eastAsia="Calibri"/>
                        </w:rPr>
                        <w:t>.</w:t>
                        <w:tab/>
                      </w:r>
                      <w:r>
                        <w:rPr>
                          <w:rFonts w:eastAsia="Calibri"/>
                          <w:iCs/>
                          <w:szCs w:val="24"/>
                          <w:lang w:eastAsia="lt-LT"/>
                        </w:rPr>
                        <w:t>006 Kultūros ir sporto politikos įgyvendinimo programos uždaviniai, priemonės ir jų stebėsenos rodikliai, 3.6 priedas.</w:t>
                      </w:r>
                    </w:p>
                  </w:sdtContent>
                </w:sdt>
                <w:sdt>
                  <w:sdtPr>
                    <w:alias w:val="7 p."/>
                    <w:tag w:val="part_9deeb4efa0d04d2ea51d8bb0e5702e05"/>
                    <w:lock w:val="sdtLocked"/>
                    <w:richText/>
                  </w:sdtPr>
                  <w:sdtContent>
                    <w:p>
                      <w:pPr>
                        <w:tabs>
                          <w:tab w:val="left" w:pos="993"/>
                        </w:tabs>
                        <w:ind w:firstLine="720"/>
                        <w:jc w:val="both"/>
                        <w:rPr>
                          <w:i/>
                          <w:szCs w:val="24"/>
                          <w:lang w:eastAsia="lt-LT"/>
                        </w:rPr>
                      </w:pPr>
                      <w:sdt>
                        <w:sdtPr>
                          <w:alias w:val="Numeris"/>
                          <w:tag w:val="nr_9deeb4efa0d04d2ea51d8bb0e5702e05"/>
                          <w:lock w:val="sdtLocked"/>
                          <w:richText/>
                        </w:sdtPr>
                        <w:sdtContent>
                          <w:r>
                            <w:rPr>
                              <w:rFonts w:eastAsia="Calibri"/>
                            </w:rPr>
                            <w:t>7</w:t>
                          </w:r>
                        </w:sdtContent>
                      </w:sdt>
                      <w:r>
                        <w:rPr>
                          <w:rFonts w:eastAsia="Calibri"/>
                        </w:rPr>
                        <w:t>.</w:t>
                        <w:tab/>
                      </w:r>
                      <w:r>
                        <w:rPr>
                          <w:rFonts w:eastAsia="Calibri"/>
                          <w:iCs/>
                          <w:szCs w:val="24"/>
                          <w:lang w:eastAsia="lt-LT"/>
                        </w:rPr>
                        <w:t>007 Socialinės paramos įgyvendinimo programos uždaviniai, priemonės ir jų stebėsenos rodikliai, 3.7 priedas.</w:t>
                      </w:r>
                      <w:r>
                        <w:rPr>
                          <w:b/>
                          <w:bCs/>
                          <w:szCs w:val="24"/>
                          <w:lang w:eastAsia="lt-LT"/>
                        </w:rPr>
                        <w:t xml:space="preserve"> </w:t>
                      </w:r>
                    </w:p>
                    <w:p>
                      <w:pPr>
                        <w:ind w:firstLine="720"/>
                        <w:jc w:val="both"/>
                        <w:rPr>
                          <w:b/>
                          <w:bCs/>
                          <w:color w:val="ED0000"/>
                          <w:szCs w:val="24"/>
                          <w:lang w:eastAsia="lt-LT"/>
                        </w:rPr>
                      </w:pPr>
                    </w:p>
                  </w:sdtContent>
                </w:sdt>
              </w:sdtContent>
            </w:sdt>
          </w:sdtContent>
        </w:sdt>
        <w:sdt>
          <w:sdtPr>
            <w:alias w:val="skyrius"/>
            <w:tag w:val="part_2a1fd4b3377e44499e2495bd3e9e2e9e"/>
            <w:lock w:val="sdtLocked"/>
            <w:richText/>
          </w:sdtPr>
          <w:sdtContent>
            <w:p>
              <w:pPr>
                <w:jc w:val="center"/>
                <w:rPr>
                  <w:b/>
                  <w:bCs/>
                  <w:szCs w:val="24"/>
                  <w:lang w:eastAsia="lt-LT"/>
                </w:rPr>
              </w:pPr>
              <w:sdt>
                <w:sdtPr>
                  <w:alias w:val="Numeris"/>
                  <w:tag w:val="nr_2a1fd4b3377e44499e2495bd3e9e2e9e"/>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2a1fd4b3377e44499e2495bd3e9e2e9e"/>
                  <w:lock w:val="sdtLocked"/>
                  <w:richText/>
                </w:sdtPr>
                <w:sdtContent>
                  <w:r>
                    <w:rPr>
                      <w:b/>
                      <w:bCs/>
                      <w:szCs w:val="24"/>
                      <w:lang w:eastAsia="lt-LT"/>
                    </w:rPr>
                    <w:t>SAVIVALDYBĖS VALDOMŲ ĮMONIŲ IR VIEŠŲJŲ ĮSTAIGŲ PLANUOJAMOS PASIEKTI PAGRINDINIŲ VEIKLOS RODIKLIŲ REIKŠMĖS</w:t>
                  </w:r>
                </w:sdtContent>
              </w:sdt>
            </w:p>
            <w:p>
              <w:pPr>
                <w:tabs>
                  <w:tab w:val="left" w:pos="6237"/>
                  <w:tab w:val="right" w:pos="8306"/>
                </w:tabs>
                <w:jc w:val="center"/>
                <w:rPr>
                  <w:b/>
                  <w:bCs/>
                  <w:szCs w:val="24"/>
                  <w:lang w:eastAsia="lt-LT"/>
                </w:rPr>
              </w:pPr>
            </w:p>
            <w:p>
              <w:pPr>
                <w:ind w:firstLine="720"/>
                <w:jc w:val="both"/>
                <w:rPr>
                  <w:iCs/>
                  <w:szCs w:val="24"/>
                  <w:lang w:eastAsia="lt-LT"/>
                </w:rPr>
              </w:pPr>
              <w:r>
                <w:rPr>
                  <w:iCs/>
                  <w:szCs w:val="24"/>
                  <w:lang w:eastAsia="lt-LT"/>
                </w:rPr>
                <w:t>Savivaldybės valdomų įmonių ir viešųjų įstaigų, kurių savininkė yra Savivaldybė arba kai Savivaldybė turi 50 ir daugiau procentų balsų visuotiniame dalininkų susirinkime, 2026–2028 metais planuojamos pasiekti pagrindinių veiklos rodiklių reikšmės.</w:t>
              </w:r>
            </w:p>
            <w:p>
              <w:pPr>
                <w:tabs>
                  <w:tab w:val="left" w:pos="6237"/>
                  <w:tab w:val="right" w:pos="8306"/>
                </w:tabs>
                <w:rPr>
                  <w:b/>
                  <w:bCs/>
                  <w:i/>
                  <w:sz w:val="20"/>
                  <w:szCs w:val="24"/>
                  <w:lang w:eastAsia="lt-LT"/>
                </w:rPr>
              </w:pPr>
            </w:p>
            <w:sdt>
              <w:sdtPr>
                <w:alias w:val="poskyris"/>
                <w:tag w:val="part_3c00795544d747c98433850c09b71726"/>
                <w:lock w:val="sdtLocked"/>
                <w:richText/>
              </w:sdtPr>
              <w:sdtContent>
                <w:p>
                  <w:pPr>
                    <w:tabs>
                      <w:tab w:val="left" w:pos="6237"/>
                      <w:tab w:val="right" w:pos="8306"/>
                    </w:tabs>
                    <w:rPr>
                      <w:b/>
                      <w:bCs/>
                      <w:szCs w:val="24"/>
                      <w:lang w:eastAsia="lt-LT"/>
                    </w:rPr>
                  </w:pPr>
                  <w:sdt>
                    <w:sdtPr>
                      <w:alias w:val="Pavadinimas"/>
                      <w:tag w:val="title_3c00795544d747c98433850c09b71726"/>
                      <w:lock w:val="sdtLocked"/>
                      <w:richText/>
                    </w:sdtPr>
                    <w:sdtContent>
                      <w:r>
                        <w:rPr>
                          <w:b/>
                          <w:bCs/>
                          <w:szCs w:val="24"/>
                          <w:lang w:eastAsia="lt-LT"/>
                        </w:rPr>
                        <w:t>3 lentelė. Savivaldybės valdomų įmonių ir viešųjų įstaigų planuojami pasiekti pagrindiniai veiklos rodikliai ir jų reikšmės</w:t>
                      </w:r>
                    </w:sdtContent>
                  </w:sdt>
                </w:p>
                <w:tbl>
                  <w:tblPr>
                    <w:tblW w:w="102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1582"/>
                    <w:gridCol w:w="3927"/>
                    <w:gridCol w:w="1377"/>
                    <w:gridCol w:w="1377"/>
                    <w:gridCol w:w="1377"/>
                  </w:tblGrid>
                  <w:tr>
                    <w:tc>
                      <w:tcPr>
                        <w:tcW w:w="561" w:type="dxa"/>
                        <w:vMerge w:val="restart"/>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b/>
                            <w:bCs/>
                            <w:sz w:val="22"/>
                            <w:szCs w:val="22"/>
                            <w:lang w:eastAsia="lt-LT"/>
                          </w:rPr>
                        </w:pPr>
                        <w:r>
                          <w:rPr>
                            <w:b/>
                            <w:bCs/>
                            <w:sz w:val="22"/>
                            <w:szCs w:val="22"/>
                            <w:lang w:eastAsia="lt-LT"/>
                          </w:rPr>
                          <w:t>Eil. Nr.</w:t>
                        </w:r>
                      </w:p>
                    </w:tc>
                    <w:tc>
                      <w:tcPr>
                        <w:tcW w:w="1582" w:type="dxa"/>
                        <w:vMerge w:val="restart"/>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b/>
                            <w:bCs/>
                            <w:sz w:val="22"/>
                            <w:szCs w:val="22"/>
                            <w:lang w:eastAsia="lt-LT"/>
                          </w:rPr>
                        </w:pPr>
                        <w:r>
                          <w:rPr>
                            <w:b/>
                            <w:bCs/>
                            <w:sz w:val="22"/>
                            <w:szCs w:val="22"/>
                            <w:lang w:eastAsia="lt-LT"/>
                          </w:rPr>
                          <w:t>Savivaldybės valdomos įmonės ar viešosios įstaigos pavadinimas</w:t>
                        </w:r>
                      </w:p>
                    </w:tc>
                    <w:tc>
                      <w:tcPr>
                        <w:tcW w:w="3927" w:type="dxa"/>
                        <w:vMerge w:val="restart"/>
                        <w:tcBorders>
                          <w:top w:val="single" w:sz="4" w:space="0" w:color="auto"/>
                          <w:left w:val="single" w:sz="4" w:space="0" w:color="auto"/>
                          <w:bottom w:val="single" w:sz="4" w:space="0" w:color="auto"/>
                          <w:right w:val="single" w:sz="4" w:space="0" w:color="auto"/>
                        </w:tcBorders>
                        <w:shd w:val="clear" w:color="auto" w:fill="DBE5F1"/>
                        <w:vAlign w:val="center"/>
                      </w:tcPr>
                      <w:p>
                        <w:pPr>
                          <w:jc w:val="center"/>
                          <w:rPr>
                            <w:b/>
                            <w:bCs/>
                            <w:sz w:val="22"/>
                            <w:szCs w:val="22"/>
                            <w:lang w:eastAsia="lt-LT"/>
                          </w:rPr>
                        </w:pPr>
                        <w:r>
                          <w:rPr>
                            <w:b/>
                            <w:bCs/>
                            <w:sz w:val="22"/>
                            <w:szCs w:val="22"/>
                            <w:lang w:eastAsia="lt-LT"/>
                          </w:rPr>
                          <w:t xml:space="preserve">Rodiklio pavadinimas, matavimo vnt.  </w:t>
                        </w:r>
                      </w:p>
                    </w:tc>
                    <w:tc>
                      <w:tcPr>
                        <w:tcW w:w="4131" w:type="dxa"/>
                        <w:gridSpan w:val="3"/>
                        <w:tcBorders>
                          <w:top w:val="single" w:sz="4" w:space="0" w:color="auto"/>
                          <w:left w:val="single" w:sz="4" w:space="0" w:color="auto"/>
                          <w:bottom w:val="single" w:sz="4" w:space="0" w:color="auto"/>
                          <w:right w:val="single" w:sz="4" w:space="0" w:color="auto"/>
                        </w:tcBorders>
                        <w:shd w:val="clear" w:color="auto" w:fill="DBE5F1"/>
                      </w:tcPr>
                      <w:p>
                        <w:pPr>
                          <w:tabs>
                            <w:tab w:val="left" w:pos="6237"/>
                            <w:tab w:val="right" w:pos="8306"/>
                          </w:tabs>
                          <w:jc w:val="center"/>
                          <w:rPr>
                            <w:b/>
                            <w:bCs/>
                            <w:i/>
                            <w:sz w:val="22"/>
                            <w:szCs w:val="22"/>
                            <w:lang w:eastAsia="lt-LT"/>
                          </w:rPr>
                        </w:pPr>
                        <w:r>
                          <w:rPr>
                            <w:b/>
                            <w:bCs/>
                            <w:sz w:val="22"/>
                            <w:szCs w:val="22"/>
                            <w:lang w:eastAsia="lt-LT"/>
                          </w:rPr>
                          <w:t>Planuojamos rodiklių reikšmės</w:t>
                        </w:r>
                      </w:p>
                    </w:tc>
                  </w:tr>
                  <w:tr>
                    <w:tc>
                      <w:tcPr>
                        <w:tcW w:w="561" w:type="dxa"/>
                        <w:vMerge/>
                        <w:tcBorders>
                          <w:top w:val="single" w:sz="4" w:space="0" w:color="auto"/>
                          <w:left w:val="single" w:sz="4" w:space="0" w:color="auto"/>
                          <w:bottom w:val="single" w:sz="4" w:space="0" w:color="auto"/>
                          <w:right w:val="single" w:sz="4" w:space="0" w:color="auto"/>
                        </w:tcBorders>
                        <w:vAlign w:val="center"/>
                      </w:tcPr>
                      <w:p>
                        <w:pPr>
                          <w:rPr>
                            <w:b/>
                            <w:bCs/>
                            <w:sz w:val="22"/>
                            <w:szCs w:val="22"/>
                            <w:lang w:eastAsia="lt-LT"/>
                          </w:rPr>
                        </w:pPr>
                      </w:p>
                    </w:tc>
                    <w:tc>
                      <w:tcPr>
                        <w:tcW w:w="1582" w:type="dxa"/>
                        <w:vMerge/>
                        <w:tcBorders>
                          <w:top w:val="single" w:sz="4" w:space="0" w:color="auto"/>
                          <w:left w:val="single" w:sz="4" w:space="0" w:color="auto"/>
                          <w:bottom w:val="single" w:sz="4" w:space="0" w:color="auto"/>
                          <w:right w:val="single" w:sz="4" w:space="0" w:color="auto"/>
                        </w:tcBorders>
                        <w:vAlign w:val="center"/>
                      </w:tcPr>
                      <w:p>
                        <w:pPr>
                          <w:rPr>
                            <w:b/>
                            <w:bCs/>
                            <w:sz w:val="22"/>
                            <w:szCs w:val="22"/>
                            <w:lang w:eastAsia="lt-LT"/>
                          </w:rPr>
                        </w:pPr>
                      </w:p>
                    </w:tc>
                    <w:tc>
                      <w:tcPr>
                        <w:tcW w:w="3927" w:type="dxa"/>
                        <w:vMerge/>
                        <w:tcBorders>
                          <w:top w:val="single" w:sz="4" w:space="0" w:color="auto"/>
                          <w:left w:val="single" w:sz="4" w:space="0" w:color="auto"/>
                          <w:bottom w:val="single" w:sz="4" w:space="0" w:color="auto"/>
                          <w:right w:val="single" w:sz="4" w:space="0" w:color="auto"/>
                        </w:tcBorders>
                        <w:vAlign w:val="center"/>
                      </w:tcPr>
                      <w:p>
                        <w:pPr>
                          <w:rPr>
                            <w:b/>
                            <w:bCs/>
                            <w:sz w:val="22"/>
                            <w:szCs w:val="22"/>
                            <w:lang w:eastAsia="lt-LT"/>
                          </w:rPr>
                        </w:pPr>
                      </w:p>
                    </w:tc>
                    <w:tc>
                      <w:tcPr>
                        <w:tcW w:w="1377"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b/>
                            <w:bCs/>
                            <w:sz w:val="22"/>
                            <w:szCs w:val="22"/>
                            <w:lang w:eastAsia="lt-LT"/>
                          </w:rPr>
                        </w:pPr>
                        <w:r>
                          <w:rPr>
                            <w:b/>
                            <w:bCs/>
                            <w:sz w:val="22"/>
                            <w:szCs w:val="22"/>
                            <w:lang w:eastAsia="lt-LT"/>
                          </w:rPr>
                          <w:t>2026 metais</w:t>
                        </w:r>
                      </w:p>
                    </w:tc>
                    <w:tc>
                      <w:tcPr>
                        <w:tcW w:w="1377"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b/>
                            <w:bCs/>
                            <w:iCs/>
                            <w:sz w:val="22"/>
                            <w:szCs w:val="22"/>
                            <w:lang w:eastAsia="lt-LT"/>
                          </w:rPr>
                        </w:pPr>
                        <w:r>
                          <w:rPr>
                            <w:b/>
                            <w:bCs/>
                            <w:iCs/>
                            <w:sz w:val="22"/>
                            <w:szCs w:val="22"/>
                            <w:lang w:eastAsia="lt-LT"/>
                          </w:rPr>
                          <w:t>2027 metais</w:t>
                        </w:r>
                      </w:p>
                    </w:tc>
                    <w:tc>
                      <w:tcPr>
                        <w:tcW w:w="1377"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b/>
                            <w:bCs/>
                            <w:iCs/>
                            <w:sz w:val="22"/>
                            <w:szCs w:val="22"/>
                            <w:lang w:eastAsia="lt-LT"/>
                          </w:rPr>
                        </w:pPr>
                        <w:r>
                          <w:rPr>
                            <w:b/>
                            <w:bCs/>
                            <w:iCs/>
                            <w:sz w:val="22"/>
                            <w:szCs w:val="22"/>
                            <w:lang w:eastAsia="lt-LT"/>
                          </w:rPr>
                          <w:t>2028 metais</w:t>
                        </w:r>
                      </w:p>
                    </w:tc>
                  </w:tr>
                  <w:tr>
                    <w:tc>
                      <w:tcPr>
                        <w:tcW w:w="561"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sz w:val="22"/>
                            <w:szCs w:val="22"/>
                            <w:lang w:eastAsia="lt-LT"/>
                          </w:rPr>
                        </w:pPr>
                        <w:r>
                          <w:rPr>
                            <w:sz w:val="22"/>
                            <w:szCs w:val="22"/>
                            <w:lang w:eastAsia="lt-LT"/>
                          </w:rPr>
                          <w:t>1</w:t>
                        </w:r>
                      </w:p>
                    </w:tc>
                    <w:tc>
                      <w:tcPr>
                        <w:tcW w:w="1582"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sz w:val="22"/>
                            <w:szCs w:val="22"/>
                            <w:lang w:eastAsia="lt-LT"/>
                          </w:rPr>
                        </w:pPr>
                        <w:r>
                          <w:rPr>
                            <w:sz w:val="22"/>
                            <w:szCs w:val="22"/>
                            <w:lang w:eastAsia="lt-LT"/>
                          </w:rPr>
                          <w:t>2</w:t>
                        </w:r>
                      </w:p>
                    </w:tc>
                    <w:tc>
                      <w:tcPr>
                        <w:tcW w:w="3927"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sz w:val="22"/>
                            <w:szCs w:val="22"/>
                            <w:lang w:eastAsia="lt-LT"/>
                          </w:rPr>
                        </w:pPr>
                        <w:r>
                          <w:rPr>
                            <w:sz w:val="22"/>
                            <w:szCs w:val="22"/>
                            <w:lang w:eastAsia="lt-LT"/>
                          </w:rPr>
                          <w:t>3</w:t>
                        </w:r>
                      </w:p>
                    </w:tc>
                    <w:tc>
                      <w:tcPr>
                        <w:tcW w:w="1377" w:type="dxa"/>
                        <w:tcBorders>
                          <w:top w:val="single" w:sz="4" w:space="0" w:color="auto"/>
                          <w:left w:val="single" w:sz="4" w:space="0" w:color="auto"/>
                          <w:bottom w:val="single" w:sz="4" w:space="0" w:color="auto"/>
                          <w:right w:val="single" w:sz="4" w:space="0" w:color="auto"/>
                        </w:tcBorders>
                        <w:shd w:val="clear" w:color="auto" w:fill="DBE5F1"/>
                      </w:tcPr>
                      <w:p>
                        <w:pPr>
                          <w:tabs>
                            <w:tab w:val="left" w:pos="6237"/>
                            <w:tab w:val="right" w:pos="8306"/>
                          </w:tabs>
                          <w:jc w:val="center"/>
                          <w:rPr>
                            <w:sz w:val="22"/>
                            <w:szCs w:val="22"/>
                            <w:lang w:eastAsia="lt-LT"/>
                          </w:rPr>
                        </w:pPr>
                        <w:r>
                          <w:rPr>
                            <w:sz w:val="22"/>
                            <w:szCs w:val="22"/>
                            <w:lang w:eastAsia="lt-LT"/>
                          </w:rPr>
                          <w:t>4</w:t>
                        </w:r>
                      </w:p>
                    </w:tc>
                    <w:tc>
                      <w:tcPr>
                        <w:tcW w:w="1377"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sz w:val="22"/>
                            <w:szCs w:val="22"/>
                            <w:lang w:eastAsia="lt-LT"/>
                          </w:rPr>
                        </w:pPr>
                        <w:r>
                          <w:rPr>
                            <w:sz w:val="22"/>
                            <w:szCs w:val="22"/>
                            <w:lang w:eastAsia="lt-LT"/>
                          </w:rPr>
                          <w:t>5</w:t>
                        </w:r>
                      </w:p>
                    </w:tc>
                    <w:tc>
                      <w:tcPr>
                        <w:tcW w:w="1377" w:type="dxa"/>
                        <w:tcBorders>
                          <w:top w:val="single" w:sz="4" w:space="0" w:color="auto"/>
                          <w:left w:val="single" w:sz="4" w:space="0" w:color="auto"/>
                          <w:bottom w:val="single" w:sz="4" w:space="0" w:color="auto"/>
                          <w:right w:val="single" w:sz="4" w:space="0" w:color="auto"/>
                        </w:tcBorders>
                        <w:shd w:val="clear" w:color="auto" w:fill="DBE5F1"/>
                        <w:vAlign w:val="center"/>
                      </w:tcPr>
                      <w:p>
                        <w:pPr>
                          <w:tabs>
                            <w:tab w:val="left" w:pos="6237"/>
                            <w:tab w:val="right" w:pos="8306"/>
                          </w:tabs>
                          <w:jc w:val="center"/>
                          <w:rPr>
                            <w:sz w:val="22"/>
                            <w:szCs w:val="22"/>
                            <w:lang w:eastAsia="lt-LT"/>
                          </w:rPr>
                        </w:pPr>
                        <w:r>
                          <w:rPr>
                            <w:sz w:val="22"/>
                            <w:szCs w:val="22"/>
                            <w:lang w:eastAsia="lt-LT"/>
                          </w:rPr>
                          <w:t>6</w:t>
                        </w:r>
                      </w:p>
                    </w:tc>
                  </w:tr>
                  <w:tr>
                    <w:tc>
                      <w:tcPr>
                        <w:tcW w:w="10201" w:type="dxa"/>
                        <w:gridSpan w:val="6"/>
                        <w:tcBorders>
                          <w:top w:val="single" w:sz="4" w:space="0" w:color="auto"/>
                          <w:left w:val="single" w:sz="4" w:space="0" w:color="auto"/>
                          <w:bottom w:val="single" w:sz="4" w:space="0" w:color="auto"/>
                          <w:right w:val="single" w:sz="4" w:space="0" w:color="auto"/>
                        </w:tcBorders>
                      </w:tcPr>
                      <w:p>
                        <w:pPr>
                          <w:tabs>
                            <w:tab w:val="center" w:pos="-7800"/>
                            <w:tab w:val="left" w:pos="6237"/>
                            <w:tab w:val="right" w:pos="8306"/>
                          </w:tabs>
                          <w:jc w:val="center"/>
                          <w:rPr>
                            <w:b/>
                            <w:bCs/>
                            <w:i/>
                            <w:iCs/>
                            <w:color w:val="ED0000"/>
                            <w:sz w:val="22"/>
                            <w:szCs w:val="22"/>
                            <w:lang w:eastAsia="lt-LT"/>
                          </w:rPr>
                        </w:pPr>
                        <w:r>
                          <w:rPr>
                            <w:b/>
                            <w:bCs/>
                            <w:i/>
                            <w:iCs/>
                            <w:sz w:val="22"/>
                            <w:szCs w:val="22"/>
                            <w:lang w:eastAsia="lt-LT"/>
                          </w:rPr>
                          <w:t>Savivaldybės valdomų įmonių planuojami pasiekti pagrindiniai veiklos rodikliai ir jų reikšmės</w:t>
                        </w:r>
                      </w:p>
                    </w:tc>
                  </w:tr>
                  <w:tr>
                    <w:trPr>
                      <w:trHeight w:val="1349"/>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color w:val="212121"/>
                            <w:sz w:val="22"/>
                            <w:szCs w:val="22"/>
                            <w:lang w:eastAsia="lt-LT"/>
                          </w:rPr>
                        </w:pPr>
                        <w:r>
                          <w:rPr>
                            <w:b/>
                            <w:bCs/>
                            <w:color w:val="212121"/>
                            <w:sz w:val="22"/>
                            <w:szCs w:val="22"/>
                            <w:lang w:eastAsia="lt-LT"/>
                          </w:rPr>
                          <w:t>1.</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Uždaroji akcinė bendrovė Telšių autobusų parkas</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Bendrasis pelningumas, proc. (komercinė dalis) ((pardavimų pajamos komercinė dalis – pardavimų savikaina komercinė dalis) / pardavimų pajamos komercinė dalis)*100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b/>
                            <w:bCs/>
                            <w:sz w:val="22"/>
                            <w:szCs w:val="22"/>
                            <w:lang w:eastAsia="lt-LT"/>
                          </w:rPr>
                          <w:t xml:space="preserve">≥ </w:t>
                        </w:r>
                        <w:r>
                          <w:rPr>
                            <w:sz w:val="22"/>
                            <w:szCs w:val="22"/>
                            <w:lang w:eastAsia="lt-LT"/>
                          </w:rPr>
                          <w:t>10,0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 10,0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 10,0</w:t>
                        </w:r>
                      </w:p>
                    </w:tc>
                  </w:tr>
                  <w:tr>
                    <w:trPr>
                      <w:trHeight w:val="663"/>
                    </w:trPr>
                    <w:tc>
                      <w:tcPr>
                        <w:tcW w:w="561" w:type="dxa"/>
                        <w:vMerge/>
                        <w:tcBorders>
                          <w:left w:val="single" w:sz="4" w:space="0" w:color="auto"/>
                          <w:right w:val="single" w:sz="4" w:space="0" w:color="auto"/>
                        </w:tcBorders>
                      </w:tcPr>
                      <w:p>
                        <w:pPr>
                          <w:tabs>
                            <w:tab w:val="left" w:pos="6237"/>
                            <w:tab w:val="right" w:pos="8306"/>
                          </w:tabs>
                          <w:jc w:val="center"/>
                          <w:rPr>
                            <w:color w:val="212121"/>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Grynasis pelningumas, proc. (grynasis pelnas / pardavimų pajamos) *100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xml:space="preserve">≥ 3,0  </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xml:space="preserve">3,0  </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3,5</w:t>
                        </w:r>
                      </w:p>
                    </w:tc>
                  </w:tr>
                  <w:tr>
                    <w:trPr>
                      <w:trHeight w:val="857"/>
                    </w:trPr>
                    <w:tc>
                      <w:tcPr>
                        <w:tcW w:w="561" w:type="dxa"/>
                        <w:vMerge/>
                        <w:tcBorders>
                          <w:left w:val="single" w:sz="4" w:space="0" w:color="auto"/>
                          <w:right w:val="single" w:sz="4" w:space="0" w:color="auto"/>
                        </w:tcBorders>
                      </w:tcPr>
                      <w:p>
                        <w:pPr>
                          <w:tabs>
                            <w:tab w:val="left" w:pos="6237"/>
                            <w:tab w:val="right" w:pos="8306"/>
                          </w:tabs>
                          <w:jc w:val="center"/>
                          <w:rPr>
                            <w:color w:val="212121"/>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Nuosavo kapitalo pelningumo rodiklis (ROE) (proc.) (grynasis pelnas / nuosavas kapitalas)*100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3,0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3,2</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3,5</w:t>
                        </w:r>
                      </w:p>
                    </w:tc>
                  </w:tr>
                  <w:tr>
                    <w:trPr>
                      <w:trHeight w:val="653"/>
                    </w:trPr>
                    <w:tc>
                      <w:tcPr>
                        <w:tcW w:w="561" w:type="dxa"/>
                        <w:vMerge/>
                        <w:tcBorders>
                          <w:left w:val="single" w:sz="4" w:space="0" w:color="auto"/>
                          <w:right w:val="single" w:sz="4" w:space="0" w:color="auto"/>
                        </w:tcBorders>
                      </w:tcPr>
                      <w:p>
                        <w:pPr>
                          <w:tabs>
                            <w:tab w:val="left" w:pos="6237"/>
                            <w:tab w:val="right" w:pos="8306"/>
                          </w:tabs>
                          <w:jc w:val="center"/>
                          <w:rPr>
                            <w:color w:val="212121"/>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Turto pelningumo rodiklis (ROA) (proc.) (grynasis pelnas / turtas)*100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2,5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2,5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2,5</w:t>
                        </w:r>
                      </w:p>
                    </w:tc>
                  </w:tr>
                  <w:tr>
                    <w:trPr>
                      <w:trHeight w:val="87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Įsipareigojimų ir turto santykis arba įsiskolinimo koeficientas (visi įsipareigojimai / turtas)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0,55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0,55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0,55</w:t>
                        </w:r>
                      </w:p>
                    </w:tc>
                  </w:tr>
                  <w:tr>
                    <w:trPr>
                      <w:trHeight w:val="84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Einamojo likvidumo rodiklis (trumpalaikis turtas / trumpalaikiai įsipareigojimai)</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1,2‒2,0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1,2‒2,0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1,2‒2,0</w:t>
                        </w:r>
                      </w:p>
                    </w:tc>
                  </w:tr>
                  <w:tr>
                    <w:trPr>
                      <w:trHeight w:val="34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Laiku vykdomų reisų dalis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95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95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95</w:t>
                        </w:r>
                      </w:p>
                    </w:tc>
                  </w:tr>
                  <w:tr>
                    <w:trPr>
                      <w:trHeight w:val="1176"/>
                    </w:trPr>
                    <w:tc>
                      <w:tcPr>
                        <w:tcW w:w="561"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Bendras paslaugų vertinimas (klientų apklausa, 10 balų skalė, atliekama ne rečiau kaip kartą per dvejus metus Akcininko užsakymu)</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sym w:font="Symbol" w:char="F02D"/>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 8,3</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sym w:font="Symbol" w:char="F02D"/>
                        </w:r>
                      </w:p>
                    </w:tc>
                  </w:tr>
                  <w:tr>
                    <w:trPr>
                      <w:trHeight w:val="640"/>
                    </w:trPr>
                    <w:tc>
                      <w:tcPr>
                        <w:tcW w:w="561"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 xml:space="preserve">Vietinio ir tolimojo susisiekimo maršrutų duomenų suvedimas ir (ar) atnaujinimas                          Viešojo transporto kelionių duomenų informacinėje sistemoje (VINTRA) (proc.)</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100</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100</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100</w:t>
                        </w:r>
                      </w:p>
                    </w:tc>
                  </w:tr>
                  <w:tr>
                    <w:trPr>
                      <w:trHeight w:val="1330"/>
                    </w:trPr>
                    <w:tc>
                      <w:tcPr>
                        <w:tcW w:w="561"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Viešai skelbiami planavimo dokumentai ir finansinės ataskaitos, specialiųjų įpareigojimų atskleidimas (proc.)</w:t>
                        </w:r>
                      </w:p>
                    </w:tc>
                    <w:tc>
                      <w:tcPr>
                        <w:tcW w:w="1377" w:type="dxa"/>
                        <w:tcBorders>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100</w:t>
                        </w:r>
                      </w:p>
                    </w:tc>
                    <w:tc>
                      <w:tcPr>
                        <w:tcW w:w="1377" w:type="dxa"/>
                        <w:tcBorders>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100</w:t>
                        </w:r>
                      </w:p>
                    </w:tc>
                    <w:tc>
                      <w:tcPr>
                        <w:tcW w:w="1377" w:type="dxa"/>
                        <w:tcBorders>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100</w:t>
                        </w:r>
                      </w:p>
                    </w:tc>
                  </w:tr>
                  <w:tr>
                    <w:trPr>
                      <w:trHeight w:val="2688"/>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color w:val="ED0000"/>
                            <w:sz w:val="22"/>
                            <w:szCs w:val="22"/>
                            <w:lang w:eastAsia="lt-LT"/>
                          </w:rPr>
                        </w:pPr>
                        <w:r>
                          <w:rPr>
                            <w:b/>
                            <w:bCs/>
                            <w:sz w:val="22"/>
                            <w:szCs w:val="22"/>
                            <w:lang w:eastAsia="lt-LT"/>
                          </w:rPr>
                          <w:t>2.</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color w:val="ED0000"/>
                            <w:sz w:val="22"/>
                            <w:szCs w:val="22"/>
                            <w:lang w:eastAsia="lt-LT"/>
                          </w:rPr>
                        </w:pPr>
                        <w:r>
                          <w:rPr>
                            <w:b/>
                            <w:bCs/>
                            <w:sz w:val="22"/>
                            <w:szCs w:val="22"/>
                            <w:lang w:eastAsia="lt-LT"/>
                          </w:rPr>
                          <w:t>Uždaroji akcinė bendrovė „Telšių vandenys“</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 xml:space="preserve">Geriamojo vandens tiekimo ir nuotekų  tvarkymo paslaugų kaina</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Patekti tarp 50 proc. geriamojo vandens ir nuotekų tvarkymo paslaugų tiekėjų, užtikrinančių mažiausias kainas</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Patekti tarp 50 proc. geriamojo vandens ir nuotekų tvarkymo paslaugų tiekėjų, užtikrinančių mažiausias kainas</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Patekti tarp 50 proc. geriamojo vandens ir nuotekų tvarkymo paslaugų tiekėjų, užtikrinančių mažiausias kainas</w:t>
                        </w:r>
                      </w:p>
                    </w:tc>
                  </w:tr>
                  <w:tr>
                    <w:trPr>
                      <w:trHeight w:val="79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Vandens nuostolių mažinimas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 proc.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 proc.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 proc. kasmet</w:t>
                        </w:r>
                      </w:p>
                    </w:tc>
                  </w:tr>
                  <w:tr>
                    <w:trPr>
                      <w:trHeight w:val="84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Nuotekų infiltracijos mažinimas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1,3 proc.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1,3 proc.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1,3 proc. kasmet</w:t>
                        </w:r>
                      </w:p>
                    </w:tc>
                  </w:tr>
                  <w:tr>
                    <w:trPr>
                      <w:trHeight w:val="138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Gyventojų pasitikėjimo ir pasitenkinimo Bendrovės teikiamomis paslaugomis reitingo augimas – Savivaldybės administracijos vykdomas gyventojų nuomonės tyrimas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4 proc. kas dvejus metus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4 proc. kas dvejus metus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4 proc. kas dvejus metus</w:t>
                        </w:r>
                      </w:p>
                    </w:tc>
                  </w:tr>
                  <w:tr>
                    <w:trPr>
                      <w:trHeight w:val="1713"/>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Aukštą pridėtinę vertę kuriančios darbo jėgos pritraukimas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Bendrovės bendro vidutinio darbo užmokesčio augimas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Bendrovės bendro vidutinio darbo užmokesčio augimas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Bendrovės bendro vidutinio darbo užmokesčio augimas</w:t>
                        </w:r>
                      </w:p>
                    </w:tc>
                  </w:tr>
                  <w:tr>
                    <w:trPr>
                      <w:trHeight w:val="41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Grynasis pelningumas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w:t>
                        </w:r>
                      </w:p>
                    </w:tc>
                  </w:tr>
                  <w:tr>
                    <w:trPr>
                      <w:trHeight w:val="41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Nuosavo kapitalo grąža (ROE)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0,2</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0,2</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0,2</w:t>
                        </w:r>
                      </w:p>
                    </w:tc>
                  </w:tr>
                  <w:tr>
                    <w:trPr>
                      <w:trHeight w:val="55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Finansinių skolų ir nuosavo kapitalo santykis (D/E)</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0,7</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0,7</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0,7</w:t>
                        </w:r>
                      </w:p>
                    </w:tc>
                  </w:tr>
                  <w:tr>
                    <w:trPr>
                      <w:trHeight w:val="553"/>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Dividendai</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Gali būti skaičiuojami</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Gali būti skaičiuojami</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Gali būti skaičiuojami</w:t>
                        </w:r>
                      </w:p>
                    </w:tc>
                  </w:tr>
                  <w:tr>
                    <w:trPr>
                      <w:trHeight w:val="468"/>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3.</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Uždaroji akcinė bendrovė „Telšių šilumos tinklai“</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Pardavimo pajamų, tenkančių vienam darbuotojui, stabilumas ir / ar didėjimas</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&gt;= 0</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&gt;= 0</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&gt;= 0</w:t>
                        </w:r>
                      </w:p>
                    </w:tc>
                  </w:tr>
                  <w:tr>
                    <w:trPr>
                      <w:trHeight w:val="415"/>
                    </w:trPr>
                    <w:tc>
                      <w:tcPr>
                        <w:tcW w:w="561" w:type="dxa"/>
                        <w:vMerge/>
                        <w:tcBorders>
                          <w:left w:val="single" w:sz="4" w:space="0" w:color="auto"/>
                          <w:right w:val="single" w:sz="4" w:space="0" w:color="auto"/>
                        </w:tcBorders>
                      </w:tcPr>
                      <w:p>
                        <w:pPr>
                          <w:tabs>
                            <w:tab w:val="left" w:pos="6237"/>
                            <w:tab w:val="right" w:pos="8306"/>
                          </w:tabs>
                          <w:jc w:val="center"/>
                          <w:rPr>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Grynasis pelningumas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2,5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2,5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2,5 proc.</w:t>
                        </w:r>
                      </w:p>
                    </w:tc>
                  </w:tr>
                  <w:tr>
                    <w:trPr>
                      <w:trHeight w:val="413"/>
                    </w:trPr>
                    <w:tc>
                      <w:tcPr>
                        <w:tcW w:w="561" w:type="dxa"/>
                        <w:vMerge/>
                        <w:tcBorders>
                          <w:left w:val="single" w:sz="4" w:space="0" w:color="auto"/>
                          <w:right w:val="single" w:sz="4" w:space="0" w:color="auto"/>
                        </w:tcBorders>
                      </w:tcPr>
                      <w:p>
                        <w:pPr>
                          <w:tabs>
                            <w:tab w:val="left" w:pos="6237"/>
                            <w:tab w:val="right" w:pos="8306"/>
                          </w:tabs>
                          <w:jc w:val="center"/>
                          <w:rPr>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Einamojo likvidumo koeficientas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w:t>
                        </w:r>
                      </w:p>
                    </w:tc>
                  </w:tr>
                  <w:tr>
                    <w:trPr>
                      <w:trHeight w:val="406"/>
                    </w:trPr>
                    <w:tc>
                      <w:tcPr>
                        <w:tcW w:w="561" w:type="dxa"/>
                        <w:vMerge/>
                        <w:tcBorders>
                          <w:left w:val="single" w:sz="4" w:space="0" w:color="auto"/>
                          <w:right w:val="single" w:sz="4" w:space="0" w:color="auto"/>
                        </w:tcBorders>
                      </w:tcPr>
                      <w:p>
                        <w:pPr>
                          <w:tabs>
                            <w:tab w:val="left" w:pos="6237"/>
                            <w:tab w:val="right" w:pos="8306"/>
                          </w:tabs>
                          <w:jc w:val="center"/>
                          <w:rPr>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Nuosavybės koeficientas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0,6</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0,6</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0,6</w:t>
                        </w:r>
                      </w:p>
                    </w:tc>
                  </w:tr>
                  <w:tr>
                    <w:trPr>
                      <w:trHeight w:val="560"/>
                    </w:trPr>
                    <w:tc>
                      <w:tcPr>
                        <w:tcW w:w="561" w:type="dxa"/>
                        <w:vMerge/>
                        <w:tcBorders>
                          <w:left w:val="single" w:sz="4" w:space="0" w:color="auto"/>
                          <w:right w:val="single" w:sz="4" w:space="0" w:color="auto"/>
                        </w:tcBorders>
                      </w:tcPr>
                      <w:p>
                        <w:pPr>
                          <w:tabs>
                            <w:tab w:val="left" w:pos="6237"/>
                            <w:tab w:val="right" w:pos="8306"/>
                          </w:tabs>
                          <w:jc w:val="center"/>
                          <w:rPr>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Pirkėjų įsiskolinimo apyvartumas (dienomis)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&lt; 60 dienų</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&lt; 60 dienų</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&lt; 60 dienų</w:t>
                        </w:r>
                      </w:p>
                    </w:tc>
                  </w:tr>
                  <w:tr>
                    <w:trPr>
                      <w:trHeight w:val="697"/>
                    </w:trPr>
                    <w:tc>
                      <w:tcPr>
                        <w:tcW w:w="561" w:type="dxa"/>
                        <w:vMerge/>
                        <w:tcBorders>
                          <w:left w:val="single" w:sz="4" w:space="0" w:color="auto"/>
                          <w:right w:val="single" w:sz="4" w:space="0" w:color="auto"/>
                        </w:tcBorders>
                      </w:tcPr>
                      <w:p>
                        <w:pPr>
                          <w:tabs>
                            <w:tab w:val="left" w:pos="6237"/>
                            <w:tab w:val="right" w:pos="8306"/>
                          </w:tabs>
                          <w:jc w:val="center"/>
                          <w:rPr>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Papildomų išorės finansavimo šaltinų pritraukimas investicijoms vykdyti</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100 000 Eur</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100 000 Eur</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100 000 Eur</w:t>
                        </w:r>
                      </w:p>
                    </w:tc>
                  </w:tr>
                  <w:tr>
                    <w:trPr>
                      <w:trHeight w:val="690"/>
                    </w:trPr>
                    <w:tc>
                      <w:tcPr>
                        <w:tcW w:w="561" w:type="dxa"/>
                        <w:vMerge/>
                        <w:tcBorders>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p>
                    </w:tc>
                    <w:tc>
                      <w:tcPr>
                        <w:tcW w:w="1582" w:type="dxa"/>
                        <w:vMerge/>
                        <w:tcBorders>
                          <w:left w:val="single" w:sz="4" w:space="0" w:color="auto"/>
                          <w:bottom w:val="single" w:sz="4" w:space="0" w:color="auto"/>
                          <w:right w:val="single" w:sz="4" w:space="0" w:color="auto"/>
                        </w:tcBorders>
                      </w:tcPr>
                      <w:p>
                        <w:pPr>
                          <w:tabs>
                            <w:tab w:val="left" w:pos="6237"/>
                            <w:tab w:val="right" w:pos="8306"/>
                          </w:tabs>
                          <w:jc w:val="center"/>
                          <w:rPr>
                            <w:b/>
                            <w:bCs/>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Darbuotojų atlyginimų vidurkio augimas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&gt; 1 proc.</w:t>
                        </w:r>
                      </w:p>
                    </w:tc>
                  </w:tr>
                  <w:tr>
                    <w:trPr>
                      <w:trHeight w:val="845"/>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color w:val="ED0000"/>
                            <w:sz w:val="22"/>
                            <w:szCs w:val="22"/>
                            <w:lang w:eastAsia="lt-LT"/>
                          </w:rPr>
                        </w:pPr>
                        <w:r>
                          <w:rPr>
                            <w:b/>
                            <w:bCs/>
                            <w:color w:val="212121"/>
                            <w:sz w:val="22"/>
                            <w:szCs w:val="22"/>
                            <w:lang w:eastAsia="lt-LT"/>
                          </w:rPr>
                          <w:t>4.</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color w:val="ED0000"/>
                            <w:sz w:val="22"/>
                            <w:szCs w:val="22"/>
                            <w:lang w:eastAsia="lt-LT"/>
                          </w:rPr>
                        </w:pPr>
                        <w:r>
                          <w:rPr>
                            <w:b/>
                            <w:bCs/>
                            <w:color w:val="212121"/>
                            <w:sz w:val="22"/>
                            <w:szCs w:val="22"/>
                            <w:lang w:eastAsia="lt-LT"/>
                          </w:rPr>
                          <w:t>Uždaroji akcinė bendrovė Telšių butų ūkis</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Bendrovės administruojamų namų Telšių rajone skaičiaus didėjimas, lyginant su praėjusiais metais, proc.</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Ne mažiau kaip 3 proc. kasmet</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Ne mažiau kaip 3 proc. kasmet</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Ne mažiau kaip 3 proc. kasmet</w:t>
                        </w:r>
                      </w:p>
                    </w:tc>
                  </w:tr>
                  <w:tr>
                    <w:trPr>
                      <w:trHeight w:val="55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Savivaldybės ir socialinių būstų gyventojų, kurie nesilaiko būsto nuomos sutarčių nuostatų, skaičiaus mažėjimas,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8 proc.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8 proc.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8 proc. kasmet</w:t>
                        </w:r>
                      </w:p>
                    </w:tc>
                  </w:tr>
                  <w:tr>
                    <w:trPr>
                      <w:trHeight w:val="67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Modernizuotų daugiabučių namų skaičiaus didėjimas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4 vnt.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4 vnt.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4 vnt.</w:t>
                        </w:r>
                      </w:p>
                    </w:tc>
                  </w:tr>
                  <w:tr>
                    <w:trPr>
                      <w:trHeight w:val="84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Bendrovės modernizavimo įgyvendintų priemonių skaičius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 kasmet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1 kasmet</w:t>
                        </w:r>
                      </w:p>
                    </w:tc>
                  </w:tr>
                  <w:tr>
                    <w:trPr>
                      <w:trHeight w:val="142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Gyventojų pasitikėjimo ir pasitenkinimo Bendrovės teikiamomis paslaugomis reitingo augimas – Savivaldybės administracijos vykdomas gyventojų nuomonės tyrimas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4 proc. kas dvejus metus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4 proc. kas dvejus metus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Ne mažiau kaip 4 proc. kas dvejus metus</w:t>
                        </w:r>
                      </w:p>
                    </w:tc>
                  </w:tr>
                  <w:tr>
                    <w:trPr>
                      <w:trHeight w:val="83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 xml:space="preserve">Grynasis pelningumas.  (Nuostolių mažinimas, lyginant su parėjusiais metais)  </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2–3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2–3 proc.</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2–3 proc.</w:t>
                        </w:r>
                      </w:p>
                    </w:tc>
                  </w:tr>
                  <w:tr>
                    <w:trPr>
                      <w:trHeight w:val="70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Pirkėjų įsiskolinimo apyvartumas (dienomis)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60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60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60</w:t>
                        </w:r>
                      </w:p>
                    </w:tc>
                  </w:tr>
                  <w:tr>
                    <w:trPr>
                      <w:trHeight w:val="55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2"/>
                            <w:szCs w:val="22"/>
                            <w:lang w:eastAsia="lt-LT"/>
                          </w:rPr>
                        </w:pPr>
                        <w:r>
                          <w:rPr>
                            <w:sz w:val="22"/>
                            <w:szCs w:val="22"/>
                            <w:lang w:eastAsia="lt-LT"/>
                          </w:rPr>
                          <w:t>Bendrovės bendro vidutinio darbo užmokesčio augimas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4 proc. per metus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4 proc. per metus</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 4 proc. per metus</w:t>
                        </w:r>
                      </w:p>
                    </w:tc>
                  </w:tr>
                  <w:tr>
                    <w:tc>
                      <w:tcPr>
                        <w:tcW w:w="10201" w:type="dxa"/>
                        <w:gridSpan w:val="6"/>
                        <w:tcBorders>
                          <w:top w:val="single" w:sz="4" w:space="0" w:color="auto"/>
                          <w:left w:val="single" w:sz="4" w:space="0" w:color="auto"/>
                          <w:bottom w:val="single" w:sz="4" w:space="0" w:color="auto"/>
                          <w:right w:val="single" w:sz="4" w:space="0" w:color="auto"/>
                        </w:tcBorders>
                      </w:tcPr>
                      <w:p>
                        <w:pPr>
                          <w:tabs>
                            <w:tab w:val="center" w:pos="-7800"/>
                            <w:tab w:val="left" w:pos="6237"/>
                            <w:tab w:val="right" w:pos="8306"/>
                          </w:tabs>
                          <w:jc w:val="center"/>
                          <w:rPr>
                            <w:b/>
                            <w:bCs/>
                            <w:i/>
                            <w:iCs/>
                            <w:sz w:val="22"/>
                            <w:szCs w:val="22"/>
                            <w:lang w:eastAsia="lt-LT"/>
                          </w:rPr>
                        </w:pPr>
                        <w:r>
                          <w:rPr>
                            <w:b/>
                            <w:bCs/>
                            <w:i/>
                            <w:iCs/>
                            <w:sz w:val="22"/>
                            <w:szCs w:val="22"/>
                            <w:lang w:eastAsia="lt-LT"/>
                          </w:rPr>
                          <w:t>Viešųjų įstaigų planuojami pasiekti pagrindiniai veiklos rodikliai ir jų reikšmės</w:t>
                        </w:r>
                      </w:p>
                    </w:tc>
                  </w:tr>
                  <w:tr>
                    <w:trPr>
                      <w:trHeight w:val="217"/>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5.</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Viešoji įstaiga Žemaitijos turizmo informacijos centras</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Uždirbtos pajamos per metus (Eur)</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40 000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45 000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50 000</w:t>
                        </w:r>
                      </w:p>
                    </w:tc>
                  </w:tr>
                  <w:tr>
                    <w:trPr>
                      <w:trHeight w:val="34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Suteikta gido paslaugų (grupių sk.) </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500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550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550</w:t>
                        </w:r>
                      </w:p>
                    </w:tc>
                  </w:tr>
                  <w:tr>
                    <w:trPr>
                      <w:trHeight w:val="338"/>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Pravesti edukaciniai užsiėmimai (vnt.)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120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130</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130</w:t>
                        </w:r>
                      </w:p>
                    </w:tc>
                  </w:tr>
                  <w:tr>
                    <w:trPr>
                      <w:trHeight w:val="568"/>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Telšių rajono atstovavimas turizmo parodose ir šventėse (vnt.) </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4</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7</w:t>
                        </w:r>
                      </w:p>
                    </w:tc>
                  </w:tr>
                  <w:tr>
                    <w:trPr>
                      <w:trHeight w:val="615"/>
                    </w:trPr>
                    <w:tc>
                      <w:tcPr>
                        <w:tcW w:w="561" w:type="dxa"/>
                        <w:vMerge/>
                        <w:tcBorders>
                          <w:left w:val="single" w:sz="4" w:space="0" w:color="auto"/>
                          <w:bottom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bottom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Parengti projektai papildomam finansavimui gauti</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5</w:t>
                        </w:r>
                      </w:p>
                    </w:tc>
                  </w:tr>
                  <w:tr>
                    <w:trPr>
                      <w:trHeight w:val="1068"/>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6.</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VšĮ Žemaitijos verslo centras</w:t>
                        </w:r>
                      </w:p>
                    </w:tc>
                    <w:tc>
                      <w:tcPr>
                        <w:tcW w:w="3927" w:type="dxa"/>
                        <w:tcBorders>
                          <w:top w:val="single" w:sz="4" w:space="0" w:color="auto"/>
                          <w:left w:val="single" w:sz="4" w:space="0" w:color="auto"/>
                          <w:right w:val="single" w:sz="4" w:space="0" w:color="auto"/>
                        </w:tcBorders>
                      </w:tcPr>
                      <w:p>
                        <w:pPr>
                          <w:spacing w:line="259" w:lineRule="auto"/>
                          <w:rPr>
                            <w:sz w:val="22"/>
                            <w:szCs w:val="22"/>
                            <w:lang w:eastAsia="lt-LT"/>
                          </w:rPr>
                        </w:pPr>
                        <w:r>
                          <w:rPr>
                            <w:sz w:val="22"/>
                            <w:szCs w:val="22"/>
                            <w:lang w:eastAsia="lt-LT"/>
                          </w:rPr>
                          <w:t>Mentorystės, individualių konsultacijų ir kitas pagal poreikį paslaugas gavusių jaunų smulkiojo ir vidutinio verslo atstovų skaičius (vnt.)</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 50</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 20</w:t>
                        </w:r>
                      </w:p>
                    </w:tc>
                    <w:tc>
                      <w:tcPr>
                        <w:tcW w:w="1377" w:type="dxa"/>
                        <w:tcBorders>
                          <w:top w:val="single" w:sz="4" w:space="0" w:color="auto"/>
                          <w:left w:val="single" w:sz="4" w:space="0" w:color="auto"/>
                          <w:right w:val="single" w:sz="4" w:space="0" w:color="auto"/>
                        </w:tcBorders>
                        <w:vAlign w:val="center"/>
                      </w:tcPr>
                      <w:p>
                        <w:pPr>
                          <w:tabs>
                            <w:tab w:val="left" w:pos="6237"/>
                            <w:tab w:val="right" w:pos="8306"/>
                          </w:tabs>
                          <w:spacing w:line="259" w:lineRule="auto"/>
                          <w:jc w:val="center"/>
                          <w:rPr>
                            <w:sz w:val="22"/>
                            <w:szCs w:val="22"/>
                            <w:lang w:eastAsia="lt-LT"/>
                          </w:rPr>
                        </w:pPr>
                        <w:r>
                          <w:rPr>
                            <w:sz w:val="22"/>
                            <w:szCs w:val="22"/>
                            <w:lang w:eastAsia="lt-LT"/>
                          </w:rPr>
                          <w:t>≥ 25</w:t>
                        </w:r>
                      </w:p>
                    </w:tc>
                  </w:tr>
                  <w:tr>
                    <w:trPr>
                      <w:trHeight w:val="66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Inkubavimo paslaugas gavusių smulkiojo ir vidutinio verslo subjektų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14</w:t>
                        </w:r>
                      </w:p>
                    </w:tc>
                  </w:tr>
                  <w:tr>
                    <w:trPr>
                      <w:trHeight w:val="82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Paslaugas gavusių subjektų veiklos tęstinumas (išgyvenamumas) 1 m. po pagalbos suteikimo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85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90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95</w:t>
                        </w:r>
                      </w:p>
                    </w:tc>
                  </w:tr>
                  <w:tr>
                    <w:trPr>
                      <w:trHeight w:val="55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Asmenų, įsigijusių verslo liudijimą po konsultacijų suteikimo,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24</w:t>
                        </w:r>
                      </w:p>
                    </w:tc>
                  </w:tr>
                  <w:tr>
                    <w:trPr>
                      <w:trHeight w:val="507"/>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Smulkiojo ir vidutinio verslo įmonių, pasinaudojusių plėtros konsultacijomis, skaičius</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60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62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65</w:t>
                        </w:r>
                      </w:p>
                    </w:tc>
                  </w:tr>
                  <w:tr>
                    <w:trPr>
                      <w:trHeight w:val="42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Sukurtų naujų darbo vietų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15</w:t>
                        </w:r>
                      </w:p>
                    </w:tc>
                  </w:tr>
                  <w:tr>
                    <w:trPr>
                      <w:trHeight w:val="837"/>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Verslo dienai paminėti skirto renginio, organizuoto verslo bendruomenei, dalyvių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100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110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115</w:t>
                        </w:r>
                      </w:p>
                    </w:tc>
                  </w:tr>
                  <w:tr>
                    <w:trPr>
                      <w:trHeight w:val="56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Užmegztų naujų partnerysčių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r>
                  <w:tr>
                    <w:trPr>
                      <w:trHeight w:val="553"/>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Įgyvendintų jaunimo verslumo skatinimo iniciatyvų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r>
                  <w:tr>
                    <w:trPr>
                      <w:trHeight w:val="837"/>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Informacijos sklaidos priemonės apie Žemaitijos verslo centre teikiamas paslaugas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40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40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40</w:t>
                        </w:r>
                      </w:p>
                    </w:tc>
                  </w:tr>
                  <w:tr>
                    <w:trPr>
                      <w:trHeight w:val="55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Suorganizuotų motyvacinių seminarų, mokymų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13</w:t>
                        </w:r>
                      </w:p>
                    </w:tc>
                  </w:tr>
                  <w:tr>
                    <w:trPr>
                      <w:trHeight w:val="422"/>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 xml:space="preserve">Parengtos mokymų programos (vnt.) </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r>
                  <w:tr>
                    <w:trPr>
                      <w:trHeight w:val="614"/>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 xml:space="preserve">Darbuotojų kvalifikacijos kėlimo ir tobulinimo mokymai (vnt.) </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w:t>
                        </w:r>
                      </w:p>
                    </w:tc>
                  </w:tr>
                  <w:tr>
                    <w:trPr>
                      <w:trHeight w:val="64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Pritrauktų projektinių lėšų suma (tūkst. Eur)</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80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30</w:t>
                        </w:r>
                      </w:p>
                    </w:tc>
                  </w:tr>
                  <w:tr>
                    <w:trPr>
                      <w:trHeight w:val="413"/>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Įgyvendinamų projektų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r>
                  <w:tr>
                    <w:trPr>
                      <w:trHeight w:val="56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Nuomojamų biuro patalpų užimtumo lygis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90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95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95</w:t>
                        </w:r>
                      </w:p>
                    </w:tc>
                  </w:tr>
                  <w:tr>
                    <w:trPr>
                      <w:trHeight w:val="413"/>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Nuomos pajamų augimas (tūkst. Eur)</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45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45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46</w:t>
                        </w:r>
                      </w:p>
                    </w:tc>
                  </w:tr>
                  <w:tr>
                    <w:trPr>
                      <w:trHeight w:val="56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Infrastruktūros tobulinimo priemonių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w:t>
                        </w:r>
                      </w:p>
                    </w:tc>
                  </w:tr>
                  <w:tr>
                    <w:trPr>
                      <w:trHeight w:val="683"/>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Bendradarbystės ir susitikimų erdvių kūrimas ir aktyvinimas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w:t>
                        </w:r>
                      </w:p>
                    </w:tc>
                  </w:tr>
                  <w:tr>
                    <w:trPr>
                      <w:trHeight w:val="848"/>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color w:val="EE0000"/>
                            <w:sz w:val="22"/>
                            <w:szCs w:val="22"/>
                            <w:lang w:eastAsia="lt-LT"/>
                          </w:rPr>
                        </w:pPr>
                        <w:r>
                          <w:rPr>
                            <w:sz w:val="22"/>
                            <w:szCs w:val="22"/>
                            <w:lang w:eastAsia="lt-LT"/>
                          </w:rPr>
                          <w:t>Susitikimų erdvėje apsilankiusių smulkiojo ir vidutinio verslo atstovų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20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30</w:t>
                        </w:r>
                      </w:p>
                    </w:tc>
                  </w:tr>
                  <w:tr>
                    <w:trPr>
                      <w:trHeight w:val="562"/>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Konferencijos salės bei pasitarimų kambario nuomos skaičius (kartai)</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60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60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60</w:t>
                        </w:r>
                      </w:p>
                    </w:tc>
                  </w:tr>
                  <w:tr>
                    <w:trPr>
                      <w:trHeight w:val="69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Virtualaus biuro paslaugų gavėjų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35</w:t>
                        </w:r>
                      </w:p>
                    </w:tc>
                  </w:tr>
                  <w:tr>
                    <w:trPr>
                      <w:trHeight w:val="709"/>
                    </w:trPr>
                    <w:tc>
                      <w:tcPr>
                        <w:tcW w:w="561" w:type="dxa"/>
                        <w:vMerge/>
                        <w:tcBorders>
                          <w:left w:val="single" w:sz="4" w:space="0" w:color="auto"/>
                          <w:bottom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bottom w:val="single" w:sz="4" w:space="0" w:color="auto"/>
                          <w:right w:val="single" w:sz="4" w:space="0" w:color="auto"/>
                        </w:tcBorders>
                      </w:tcPr>
                      <w:p>
                        <w:pPr>
                          <w:tabs>
                            <w:tab w:val="left" w:pos="6237"/>
                            <w:tab w:val="right" w:pos="8306"/>
                          </w:tabs>
                          <w:jc w:val="center"/>
                          <w:rPr>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Sąnaudų ir pajamų santykis (įskaitant finansavimo pajamas)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100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100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 100</w:t>
                        </w:r>
                      </w:p>
                    </w:tc>
                  </w:tr>
                  <w:tr>
                    <w:trPr>
                      <w:trHeight w:val="1152"/>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7.</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Viešoji įstaiga Telšių menų inkubatorius</w:t>
                        </w:r>
                      </w:p>
                    </w:tc>
                    <w:tc>
                      <w:tcPr>
                        <w:tcW w:w="3927" w:type="dxa"/>
                        <w:tcBorders>
                          <w:top w:val="single" w:sz="4" w:space="0" w:color="auto"/>
                          <w:left w:val="single" w:sz="4" w:space="0" w:color="auto"/>
                          <w:right w:val="single" w:sz="4" w:space="0" w:color="auto"/>
                        </w:tcBorders>
                      </w:tcPr>
                      <w:p>
                        <w:pPr>
                          <w:rPr>
                            <w:sz w:val="22"/>
                            <w:szCs w:val="22"/>
                            <w:lang w:eastAsia="lt-LT"/>
                          </w:rPr>
                        </w:pPr>
                        <w:r>
                          <w:rPr>
                            <w:sz w:val="22"/>
                            <w:szCs w:val="22"/>
                            <w:lang w:eastAsia="lt-LT"/>
                          </w:rPr>
                          <w:t xml:space="preserve">Palankių verslo sąlygų sukūrimas smulkiajam ir vidutiniam verslui įsikurti ir plėtoti:  lengvatinė patalpų ir įrengimų nuoma (proc.)</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95</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95</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95</w:t>
                        </w:r>
                      </w:p>
                    </w:tc>
                  </w:tr>
                  <w:tr>
                    <w:trPr>
                      <w:trHeight w:val="65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color w:val="ED0000"/>
                            <w:sz w:val="22"/>
                            <w:szCs w:val="22"/>
                            <w:lang w:eastAsia="lt-LT"/>
                          </w:rPr>
                        </w:pPr>
                        <w:r>
                          <w:rPr>
                            <w:sz w:val="22"/>
                            <w:szCs w:val="22"/>
                            <w:lang w:eastAsia="lt-LT"/>
                          </w:rPr>
                          <w:t>Konsultacijos verslo pradžios ir plėtros klausimais (vnt.)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25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25</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25</w:t>
                        </w:r>
                      </w:p>
                    </w:tc>
                  </w:tr>
                  <w:tr>
                    <w:trPr>
                      <w:trHeight w:val="75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Savivaldos, mokslo ir verslo subjektų partnerystės pagrindu vykdomų projektų skaičius (vnt.) </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2</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3</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3</w:t>
                        </w:r>
                      </w:p>
                    </w:tc>
                  </w:tr>
                  <w:tr>
                    <w:trPr>
                      <w:trHeight w:val="56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Projektinė veikla: paraiškų teikimas, vykdymas (vnt.)</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4</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4</w:t>
                        </w:r>
                      </w:p>
                    </w:tc>
                    <w:tc>
                      <w:tcPr>
                        <w:tcW w:w="137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2"/>
                            <w:szCs w:val="22"/>
                            <w:lang w:eastAsia="lt-LT"/>
                          </w:rPr>
                        </w:pPr>
                        <w:r>
                          <w:rPr>
                            <w:sz w:val="22"/>
                            <w:szCs w:val="22"/>
                            <w:lang w:eastAsia="lt-LT"/>
                          </w:rPr>
                          <w:t>4</w:t>
                        </w:r>
                      </w:p>
                    </w:tc>
                  </w:tr>
                  <w:tr>
                    <w:trPr>
                      <w:trHeight w:val="697"/>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8.</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Viešoji įstaiga Telšių jaunimo centras</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Unikalių lankytojų skaičius atvirajame Telšių jaunimo centre (AJC) (vnt.)</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300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350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350</w:t>
                        </w:r>
                      </w:p>
                    </w:tc>
                  </w:tr>
                  <w:tr>
                    <w:trPr>
                      <w:trHeight w:val="694"/>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Unikalių lankytojų skaičius atvirojoje jaunimo erdvėje Varniuose (AJE) (vnt.) </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150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150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150</w:t>
                        </w:r>
                      </w:p>
                    </w:tc>
                  </w:tr>
                  <w:tr>
                    <w:trPr>
                      <w:trHeight w:val="68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Mobilusis darbas su jaunimu (MD) Telšių rajone: unikalių lankytojų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240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250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250</w:t>
                        </w:r>
                      </w:p>
                    </w:tc>
                  </w:tr>
                  <w:tr>
                    <w:trPr>
                      <w:trHeight w:val="792"/>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Mobilusis darbas su jaunimu (MD) Telšių rajone: vietų (kuriose dirbama)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w:t>
                        </w:r>
                      </w:p>
                    </w:tc>
                  </w:tr>
                  <w:tr>
                    <w:trPr>
                      <w:trHeight w:val="89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color w:val="ED0000"/>
                            <w:sz w:val="22"/>
                            <w:szCs w:val="22"/>
                            <w:lang w:eastAsia="lt-LT"/>
                          </w:rPr>
                        </w:pPr>
                        <w:r>
                          <w:rPr>
                            <w:sz w:val="22"/>
                            <w:szCs w:val="22"/>
                            <w:lang w:eastAsia="lt-LT"/>
                          </w:rPr>
                          <w:t>Individualus darbas su MGT (mažiau galimybių turinčiais) jaunuoliais (jaunuolių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60</w:t>
                        </w:r>
                      </w:p>
                    </w:tc>
                  </w:tr>
                  <w:tr>
                    <w:trPr>
                      <w:trHeight w:val="241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Praktinių įgūdžių ugdymas: NEET (nesimokantis, nestudijuojantis, nedirbantis pagal darbo sutartį ar savarankiškai, neturintis kitų darbo santykiams prilygintų teisinių santykių, nevykdantis neatlygintino užimtumo veiklos, neieškantis darbo jaunas žmogus) jaunuoliai Telšių apskrityje (jaunuolių skaičius, vnt.) </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40</w:t>
                        </w:r>
                      </w:p>
                    </w:tc>
                  </w:tr>
                  <w:tr>
                    <w:trPr>
                      <w:trHeight w:val="70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Darbas su jaunuolių grupėmis (grupių skaičius, vnt.) </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7</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7</w:t>
                        </w:r>
                      </w:p>
                    </w:tc>
                  </w:tr>
                  <w:tr>
                    <w:trPr>
                      <w:trHeight w:val="1392"/>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Bendradarbiavimas su vietos įstaigomis ir organizacijomis, dirbančiomis su jaunimu, siekiant užtikrinti kompleksinę pagalbą jauniems žmonėms (organizacijų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12</w:t>
                        </w:r>
                      </w:p>
                    </w:tc>
                  </w:tr>
                  <w:tr>
                    <w:trPr>
                      <w:trHeight w:val="57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Ilgalaikių savanorystės programų vykdymas (savanorių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w:t>
                        </w:r>
                      </w:p>
                    </w:tc>
                  </w:tr>
                  <w:tr>
                    <w:trPr>
                      <w:trHeight w:val="697"/>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Tarptautinių programų vykdymas (programų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r>
                  <w:tr>
                    <w:trPr>
                      <w:trHeight w:val="693"/>
                    </w:trPr>
                    <w:tc>
                      <w:tcPr>
                        <w:tcW w:w="561" w:type="dxa"/>
                        <w:vMerge/>
                        <w:tcBorders>
                          <w:left w:val="single" w:sz="4" w:space="0" w:color="auto"/>
                          <w:bottom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bottom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Darbas su jaunimu ugdymo įstaigoje (ugdymo įstaigų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3</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w:t>
                        </w:r>
                      </w:p>
                    </w:tc>
                  </w:tr>
                  <w:tr>
                    <w:trPr>
                      <w:trHeight w:val="746"/>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9.</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VšĮ „Telšių futbolo ateitis“</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 xml:space="preserve">Futbolo treniruotes lankančiųjų vaikų skaičius, įskaitant mergaičių skaičiaus augimą (vnt.) </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295</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300</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300</w:t>
                        </w:r>
                      </w:p>
                    </w:tc>
                  </w:tr>
                  <w:tr>
                    <w:trPr>
                      <w:trHeight w:val="110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Kvalifikuotas personalas, dirbantis tiesiogiai su vaikais (futbolo treneriai, asistentai, kiti su tiesioginiu futbolo mokymu susiję specialistai), kurie įgiję ne žemesnes kaip UEFA C ir kt. pripažintas licencijas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15</w:t>
                        </w:r>
                      </w:p>
                    </w:tc>
                  </w:tr>
                  <w:tr>
                    <w:trPr>
                      <w:trHeight w:val="1837"/>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Reprezentacinės FC „Džiugas“ komandos dalyvavimas Lietuvos aukščiausioje futbolo lygoje, turnyrinės pozicijos </w:t>
                        </w:r>
                      </w:p>
                      <w:p>
                        <w:pPr>
                          <w:tabs>
                            <w:tab w:val="left" w:pos="6237"/>
                            <w:tab w:val="right" w:pos="8306"/>
                          </w:tabs>
                          <w:rPr>
                            <w:sz w:val="22"/>
                            <w:szCs w:val="22"/>
                            <w:lang w:eastAsia="lt-LT"/>
                          </w:rPr>
                        </w:pPr>
                        <w:r>
                          <w:rPr>
                            <w:sz w:val="22"/>
                            <w:szCs w:val="22"/>
                            <w:lang w:eastAsia="lt-LT"/>
                          </w:rPr>
                          <w:t xml:space="preserve">gerinimas, siekiant priartėti prie galimybės patekti į UEFA Europos lygų kvalifikacinių atrankų turnyrus (užimta turnyrinės lentelės vieta) </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w:t>
                        </w:r>
                      </w:p>
                    </w:tc>
                  </w:tr>
                  <w:tr>
                    <w:trPr>
                      <w:trHeight w:val="211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Privačių rėmėjų ir įvairių fondų lėšų pritraukimas, siekiant padidinti VšĮ „Telšių futbolo ateitis“ reprezentacinės vyrų komandos biudžetą rezultatams </w:t>
                        </w:r>
                      </w:p>
                      <w:p>
                        <w:pPr>
                          <w:tabs>
                            <w:tab w:val="left" w:pos="6237"/>
                            <w:tab w:val="right" w:pos="8306"/>
                          </w:tabs>
                          <w:rPr>
                            <w:sz w:val="22"/>
                            <w:szCs w:val="22"/>
                            <w:lang w:eastAsia="lt-LT"/>
                          </w:rPr>
                        </w:pPr>
                        <w:r>
                          <w:rPr>
                            <w:sz w:val="22"/>
                            <w:szCs w:val="22"/>
                            <w:lang w:eastAsia="lt-LT"/>
                          </w:rPr>
                          <w:t>gerinti bei pagerinti jaunimo ugdymo aplinkos kokybę, suteikiat geriausius įrankius ir sąlygas kiekvienam tobulėti (Eur)</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280 000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300 000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300 000</w:t>
                        </w:r>
                      </w:p>
                    </w:tc>
                  </w:tr>
                  <w:tr>
                    <w:trPr>
                      <w:trHeight w:val="1979"/>
                    </w:trPr>
                    <w:tc>
                      <w:tcPr>
                        <w:tcW w:w="561" w:type="dxa"/>
                        <w:vMerge/>
                        <w:tcBorders>
                          <w:left w:val="single" w:sz="4" w:space="0" w:color="auto"/>
                          <w:bottom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bottom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Telšiuose, mūsų stadionuose </w:t>
                        </w:r>
                      </w:p>
                      <w:p>
                        <w:pPr>
                          <w:tabs>
                            <w:tab w:val="left" w:pos="6237"/>
                            <w:tab w:val="right" w:pos="8306"/>
                          </w:tabs>
                          <w:rPr>
                            <w:sz w:val="22"/>
                            <w:szCs w:val="22"/>
                            <w:lang w:eastAsia="lt-LT"/>
                          </w:rPr>
                        </w:pPr>
                        <w:r>
                          <w:rPr>
                            <w:sz w:val="22"/>
                            <w:szCs w:val="22"/>
                            <w:lang w:eastAsia="lt-LT"/>
                          </w:rPr>
                          <w:t>suorganizuota renginių, iš jų:</w:t>
                        </w:r>
                      </w:p>
                      <w:p>
                        <w:pPr>
                          <w:tabs>
                            <w:tab w:val="left" w:pos="6237"/>
                            <w:tab w:val="right" w:pos="8306"/>
                          </w:tabs>
                          <w:rPr>
                            <w:sz w:val="22"/>
                            <w:szCs w:val="22"/>
                            <w:lang w:eastAsia="lt-LT"/>
                          </w:rPr>
                        </w:pPr>
                        <w:r>
                          <w:rPr>
                            <w:sz w:val="22"/>
                            <w:szCs w:val="22"/>
                            <w:lang w:eastAsia="lt-LT"/>
                          </w:rPr>
                          <w:t xml:space="preserve">- Vaikų turnyrai ir festivaliai; </w:t>
                        </w:r>
                      </w:p>
                      <w:p>
                        <w:pPr>
                          <w:tabs>
                            <w:tab w:val="left" w:pos="6237"/>
                            <w:tab w:val="right" w:pos="8306"/>
                          </w:tabs>
                          <w:rPr>
                            <w:sz w:val="22"/>
                            <w:szCs w:val="22"/>
                            <w:lang w:eastAsia="lt-LT"/>
                          </w:rPr>
                        </w:pPr>
                        <w:r>
                          <w:rPr>
                            <w:sz w:val="22"/>
                            <w:szCs w:val="22"/>
                            <w:lang w:eastAsia="lt-LT"/>
                          </w:rPr>
                          <w:t>- Vyrų TOP Sport A lyga;</w:t>
                        </w:r>
                      </w:p>
                      <w:p>
                        <w:pPr>
                          <w:tabs>
                            <w:tab w:val="left" w:pos="6237"/>
                            <w:tab w:val="right" w:pos="8306"/>
                          </w:tabs>
                          <w:rPr>
                            <w:sz w:val="22"/>
                            <w:szCs w:val="22"/>
                            <w:lang w:eastAsia="lt-LT"/>
                          </w:rPr>
                        </w:pPr>
                        <w:r>
                          <w:rPr>
                            <w:sz w:val="22"/>
                            <w:szCs w:val="22"/>
                            <w:lang w:eastAsia="lt-LT"/>
                          </w:rPr>
                          <w:t xml:space="preserve">- LFF Taurės rungtynės; </w:t>
                        </w:r>
                      </w:p>
                      <w:p>
                        <w:pPr>
                          <w:tabs>
                            <w:tab w:val="left" w:pos="6237"/>
                            <w:tab w:val="right" w:pos="8306"/>
                          </w:tabs>
                          <w:rPr>
                            <w:sz w:val="22"/>
                            <w:szCs w:val="22"/>
                            <w:lang w:eastAsia="lt-LT"/>
                          </w:rPr>
                        </w:pPr>
                        <w:r>
                          <w:rPr>
                            <w:sz w:val="22"/>
                            <w:szCs w:val="22"/>
                            <w:lang w:eastAsia="lt-LT"/>
                          </w:rPr>
                          <w:t>- Moterų LFF Pirma Lyga;</w:t>
                        </w:r>
                      </w:p>
                      <w:p>
                        <w:pPr>
                          <w:tabs>
                            <w:tab w:val="left" w:pos="6237"/>
                            <w:tab w:val="right" w:pos="8306"/>
                          </w:tabs>
                          <w:rPr>
                            <w:b/>
                            <w:bCs/>
                            <w:color w:val="ED0000"/>
                            <w:sz w:val="22"/>
                            <w:szCs w:val="22"/>
                            <w:lang w:eastAsia="lt-LT"/>
                          </w:rPr>
                        </w:pPr>
                        <w:r>
                          <w:rPr>
                            <w:sz w:val="22"/>
                            <w:szCs w:val="22"/>
                            <w:lang w:eastAsia="lt-LT"/>
                          </w:rPr>
                          <w:t>- Mėgėjų („veteranų“) turnyrai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42</w:t>
                        </w:r>
                      </w:p>
                    </w:tc>
                  </w:tr>
                  <w:tr>
                    <w:trPr>
                      <w:trHeight w:val="620"/>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10.</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Telšių Vincento Borisevičiaus gimnazija</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 xml:space="preserve">Mokinių, pasiekusių aukštesnįjį ir pagrindinį lygius pagrindinio ugdymo programoje, dalis (7–10 balai) (proc.) </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32</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33</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33</w:t>
                        </w:r>
                      </w:p>
                    </w:tc>
                  </w:tr>
                  <w:tr>
                    <w:trPr>
                      <w:trHeight w:val="1398"/>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Mokinių, padariusių pažangą per vienus mokslo metus mokantis lietuvių kalbos, dalis (mokinys padarė pažangą, jeigu keliant į aukštesnę klasę dalyko vidurkis nukrito ne daugiau kaip 0,5 balo)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68</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70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70</w:t>
                        </w:r>
                      </w:p>
                    </w:tc>
                  </w:tr>
                  <w:tr>
                    <w:trPr>
                      <w:trHeight w:val="1134"/>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 xml:space="preserve">Mokinių pasiekimai pagal aukščiausią vykdomą bendrojo ugdymo programą: </w:t>
                        </w:r>
                      </w:p>
                      <w:p>
                        <w:pPr>
                          <w:tabs>
                            <w:tab w:val="left" w:pos="6237"/>
                            <w:tab w:val="right" w:pos="8306"/>
                          </w:tabs>
                          <w:rPr>
                            <w:sz w:val="22"/>
                            <w:szCs w:val="22"/>
                            <w:lang w:eastAsia="lt-LT"/>
                          </w:rPr>
                        </w:pPr>
                        <w:r>
                          <w:rPr>
                            <w:sz w:val="22"/>
                            <w:szCs w:val="22"/>
                            <w:lang w:eastAsia="lt-LT"/>
                          </w:rPr>
                          <w:t>1 – mokymosi kokybė</w:t>
                        </w:r>
                      </w:p>
                      <w:p>
                        <w:pPr>
                          <w:tabs>
                            <w:tab w:val="left" w:pos="6237"/>
                            <w:tab w:val="right" w:pos="8306"/>
                          </w:tabs>
                          <w:rPr>
                            <w:b/>
                            <w:bCs/>
                            <w:sz w:val="22"/>
                            <w:szCs w:val="22"/>
                            <w:lang w:eastAsia="lt-LT"/>
                          </w:rPr>
                        </w:pPr>
                        <w:r>
                          <w:rPr>
                            <w:sz w:val="22"/>
                            <w:szCs w:val="22"/>
                            <w:lang w:eastAsia="lt-LT"/>
                          </w:rPr>
                          <w:t>2 – pažangumas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p>
                      <w:p>
                        <w:pPr>
                          <w:tabs>
                            <w:tab w:val="left" w:pos="6237"/>
                            <w:tab w:val="right" w:pos="8306"/>
                          </w:tabs>
                          <w:jc w:val="center"/>
                          <w:rPr>
                            <w:sz w:val="22"/>
                            <w:szCs w:val="22"/>
                            <w:lang w:eastAsia="lt-LT"/>
                          </w:rPr>
                        </w:pPr>
                        <w:r>
                          <w:rPr>
                            <w:sz w:val="22"/>
                            <w:szCs w:val="22"/>
                            <w:lang w:eastAsia="lt-LT"/>
                          </w:rPr>
                          <w:t>29</w:t>
                        </w:r>
                      </w:p>
                      <w:p>
                        <w:pPr>
                          <w:tabs>
                            <w:tab w:val="left" w:pos="6237"/>
                            <w:tab w:val="right" w:pos="8306"/>
                          </w:tabs>
                          <w:jc w:val="center"/>
                          <w:rPr>
                            <w:sz w:val="22"/>
                            <w:szCs w:val="22"/>
                            <w:lang w:eastAsia="lt-LT"/>
                          </w:rPr>
                        </w:pPr>
                        <w:r>
                          <w:rPr>
                            <w:sz w:val="22"/>
                            <w:szCs w:val="22"/>
                            <w:lang w:eastAsia="lt-LT"/>
                          </w:rPr>
                          <w:t>100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p>
                      <w:p>
                        <w:pPr>
                          <w:tabs>
                            <w:tab w:val="left" w:pos="6237"/>
                            <w:tab w:val="right" w:pos="8306"/>
                          </w:tabs>
                          <w:jc w:val="center"/>
                          <w:rPr>
                            <w:sz w:val="22"/>
                            <w:szCs w:val="22"/>
                            <w:lang w:eastAsia="lt-LT"/>
                          </w:rPr>
                        </w:pPr>
                        <w:r>
                          <w:rPr>
                            <w:sz w:val="22"/>
                            <w:szCs w:val="22"/>
                            <w:lang w:eastAsia="lt-LT"/>
                          </w:rPr>
                          <w:t>32</w:t>
                        </w:r>
                      </w:p>
                      <w:p>
                        <w:pPr>
                          <w:tabs>
                            <w:tab w:val="left" w:pos="6237"/>
                            <w:tab w:val="right" w:pos="8306"/>
                          </w:tabs>
                          <w:jc w:val="center"/>
                          <w:rPr>
                            <w:sz w:val="22"/>
                            <w:szCs w:val="22"/>
                            <w:lang w:eastAsia="lt-LT"/>
                          </w:rPr>
                        </w:pPr>
                        <w:r>
                          <w:rPr>
                            <w:sz w:val="22"/>
                            <w:szCs w:val="22"/>
                            <w:lang w:eastAsia="lt-LT"/>
                          </w:rPr>
                          <w:t>100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p>
                      <w:p>
                        <w:pPr>
                          <w:tabs>
                            <w:tab w:val="left" w:pos="6237"/>
                            <w:tab w:val="right" w:pos="8306"/>
                          </w:tabs>
                          <w:jc w:val="center"/>
                          <w:rPr>
                            <w:sz w:val="22"/>
                            <w:szCs w:val="22"/>
                            <w:lang w:eastAsia="lt-LT"/>
                          </w:rPr>
                        </w:pPr>
                        <w:r>
                          <w:rPr>
                            <w:sz w:val="22"/>
                            <w:szCs w:val="22"/>
                            <w:lang w:eastAsia="lt-LT"/>
                          </w:rPr>
                          <w:t>32</w:t>
                        </w:r>
                      </w:p>
                      <w:p>
                        <w:pPr>
                          <w:tabs>
                            <w:tab w:val="left" w:pos="6237"/>
                            <w:tab w:val="right" w:pos="8306"/>
                          </w:tabs>
                          <w:jc w:val="center"/>
                          <w:rPr>
                            <w:sz w:val="22"/>
                            <w:szCs w:val="22"/>
                            <w:lang w:eastAsia="lt-LT"/>
                          </w:rPr>
                        </w:pPr>
                        <w:r>
                          <w:rPr>
                            <w:sz w:val="22"/>
                            <w:szCs w:val="22"/>
                            <w:lang w:eastAsia="lt-LT"/>
                          </w:rPr>
                          <w:t>100</w:t>
                        </w:r>
                      </w:p>
                    </w:tc>
                  </w:tr>
                  <w:tr>
                    <w:trPr>
                      <w:trHeight w:val="980"/>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Nepateisintų pamokų skaičius, tenkantis vienam mokiniui per mokslo metus (5–8, I–IV klasės) (vnt.) </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5,5</w:t>
                        </w:r>
                      </w:p>
                    </w:tc>
                  </w:tr>
                  <w:tr>
                    <w:trPr>
                      <w:trHeight w:val="168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Mokytojų, dalyvavusių kvalifikacijos mokymuose, seminaruose, dirbtuvėse pagal gimnazijos veiklos plano prioritetines sritis, dalis (kiekvienas mokytojas dalyvavo bent 2 mokymuose)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94</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94</w:t>
                        </w:r>
                      </w:p>
                    </w:tc>
                  </w:tr>
                  <w:tr>
                    <w:trPr>
                      <w:trHeight w:val="848"/>
                    </w:trPr>
                    <w:tc>
                      <w:tcPr>
                        <w:tcW w:w="561" w:type="dxa"/>
                        <w:vMerge/>
                        <w:tcBorders>
                          <w:left w:val="single" w:sz="4" w:space="0" w:color="auto"/>
                          <w:bottom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bottom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Tėvų, dalyvavusių trišaliuose pokalbiuose su dalykų mokytojais (5–8 klasės), dalis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38</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40</w:t>
                        </w:r>
                      </w:p>
                    </w:tc>
                  </w:tr>
                  <w:tr>
                    <w:trPr>
                      <w:trHeight w:val="987"/>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11.</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Telšių rajono pirminės sveikatos priežiūros centras</w:t>
                        </w:r>
                      </w:p>
                    </w:tc>
                    <w:tc>
                      <w:tcPr>
                        <w:tcW w:w="3927" w:type="dxa"/>
                        <w:tcBorders>
                          <w:top w:val="single" w:sz="4" w:space="0" w:color="auto"/>
                          <w:left w:val="single" w:sz="4" w:space="0" w:color="auto"/>
                          <w:right w:val="single" w:sz="4" w:space="0" w:color="auto"/>
                        </w:tcBorders>
                      </w:tcPr>
                      <w:p>
                        <w:pPr>
                          <w:tabs>
                            <w:tab w:val="left" w:pos="6237"/>
                            <w:tab w:val="right" w:pos="8306"/>
                          </w:tabs>
                          <w:spacing w:line="259" w:lineRule="auto"/>
                          <w:rPr>
                            <w:sz w:val="22"/>
                            <w:szCs w:val="22"/>
                            <w:lang w:eastAsia="lt-LT"/>
                          </w:rPr>
                        </w:pPr>
                        <w:r>
                          <w:rPr>
                            <w:sz w:val="22"/>
                            <w:szCs w:val="22"/>
                            <w:lang w:eastAsia="lt-LT"/>
                          </w:rPr>
                          <w:t>Pacientų (klientų) pasitenkinimas sveikatos priežiūros paslaugomis (proc.)</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95</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95</w:t>
                        </w:r>
                      </w:p>
                    </w:tc>
                    <w:tc>
                      <w:tcPr>
                        <w:tcW w:w="1377" w:type="dxa"/>
                        <w:tcBorders>
                          <w:top w:val="single" w:sz="4" w:space="0" w:color="auto"/>
                          <w:left w:val="single" w:sz="4" w:space="0" w:color="auto"/>
                          <w:right w:val="single" w:sz="4" w:space="0" w:color="auto"/>
                        </w:tcBorders>
                      </w:tcPr>
                      <w:p>
                        <w:pPr>
                          <w:tabs>
                            <w:tab w:val="left" w:pos="6237"/>
                            <w:tab w:val="right" w:pos="8306"/>
                          </w:tabs>
                          <w:spacing w:line="259" w:lineRule="auto"/>
                          <w:jc w:val="center"/>
                          <w:rPr>
                            <w:sz w:val="22"/>
                            <w:szCs w:val="22"/>
                            <w:lang w:eastAsia="lt-LT"/>
                          </w:rPr>
                        </w:pPr>
                        <w:r>
                          <w:rPr>
                            <w:sz w:val="22"/>
                            <w:szCs w:val="22"/>
                            <w:lang w:eastAsia="lt-LT"/>
                          </w:rPr>
                          <w:t>95</w:t>
                        </w:r>
                      </w:p>
                    </w:tc>
                  </w:tr>
                  <w:tr>
                    <w:trPr>
                      <w:trHeight w:val="84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Ambulatorinių paslaugų namuose stiprinimas, teikiamų paslaugų skaičiaus augimas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10</w:t>
                        </w:r>
                      </w:p>
                    </w:tc>
                  </w:tr>
                  <w:tr>
                    <w:trPr>
                      <w:trHeight w:val="1693"/>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Inovatyvių pirminės sveikatos priežiūros paslaugų teikimo ir organizavimo modelių kūrimas ir išbandymas:</w:t>
                        </w:r>
                      </w:p>
                      <w:p>
                        <w:pPr>
                          <w:tabs>
                            <w:tab w:val="left" w:pos="6237"/>
                            <w:tab w:val="right" w:pos="8306"/>
                          </w:tabs>
                          <w:rPr>
                            <w:sz w:val="22"/>
                            <w:szCs w:val="22"/>
                            <w:lang w:eastAsia="lt-LT"/>
                          </w:rPr>
                        </w:pPr>
                        <w:r>
                          <w:rPr>
                            <w:sz w:val="22"/>
                            <w:szCs w:val="22"/>
                            <w:lang w:eastAsia="lt-LT"/>
                          </w:rPr>
                          <w:t>mobiliosios ambulatorinės odontologinės priežiūros (pagalbos) paslaugos teikimas namuose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r>
                  <w:tr>
                    <w:trPr>
                      <w:trHeight w:val="1122"/>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Inovatyvių pirminės sveikatos priežiūros paslaugų teikimo ir organizavimo modelių kūrimas: mobilios ambulatorijos įsigijimas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r>
                  <w:tr>
                    <w:trPr>
                      <w:trHeight w:val="108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Neįgaliųjų patekimo į sveikatos priežiūros įstaigą infrastruktūros užtikrinimas, objektų skaičius (vnt.)</w:t>
                        </w:r>
                      </w:p>
                      <w:p>
                        <w:pPr>
                          <w:tabs>
                            <w:tab w:val="left" w:pos="6237"/>
                            <w:tab w:val="right" w:pos="8306"/>
                          </w:tabs>
                          <w:rPr>
                            <w:sz w:val="22"/>
                            <w:szCs w:val="22"/>
                            <w:lang w:eastAsia="lt-LT"/>
                          </w:rPr>
                        </w:pPr>
                        <w:r>
                          <w:rPr>
                            <w:sz w:val="22"/>
                            <w:szCs w:val="22"/>
                            <w:lang w:eastAsia="lt-LT"/>
                          </w:rPr>
                          <w:t>Varnių ambulatorijoje</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r>
                  <w:tr>
                    <w:trPr>
                      <w:trHeight w:val="108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Sveikatos specialistų rengimas, pritraukimas Telšių rajono savivaldybėje: studijų, stipendijų finansavimas ir įsipareigojimų sukūrimas (asm.)</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3</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3</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3</w:t>
                        </w:r>
                      </w:p>
                    </w:tc>
                  </w:tr>
                  <w:tr>
                    <w:trPr>
                      <w:trHeight w:val="1104"/>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Alzheimerio liga, senatvine demencija sergančių asmenų skyriaus įrengimas Varniuose (vnt.) su pritaikymu</w:t>
                        </w:r>
                      </w:p>
                      <w:p>
                        <w:pPr>
                          <w:tabs>
                            <w:tab w:val="left" w:pos="6237"/>
                            <w:tab w:val="right" w:pos="8306"/>
                          </w:tabs>
                          <w:rPr>
                            <w:sz w:val="22"/>
                            <w:szCs w:val="22"/>
                            <w:lang w:eastAsia="lt-LT"/>
                          </w:rPr>
                        </w:pPr>
                        <w:r>
                          <w:rPr>
                            <w:sz w:val="22"/>
                            <w:szCs w:val="22"/>
                            <w:lang w:eastAsia="lt-LT"/>
                          </w:rPr>
                          <w:t>negaliųjų poreikiams.</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r>
                  <w:tr>
                    <w:trPr>
                      <w:trHeight w:val="93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Higienisto paslaugų organizavimas kaimiškose vietovėse Varniuose, Luokėje, Žarėnuose, Tryškiuose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w:t>
                        </w:r>
                      </w:p>
                    </w:tc>
                  </w:tr>
                  <w:tr>
                    <w:trPr>
                      <w:trHeight w:val="689"/>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Prevencinių programų vykdymas mieste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70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70</w:t>
                        </w:r>
                      </w:p>
                    </w:tc>
                  </w:tr>
                  <w:tr>
                    <w:trPr>
                      <w:trHeight w:val="854"/>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Prevencinių programų vykdymas ambulatorijose (Varniai, Luokė) kaimiškose vietovėse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55</w:t>
                        </w:r>
                      </w:p>
                    </w:tc>
                  </w:tr>
                  <w:tr>
                    <w:trPr>
                      <w:trHeight w:val="140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Prirašytų prie PAASP įstaigos asmenų iki 18 metų, kuriems ataskaitiniu laikotarpiu (kalendoriniais metais) buvo suteikta bent viena profilaktinio tikrinimo paslauga,</w:t>
                        </w:r>
                      </w:p>
                      <w:p>
                        <w:pPr>
                          <w:tabs>
                            <w:tab w:val="left" w:pos="6237"/>
                            <w:tab w:val="right" w:pos="8306"/>
                          </w:tabs>
                          <w:rPr>
                            <w:sz w:val="22"/>
                            <w:szCs w:val="22"/>
                            <w:lang w:eastAsia="lt-LT"/>
                          </w:rPr>
                        </w:pPr>
                        <w:r>
                          <w:rPr>
                            <w:sz w:val="22"/>
                            <w:szCs w:val="22"/>
                            <w:lang w:eastAsia="lt-LT"/>
                          </w:rPr>
                          <w:t>dalis mieste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65</w:t>
                        </w:r>
                      </w:p>
                    </w:tc>
                  </w:tr>
                  <w:tr>
                    <w:trPr>
                      <w:trHeight w:val="71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Prirašytų prie PAASP įstaigos asmenų iki 18 metų, kuriems ataskaitiniu laikotarpiu (kalendoriniais metais) buvo suteikta bent viena profilaktinio tikrinimo paslauga,</w:t>
                        </w:r>
                      </w:p>
                      <w:p>
                        <w:pPr>
                          <w:tabs>
                            <w:tab w:val="left" w:pos="6237"/>
                            <w:tab w:val="right" w:pos="8306"/>
                          </w:tabs>
                          <w:rPr>
                            <w:sz w:val="22"/>
                            <w:szCs w:val="22"/>
                            <w:lang w:eastAsia="lt-LT"/>
                          </w:rPr>
                        </w:pPr>
                        <w:r>
                          <w:rPr>
                            <w:sz w:val="22"/>
                            <w:szCs w:val="22"/>
                            <w:lang w:eastAsia="lt-LT"/>
                          </w:rPr>
                          <w:t>dalis Varniuose, Luokėje, vidurkis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45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50</w:t>
                        </w:r>
                      </w:p>
                    </w:tc>
                  </w:tr>
                  <w:tr>
                    <w:trPr>
                      <w:trHeight w:val="71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Sveikos gyvensenos specialistų tinklo, jų ryšio su pirminės sveikatos priežiūros įstaigomis ir visuomenės sveikatos biurais stiprinimas (įstaiga)</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r>
                  <w:tr>
                    <w:trPr>
                      <w:trHeight w:val="59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Atsinaujinančių energetinių šaltinių naudojimas. Saulės elektrinės įrengimas</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sym w:font="Symbol" w:char="F02D"/>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w:t>
                        </w:r>
                      </w:p>
                    </w:tc>
                  </w:tr>
                  <w:tr>
                    <w:trPr>
                      <w:trHeight w:val="1942"/>
                    </w:trPr>
                    <w:tc>
                      <w:tcPr>
                        <w:tcW w:w="561"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12.</w:t>
                        </w:r>
                      </w:p>
                    </w:tc>
                    <w:tc>
                      <w:tcPr>
                        <w:tcW w:w="1582" w:type="dxa"/>
                        <w:vMerge w:val="restart"/>
                        <w:tcBorders>
                          <w:top w:val="single" w:sz="4" w:space="0" w:color="auto"/>
                          <w:left w:val="single" w:sz="4" w:space="0" w:color="auto"/>
                          <w:right w:val="single" w:sz="4" w:space="0" w:color="auto"/>
                        </w:tcBorders>
                      </w:tcPr>
                      <w:p>
                        <w:pPr>
                          <w:tabs>
                            <w:tab w:val="left" w:pos="6237"/>
                            <w:tab w:val="right" w:pos="8306"/>
                          </w:tabs>
                          <w:jc w:val="center"/>
                          <w:rPr>
                            <w:b/>
                            <w:bCs/>
                            <w:sz w:val="22"/>
                            <w:szCs w:val="22"/>
                            <w:lang w:eastAsia="lt-LT"/>
                          </w:rPr>
                        </w:pPr>
                        <w:r>
                          <w:rPr>
                            <w:b/>
                            <w:bCs/>
                            <w:sz w:val="22"/>
                            <w:szCs w:val="22"/>
                            <w:lang w:eastAsia="lt-LT"/>
                          </w:rPr>
                          <w:t>Viešoji įstaiga Regioninė Telšių ligoninė</w:t>
                        </w: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color w:val="ED0000"/>
                            <w:sz w:val="22"/>
                            <w:szCs w:val="22"/>
                            <w:lang w:eastAsia="lt-LT"/>
                          </w:rPr>
                        </w:pPr>
                        <w:r>
                          <w:rPr>
                            <w:sz w:val="22"/>
                            <w:szCs w:val="22"/>
                            <w:lang w:eastAsia="lt-LT"/>
                          </w:rPr>
                          <w:t>Papildomų finansavimo šaltinių pritraukimas, asmens sveikatos priežiūros paslaugų kokybei ir prieinamumui, asmens sveikatos priežiūros įstaigos veiklos efektyvumui gerinti ir (arba) mokslinei veiklai vykdyti, sudarytų sutarčių skaičius (vnt.)</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2</w:t>
                        </w:r>
                      </w:p>
                    </w:tc>
                  </w:tr>
                  <w:tr>
                    <w:trPr>
                      <w:trHeight w:val="825"/>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color w:val="ED0000"/>
                            <w:sz w:val="22"/>
                            <w:szCs w:val="22"/>
                            <w:lang w:eastAsia="lt-LT"/>
                          </w:rPr>
                        </w:pPr>
                        <w:r>
                          <w:rPr>
                            <w:sz w:val="22"/>
                            <w:szCs w:val="22"/>
                            <w:lang w:eastAsia="lt-LT"/>
                          </w:rPr>
                          <w:t>Lovos užimtumo rodiklis įstaigoje (aktyvaus gydymo lovų užimtumas, pagal SAM metodiką)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&gt; 70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&gt; 70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&gt; 70</w:t>
                        </w:r>
                      </w:p>
                    </w:tc>
                  </w:tr>
                  <w:tr>
                    <w:trPr>
                      <w:trHeight w:val="847"/>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Vidutinė chirurgijos paslaugų grupės gydymo trukmė, vertinama hospitalizuotų pacientų gydymo trukmė (dienomis)</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6</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6</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6</w:t>
                        </w:r>
                      </w:p>
                    </w:tc>
                  </w:tr>
                  <w:tr>
                    <w:trPr>
                      <w:trHeight w:val="844"/>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Vidutinė terapijos paslaugų grupės gydymo trukmė, vertinama hospitalizuotų pacientų gydymo trukmė (dienomis)</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9</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9</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9</w:t>
                        </w:r>
                      </w:p>
                    </w:tc>
                  </w:tr>
                  <w:tr>
                    <w:trPr>
                      <w:trHeight w:val="1126"/>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Pacientų pasitenkinimo asmens sveikatos priežiūros įstaigos teikiamomis asmens sveikatos priežiūros paslaugomis lygis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&gt; 80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&gt; 80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&gt; 90</w:t>
                        </w:r>
                      </w:p>
                    </w:tc>
                  </w:tr>
                  <w:tr>
                    <w:trPr>
                      <w:trHeight w:val="831"/>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Nepageidaujamų įvykių asmens sveikatos priežiūros įstaigoje registravimas (nuo visų išrašytų pacientų)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0,5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0,5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&lt; 0,5</w:t>
                        </w:r>
                      </w:p>
                    </w:tc>
                  </w:tr>
                  <w:tr>
                    <w:trPr>
                      <w:trHeight w:val="842"/>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Duomenų teikimas Išankstinėje pacientų registracijos informacinėje sistemoje (IPR IS)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80</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85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90</w:t>
                        </w:r>
                      </w:p>
                    </w:tc>
                  </w:tr>
                  <w:tr>
                    <w:trPr>
                      <w:trHeight w:val="1408"/>
                    </w:trPr>
                    <w:tc>
                      <w:tcPr>
                        <w:tcW w:w="561" w:type="dxa"/>
                        <w:vMerge/>
                        <w:tcBorders>
                          <w:left w:val="single" w:sz="4" w:space="0" w:color="auto"/>
                          <w:right w:val="single" w:sz="4" w:space="0" w:color="auto"/>
                        </w:tcBorders>
                      </w:tcPr>
                      <w:p>
                        <w:pPr>
                          <w:tabs>
                            <w:tab w:val="left" w:pos="6237"/>
                            <w:tab w:val="right" w:pos="8306"/>
                          </w:tabs>
                          <w:jc w:val="center"/>
                          <w:rPr>
                            <w:color w:val="ED0000"/>
                            <w:sz w:val="22"/>
                            <w:szCs w:val="22"/>
                            <w:lang w:eastAsia="lt-LT"/>
                          </w:rPr>
                        </w:pPr>
                      </w:p>
                    </w:tc>
                    <w:tc>
                      <w:tcPr>
                        <w:tcW w:w="1582" w:type="dxa"/>
                        <w:vMerge/>
                        <w:tcBorders>
                          <w:left w:val="single" w:sz="4" w:space="0" w:color="auto"/>
                          <w:right w:val="single" w:sz="4" w:space="0" w:color="auto"/>
                        </w:tcBorders>
                      </w:tcPr>
                      <w:p>
                        <w:pPr>
                          <w:tabs>
                            <w:tab w:val="left" w:pos="6237"/>
                            <w:tab w:val="right" w:pos="8306"/>
                          </w:tabs>
                          <w:jc w:val="center"/>
                          <w:rPr>
                            <w:b/>
                            <w:bCs/>
                            <w:color w:val="ED0000"/>
                            <w:sz w:val="22"/>
                            <w:szCs w:val="22"/>
                            <w:lang w:eastAsia="lt-LT"/>
                          </w:rPr>
                        </w:pPr>
                      </w:p>
                    </w:tc>
                    <w:tc>
                      <w:tcPr>
                        <w:tcW w:w="3927"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2"/>
                            <w:szCs w:val="22"/>
                            <w:lang w:eastAsia="lt-LT"/>
                          </w:rPr>
                        </w:pPr>
                        <w:r>
                          <w:rPr>
                            <w:sz w:val="22"/>
                            <w:szCs w:val="22"/>
                            <w:lang w:eastAsia="lt-LT"/>
                          </w:rPr>
                          <w:t>Laboratorinių tyrimų užsakymų ir atsakymų teikimas į Elektroninę sveikatos paslaugų ir bendradarbiavimo infrastruktūros informacinę sistemą (proc.)</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diegiama</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95</w:t>
                        </w:r>
                      </w:p>
                    </w:tc>
                    <w:tc>
                      <w:tcPr>
                        <w:tcW w:w="137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2"/>
                            <w:szCs w:val="22"/>
                            <w:lang w:eastAsia="lt-LT"/>
                          </w:rPr>
                        </w:pPr>
                        <w:r>
                          <w:rPr>
                            <w:sz w:val="22"/>
                            <w:szCs w:val="22"/>
                            <w:lang w:eastAsia="lt-LT"/>
                          </w:rPr>
                          <w:t>100</w:t>
                        </w:r>
                      </w:p>
                    </w:tc>
                  </w:tr>
                </w:tbl>
                <w:p>
                  <w:pPr>
                    <w:rPr>
                      <w:b/>
                      <w:bCs/>
                      <w:sz w:val="22"/>
                      <w:szCs w:val="22"/>
                      <w:lang w:eastAsia="lt-LT"/>
                    </w:rPr>
                  </w:pPr>
                </w:p>
              </w:sdtContent>
            </w:sdt>
          </w:sdtContent>
        </w:sdt>
        <w:sdt>
          <w:sdtPr>
            <w:alias w:val="skyrius"/>
            <w:tag w:val="part_e091770607e6484491166444c4a88fe6"/>
            <w:lock w:val="sdtLocked"/>
            <w:richText/>
          </w:sdtPr>
          <w:sdtContent>
            <w:p>
              <w:pPr>
                <w:jc w:val="center"/>
                <w:rPr>
                  <w:b/>
                  <w:bCs/>
                  <w:sz w:val="22"/>
                  <w:szCs w:val="22"/>
                  <w:lang w:eastAsia="lt-LT"/>
                </w:rPr>
              </w:pPr>
              <w:sdt>
                <w:sdtPr>
                  <w:alias w:val="Numeris"/>
                  <w:tag w:val="nr_e091770607e6484491166444c4a88fe6"/>
                  <w:lock w:val="sdtLocked"/>
                  <w:richText/>
                </w:sdtPr>
                <w:sdtContent>
                  <w:r>
                    <w:rPr>
                      <w:b/>
                      <w:bCs/>
                      <w:sz w:val="22"/>
                      <w:szCs w:val="22"/>
                      <w:lang w:eastAsia="lt-LT"/>
                    </w:rPr>
                    <w:t>VI</w:t>
                  </w:r>
                </w:sdtContent>
              </w:sdt>
              <w:r>
                <w:rPr>
                  <w:b/>
                  <w:bCs/>
                  <w:sz w:val="22"/>
                  <w:szCs w:val="22"/>
                  <w:lang w:eastAsia="lt-LT"/>
                </w:rPr>
                <w:t xml:space="preserve"> SKYRIUS</w:t>
              </w:r>
            </w:p>
            <w:p>
              <w:pPr>
                <w:jc w:val="center"/>
                <w:rPr>
                  <w:b/>
                  <w:bCs/>
                  <w:sz w:val="22"/>
                  <w:szCs w:val="22"/>
                  <w:lang w:eastAsia="lt-LT"/>
                </w:rPr>
              </w:pPr>
              <w:sdt>
                <w:sdtPr>
                  <w:alias w:val="Pavadinimas"/>
                  <w:tag w:val="title_e091770607e6484491166444c4a88fe6"/>
                  <w:lock w:val="sdtLocked"/>
                  <w:richText/>
                </w:sdtPr>
                <w:sdtContent>
                  <w:r>
                    <w:rPr>
                      <w:b/>
                      <w:bCs/>
                      <w:sz w:val="22"/>
                      <w:szCs w:val="22"/>
                      <w:lang w:eastAsia="lt-LT"/>
                    </w:rPr>
                    <w:t>KITA SVARBI INFORMACIJA</w:t>
                  </w:r>
                </w:sdtContent>
              </w:sdt>
            </w:p>
            <w:p>
              <w:pPr>
                <w:jc w:val="center"/>
                <w:rPr>
                  <w:b/>
                  <w:bCs/>
                  <w:sz w:val="22"/>
                  <w:szCs w:val="22"/>
                  <w:lang w:eastAsia="lt-LT"/>
                </w:rPr>
              </w:pPr>
            </w:p>
            <w:p>
              <w:pPr>
                <w:ind w:firstLine="720"/>
                <w:jc w:val="both"/>
                <w:rPr>
                  <w:sz w:val="22"/>
                  <w:szCs w:val="22"/>
                  <w:lang w:eastAsia="lt-LT"/>
                </w:rPr>
              </w:pPr>
              <w:r>
                <w:rPr>
                  <w:sz w:val="22"/>
                  <w:szCs w:val="22"/>
                  <w:lang w:eastAsia="lt-LT"/>
                </w:rPr>
                <w:t>Vadovaujantis 2020 m. gegužės 7 d. Lietuvos Respublikos savivaldybių infrastruktūros plėtros įstatymo Nr. XIII-2895 (toliau – SIPĮ) 4 straipsnio 2 dalies 5 punktu, tvirtinami:</w:t>
              </w:r>
            </w:p>
            <w:sdt>
              <w:sdtPr>
                <w:alias w:val="1 p."/>
                <w:tag w:val="part_e3a6e5bde6dc4bd583938f1cf93468ec"/>
                <w:lock w:val="sdtLocked"/>
                <w:richText/>
              </w:sdtPr>
              <w:sdtContent>
                <w:p>
                  <w:pPr>
                    <w:ind w:firstLine="720"/>
                    <w:jc w:val="both"/>
                    <w:rPr>
                      <w:sz w:val="22"/>
                      <w:szCs w:val="22"/>
                      <w:lang w:eastAsia="lt-LT"/>
                    </w:rPr>
                  </w:pPr>
                  <w:sdt>
                    <w:sdtPr>
                      <w:alias w:val="Numeris"/>
                      <w:tag w:val="nr_e3a6e5bde6dc4bd583938f1cf93468ec"/>
                      <w:lock w:val="sdtLocked"/>
                      <w:richText/>
                    </w:sdtPr>
                    <w:sdtContent>
                      <w:r>
                        <w:rPr>
                          <w:sz w:val="22"/>
                          <w:szCs w:val="22"/>
                          <w:lang w:eastAsia="lt-LT"/>
                        </w:rPr>
                        <w:t>1</w:t>
                      </w:r>
                    </w:sdtContent>
                  </w:sdt>
                  <w:r>
                    <w:rPr>
                      <w:sz w:val="22"/>
                      <w:szCs w:val="22"/>
                      <w:lang w:eastAsia="lt-LT"/>
                    </w:rPr>
                    <w:t>. Telšių rajono savivaldybės infrastruktūros plėtros priemonių 2026–2028 m. planas, SVP 4 priedas.</w:t>
                  </w:r>
                </w:p>
              </w:sdtContent>
            </w:sdt>
            <w:sdt>
              <w:sdtPr>
                <w:alias w:val="2 p."/>
                <w:tag w:val="part_1f3366a1a5664e57902d22ac0bf5f59e"/>
                <w:lock w:val="sdtLocked"/>
                <w:richText/>
              </w:sdtPr>
              <w:sdtContent>
                <w:p>
                  <w:pPr>
                    <w:ind w:firstLine="720"/>
                    <w:jc w:val="both"/>
                    <w:rPr>
                      <w:sz w:val="22"/>
                      <w:szCs w:val="22"/>
                      <w:lang w:eastAsia="lt-LT"/>
                    </w:rPr>
                  </w:pPr>
                  <w:sdt>
                    <w:sdtPr>
                      <w:alias w:val="Numeris"/>
                      <w:tag w:val="nr_1f3366a1a5664e57902d22ac0bf5f59e"/>
                      <w:lock w:val="sdtLocked"/>
                      <w:richText/>
                    </w:sdtPr>
                    <w:sdtContent>
                      <w:r>
                        <w:rPr>
                          <w:sz w:val="22"/>
                          <w:szCs w:val="22"/>
                          <w:lang w:eastAsia="lt-LT"/>
                        </w:rPr>
                        <w:t>2</w:t>
                      </w:r>
                    </w:sdtContent>
                  </w:sdt>
                  <w:r>
                    <w:rPr>
                      <w:sz w:val="22"/>
                      <w:szCs w:val="22"/>
                      <w:lang w:eastAsia="lt-LT"/>
                    </w:rPr>
                    <w:t>. Telšių rajono savivaldybės infrastruktūros plėtros rėmimo programos lėšų panaudojimo 2026 metų planas, SVP 5 priedas.</w:t>
                  </w:r>
                </w:p>
                <w:p>
                  <w:pPr>
                    <w:jc w:val="both"/>
                    <w:rPr>
                      <w:i/>
                      <w:sz w:val="22"/>
                      <w:szCs w:val="22"/>
                      <w:lang w:eastAsia="lt-LT"/>
                    </w:rPr>
                  </w:pPr>
                </w:p>
                <w:p>
                  <w:pPr>
                    <w:jc w:val="center"/>
                    <w:rPr>
                      <w:sz w:val="22"/>
                      <w:szCs w:val="22"/>
                      <w:lang w:eastAsia="lt-LT"/>
                    </w:rPr>
                  </w:pPr>
                  <w:r>
                    <w:rPr>
                      <w:bCs/>
                      <w:sz w:val="22"/>
                      <w:szCs w:val="22"/>
                      <w:lang w:eastAsia="lt-LT"/>
                    </w:rPr>
                    <w:t>_____________________________</w:t>
                  </w:r>
                </w:p>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276" w:right="566" w:bottom="993"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39</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drawingGridHorizontalOrigin w:val="1800"/>
  <w:drawingGridVerticalOrigin w:val="144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39BA24C-7102-4728-A528-B10A2022A0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78c4ac7eaf749ba9a65ce8a8ed72f78" PartId="2641bbd14b86492dba40bc3aa7048082"/>
  <Part Type="patvirtinta" Title="TELŠIŲ RAJONO SAVIVALDYBĖS" DocPartId="104b9c3456a3460d90d5526db2d57795" PartId="c06751728f974bd3a03068cf1f417d30">
    <Part Type="skirsnis" Title="2026–2028 METŲ STRATEGINIS VEIKLOS PLANAS" DocPartId="8d1c2c85c46a46498b4ebd2948763dec" PartId="c18714f101d240a5a2c80cd0d59cb8da"/>
    <Part Type="skyrius" Nr="1" Title="SAVIVALDYBĖS MISIJA IR VEIKLOS PRIORITETAI" DocPartId="5890b4ce7f4a43cfba790bd1b0da4ec3" PartId="60f3edec2633460582f2660b0d0ede83">
      <Part Type="punktas" Nr="1" Abbr="1 p." DocPartId="726d39fc9137434e910c5ecd760bdeb2" PartId="929ba6a1f8614c83a776adb03f5148a9"/>
      <Part Type="punktas" Nr="2" Abbr="2 p." DocPartId="23f7b46716054421a369ac254573f898" PartId="684d38325a394e4893205157ffee8d27"/>
      <Part Type="punktas" Nr="3" Abbr="3 p." DocPartId="4e0854e4117244aebf84766794388fc5" PartId="bce51804481d4fbb9ac62209f6c1e799"/>
      <Part Type="punktas" Nr="4" Abbr="4 p." DocPartId="17818050017a4e7fbb89d1cdef28ac7c" PartId="d998351f8ef44c089d97c711abc1e68f"/>
      <Part Type="poskyris" Title="Telšių rajono savivaldybės 2026–2028 metų veiklos prioritetai:" DocPartId="9d549890b25b4b3899a4ea3c96735ac1" PartId="4a29869d86c74e37a14178c3d4076db4">
        <Part Type="punktas" Nr="1" Abbr="1 p." DocPartId="4b2e079411404444b3c469c832efc774" PartId="e0d54a16b8b949258aa6548e150fbefb"/>
        <Part Type="punktas" Nr="2" Abbr="2 p." DocPartId="c27c9649cf8d42598d2df2c294194f8d" PartId="faa44fb50aa445f7b19ea637cddeac5f"/>
        <Part Type="punktas" Nr="3" Abbr="3 p." DocPartId="22c50989956e4b1ca7937878278651f9" PartId="4402fc14947a455ba0ed1a6498dde36e"/>
        <Part Type="punktas" Nr="4" Abbr="4 p." DocPartId="7de5e3b5e230401db64154a6f1eff3e3" PartId="fa8a76c709de48809a47c4c5e0c4a530"/>
        <Part Type="punktas" Nr="5" Abbr="5 p." DocPartId="ea066286eea244ab85230ccac9ca4980" PartId="9407d50676bd472db3d9b93b8c470753"/>
      </Part>
    </Part>
    <Part Type="skyrius" Nr="2" Title="TELŠIŲ RAJONO SAVIVALDYBĖS PLĖTROS TIKSLAI, UŽDAVINIAI IR JŲ STEBĖSENOS RODIKLIAI" DocPartId="dea10d6d594247038acf011dcabc4012" PartId="bdc74f06ea904de2af6ae55fc999f6d2"/>
    <Part Type="skyrius" Nr="3" Title="PLANUOJAMI PASIEKTI REZULTATAI" DocPartId="29f5e789a9b341d292f9885824e53fc2" PartId="679744a9b21440e5a166c5a46826d524">
      <Part Type="punktas" Nr="1" Abbr="1 p." DocPartId="cf3477f0119f48a0b6921564076f5d87" PartId="8fcf3d8972f0439aa528479fa5a74b9d"/>
      <Part Type="punktas" Nr="2" Abbr="2 p." DocPartId="7a8e6a3c483d4675a3b6c0c8d4c70868" PartId="5d699b862c2048049a9e54ad2316f729"/>
      <Part Type="punktas" Nr="3" Abbr="3 p." DocPartId="4a139913b8f54c148a0f390b094b0faa" PartId="abc1bddb41544748826700d65211bd8b"/>
      <Part Type="punktas" Nr="4" Abbr="4 p." DocPartId="be89512e42cd4919a311a2a7cf5d8d83" PartId="163ea512b3e841cc86c380daa3414d84"/>
      <Part Type="punktas" Nr="5" Abbr="5 p." DocPartId="759090bc3c654f2d8a39966cf1d37a8f" PartId="4893659d0c1d4d7597f1e2ce86aa5c13"/>
      <Part Type="punktas" Nr="6" Abbr="6 p." DocPartId="ff39c6964cd249ad868b8776590b4ab0" PartId="548d6a7d1daf44d1aad36db68988b5bc"/>
      <Part Type="punktas" Nr="7" Abbr="7 p." DocPartId="2a50a4833b77401694ac3016817b5c69" PartId="22fb90173fb94a1388a74a4377ac993b"/>
      <Part Type="punktas" Nr="8" Abbr="8 p." DocPartId="a6c2f0c0b0734609955e23a773069380" PartId="2ba6d26fe858480a91c32ec82ee8edf4"/>
      <Part Type="punktas" Nr="9" Abbr="9 p." DocPartId="bc895ae998a24c25a9e2937805d6b46b" PartId="de6498a5c76646f9900838028d117afb"/>
      <Part Type="punktas" Nr="10" Abbr="10 p." DocPartId="92aed59cbca347f19297ab475c2b7686" PartId="d6166edff77a4707887f0e6a0c95cdc2"/>
      <Part Type="punktas" Nr="11" Abbr="11 p." DocPartId="c640b81d8b1642be89ba00e11f981126" PartId="b05841d875c84ddcb9c71606f9908477"/>
      <Part Type="punktas" Nr="12" Abbr="12 p." DocPartId="c2f1757becaf41e8aba2ac45f9c9d21a" PartId="9847fb728a76471ebed5ef142e2d40df"/>
      <Part Type="punktas" Nr="13" Abbr="13 p." DocPartId="4b5aaff046b1475b9130567393d48c22" PartId="a10af701a4524df79407c21c8fbdbc78"/>
      <Part Type="punktas" Nr="14" Abbr="14 p." DocPartId="74db3056d97d4492887903af1e6b0789" PartId="05ccfb01d75f447bb346497f29e32dc9"/>
      <Part Type="punktas" Nr="15" Abbr="15 p." DocPartId="0d1b0552923a47c58d12877680e69a6f" PartId="0239c4182deb4e128932e6d203c2f06a"/>
      <Part Type="punktas" Nr="16" Abbr="16 p." DocPartId="4570ff9a4481462a9fb17e882a2c1fd7" PartId="096bf48d198d460588df57bf5de34be4"/>
      <Part Type="punktas" Nr="17" Abbr="17 p." DocPartId="1e378555e52747fd95644b8f5e97088e" PartId="f820dd26bdd047869922a26ed0fc559e"/>
      <Part Type="punktas" Nr="18" Abbr="18 p." DocPartId="bc1e82d63ee1471da31dac207d750e42" PartId="0ab21dd9fab141a58112ab67c540dcf8"/>
      <Part Type="punktas" Nr="19" Abbr="19 p." DocPartId="b93a9ace7e444726a5ba47de46aec6b4" PartId="50142c1c52fe4ffeb4f60daedc05d4d1"/>
      <Part Type="punktas" Nr="20" Abbr="20 p." DocPartId="c13e86ab00504ad4a858e735a11ebfe9" PartId="1983b928bc4e4a988177dc9ede60e7d8"/>
      <Part Type="punktas" Nr="21" Abbr="21 p." DocPartId="43f99b7fa07c4f66974facf56d252f59" PartId="3cec493770c4475cad110fb7c5f25fc9"/>
      <Part Type="punktas" Nr="22" Abbr="22 p." DocPartId="1d07a9f047934ba4af3c3455a7282c9d" PartId="bfe5c996102547db926959578744fa68"/>
      <Part Type="punktas" Nr="23" Abbr="23 p." DocPartId="97aeb0e11d1a4ab2b00a29680700bee9" PartId="3ea7a73412cb418c8244ea344cb78f4e"/>
      <Part Type="punktas" Nr="24" Abbr="24 p." DocPartId="96418452b3414ca5ae239bf256c67abf" PartId="105a0e5d6f3e4c688e94af059f2b1c55"/>
      <Part Type="punktas" Nr="25" Abbr="25 p." DocPartId="6e93388fd77140a984a6d5c53db93db2" PartId="c43563f8566c492f8377fcd19099d278"/>
      <Part Type="punktas" Nr="26" Abbr="26 p." DocPartId="d08bfb41a41e4b398773e1166e1676a1" PartId="a8dfd435037541549bb500ef1b3a4e4b"/>
      <Part Type="punktas" Nr="27" Abbr="27 p." DocPartId="c993461733ac41ed97cba82997aa5622" PartId="bc525da2993742a68d9c40f14b74b922"/>
      <Part Type="punktas" Nr="28" Abbr="28 p." DocPartId="9b9f39db4b964854b71370c59ff4174a" PartId="02103d5eaa554668b3acb625a01b770c"/>
      <Part Type="punktas" Nr="29" Abbr="29 p." DocPartId="e5d439351be4420b8a5d7959dbdb2fb5" PartId="162e314504914787a333feec14533a3c"/>
      <Part Type="punktas" Nr="30" Abbr="30 p." DocPartId="dfd24f68c7434bd48b5e63ade6484e9d" PartId="51d0af73f7a546599cbfa7b64ab4178d"/>
      <Part Type="punktas" Nr="31" Abbr="31 p." DocPartId="d9d7120f73564363b167c074aae1bc88" PartId="f8653cb320374ca594018f8b4ef8f30c"/>
      <Part Type="punktas" Nr="32" Abbr="32 p." DocPartId="be471a20ebd94b728305886c3db1b7e8" PartId="7d575981feca46d4b92f60f89043e5dd"/>
      <Part Type="punktas" Nr="33" Abbr="33 p." DocPartId="1ba1a6cef78548a19e134aaa83e58fce" PartId="a66fa33361d74cfa87d093de46d15a22"/>
      <Part Type="punktas" Nr="34" Abbr="34 p." DocPartId="c3ee96a160194fb3a30acc8a85477975" PartId="5b85c8fe3a78477989ee4ff9487274f0"/>
      <Part Type="punktas" Nr="35" Abbr="35 p." DocPartId="69c6aec2c91a4f43a8c43c2af2872429" PartId="b1de38d42efb43cfa57515b750d066d5"/>
      <Part Type="punktas" Nr="36" Abbr="36 p." DocPartId="3b047c7df50244d3bcd27fdac924aac6" PartId="d069f175886c427f8c67a8e96f9e1472"/>
      <Part Type="punktas" Nr="37" Abbr="37 p." DocPartId="59170aea5ac0469595a66f8296d3dc24" PartId="717e364e5177416b9b2bc19fbf048b35"/>
      <Part Type="punktas" Nr="38" Abbr="38 p." DocPartId="0ba00b885de94d67a45d39d8f677ca67" PartId="25c7cd6281204b66aac771c6e13659a5"/>
      <Part Type="punktas" Nr="39" Abbr="39 p." DocPartId="f92608fac1ee40399d5bcd93d47d6f29" PartId="192bbc11efb044e786439e534ed4b854"/>
      <Part Type="punktas" Nr="40" Abbr="40 p." DocPartId="fe0e210e11b04a1ba08d38981df40123" PartId="db970e527a0b4262a8663a998dd89022"/>
      <Part Type="punktas" Nr="41" Abbr="41 p." DocPartId="caa68460453942e8b9b1bf0012ff5f83" PartId="1612b773fee74789b100a69c5df9db53"/>
    </Part>
    <Part Type="skyrius" Nr="4" Title="PROGRAMOS" DocPartId="29718905982144068977802ffb3749cc" PartId="405b07481e1a48b4a603f1c3e89e38f1">
      <Part Type="poskyris" Title="1 grafikas. 2026–2028 metų asignavimų ir kitų lėšų pasiskirstymas pagal programas" DocPartId="20715c1ff2fb4503a69d6dd35c7e2fb7" PartId="e5069696d923403bac39e621ca0a136c">
        <Part Type="punktas" Nr="1" Abbr="1 p." DocPartId="c2f1e6468bd54cd389ff1450d19dc742" PartId="4e2d7854102748fc887efad0019bd7bd"/>
        <Part Type="punktas" Nr="2" Abbr="2 p." DocPartId="602d97e6602a4ac0b2fda9b06f0a0376" PartId="4c2932cffbe741119961116a24ae72a1"/>
        <Part Type="punktas" Nr="3" Abbr="3 p." DocPartId="4640005c5d944e7fb87242441203f746" PartId="4ba3f74961be4010b61df07dcebd8803"/>
        <Part Type="punktas" Nr="4" Abbr="4 p." DocPartId="5074044241b340398889fa0b7f7c3bf0" PartId="92d8297abed54a7aa7a969918d685802"/>
        <Part Type="punktas" Nr="5" Abbr="5 p." DocPartId="2ad9e83248964b2e9a067b22a0279232" PartId="de017844d7fa43efadd447c3ae15ffb0"/>
        <Part Type="punktas" Nr="6" Abbr="6 p." DocPartId="2c49e857e2a247f28e2a947da293169d" PartId="1e2654bd25344909b507ebb5ee453d1f"/>
        <Part Type="punktas" Nr="7" Abbr="7 p." DocPartId="e5203d95cc4a4b5b9f0c193360ff4328" PartId="5ad559df4c104a8cb265dd962d6dacb5"/>
        <Part Type="punktas" Nr="1" Abbr="1 p." Notes="Numeris ne iš eilės. Trūksta dalių? [DocDalys]" DocPartId="06a02bfba364449d9265d48b443f3251" PartId="b815c488288247e083fc8878c0784058"/>
        <Part Type="punktas" Nr="2" Abbr="2 p." DocPartId="7804b250b1ef45f1b85494e5778ee930" PartId="244fc53ba82d47c58e9b9cb376490a5f"/>
        <Part Type="punktas" Nr="3" Abbr="3 p." DocPartId="9447730c87b54ae8966f8c09406a6a0b" PartId="d025041dbc604b3d8a8426b66739e914"/>
        <Part Type="punktas" Nr="4" Abbr="4 p." DocPartId="48ca874769994b9aa8ca7e8efc500e74" PartId="ec7e9cf638e442248d270d280b9a426a"/>
        <Part Type="punktas" Nr="5" Abbr="5 p." DocPartId="5714210809e5451b8ed29a73e875892d" PartId="386dfad6334a406db997db6f285fc4f5"/>
        <Part Type="punktas" Nr="6" Abbr="6 p." DocPartId="4d363003b87346278315c1215926f64d" PartId="270ffb789f514aabaa4b1ec77512b1a5"/>
        <Part Type="punktas" Nr="7" Abbr="7 p." DocPartId="4421e2c584b84ce0a753e50774e64a16" PartId="9e759a6dc03d4d539a0169b20d6f5ad4"/>
        <Part Type="punktas" Nr="1" Abbr="1 p." Notes="Numeris ne iš eilės. Trūksta dalių? [DocDalys]" DocPartId="746fb98578b74b2abe403dbd7c89e0f0" PartId="c167a45d31074c37973fafa9ddb86658"/>
        <Part Type="punktas" Nr="2" Abbr="2 p." DocPartId="658560331b0848d68f5a3162bfec1b76" PartId="3b0ab5709ac04b2b886c42de17880192"/>
        <Part Type="punktas" Nr="3" Abbr="3 p." DocPartId="1ccc0b9d9969483490bd026e7c00686c" PartId="fd1fdc1d7c954c0f9cf09c326d0dc4f2"/>
        <Part Type="punktas" Nr="4" Abbr="4 p." DocPartId="81f5150face344979c963f4967193a77" PartId="8e3e764a2d7f48f39ec78176b0a40a2c"/>
        <Part Type="punktas" Nr="5" Abbr="5 p." DocPartId="8c8e5951eb254f839165d3270fea3102" PartId="1d0b2035c9e1443b893ef33fa787b316"/>
        <Part Type="punktas" Nr="6" Abbr="6 p." DocPartId="c72823fee8ce413e875464198265aa27" PartId="f94b12f43cc94a6985c045da1a2e8b7e"/>
        <Part Type="punktas" Nr="7" Abbr="7 p." DocPartId="32068def6b414192b9598a5f43a55ed1" PartId="9deeb4efa0d04d2ea51d8bb0e5702e05"/>
      </Part>
    </Part>
    <Part Type="skyrius" Nr="5" Title="SAVIVALDYBĖS VALDOMŲ ĮMONIŲ IR VIEŠŲJŲ ĮSTAIGŲ PLANUOJAMOS PASIEKTI PAGRINDINIŲ VEIKLOS RODIKLIŲ REIKŠMĖS" DocPartId="4f800547885446c69f7b76d019594f5d" PartId="2a1fd4b3377e44499e2495bd3e9e2e9e">
      <Part Type="poskyris" Title="3 lentelė. Savivaldybės valdomų įmonių ir viešųjų įstaigų planuojami pasiekti pagrindiniai veiklos rodikliai ir jų reikšmės" DocPartId="e9a3256b5e284826b12dfe5c9d0b8a96" PartId="3c00795544d747c98433850c09b71726"/>
    </Part>
    <Part Type="skyrius" Nr="6" Title="KITA SVARBI INFORMACIJA" DocPartId="64b2790278a249248b96bcadde2ac7ab" PartId="e091770607e6484491166444c4a88fe6">
      <Part Type="punktas" Nr="1" Abbr="1 p." DocPartId="dc2fbbd72bab406b9c113e6c04d3d610" PartId="e3a6e5bde6dc4bd583938f1cf93468ec"/>
      <Part Type="punktas" Nr="2" Abbr="2 p." DocPartId="467e47b6f6054cda907d2745847a7df5" PartId="1f3366a1a5664e57902d22ac0bf5f59e"/>
    </Part>
  </Part>
</Parts>
</file>

<file path=customXml/itemProps1.xml><?xml version="1.0" encoding="utf-8"?>
<ds:datastoreItem xmlns:ds="http://schemas.openxmlformats.org/officeDocument/2006/customXml" ds:itemID="{07AF22AE-209F-4F5C-8C52-4D2F8B9BE23E}">
  <ds:schemaRefs>
    <ds:schemaRef ds:uri="http://schemas.openxmlformats.org/officeDocument/2006/bibliography"/>
  </ds:schemaRefs>
</ds:datastoreItem>
</file>

<file path=customXml/itemProps2.xml><?xml version="1.0" encoding="utf-8"?>
<ds:datastoreItem xmlns:ds="http://schemas.openxmlformats.org/officeDocument/2006/customXml" ds:itemID="{E86F6EB4-799C-4880-8E3D-45C31AEE57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6259</Words>
  <Characters>41754</Characters>
  <Application>Microsoft Office Word</Application>
  <DocSecurity>4</DocSecurity>
  <Lines>2197</Lines>
  <Paragraphs>1200</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46813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2026-03-02T14:33:00Z</dcterms:created>
  <dc:creator>Aušra Kolpakovienė</dc:creator>
  <lastModifiedBy>adlibuser</lastModifiedBy>
  <lastPrinted>2017-06-01T05:28:00Z</lastPrinted>
  <dcterms:modified xsi:type="dcterms:W3CDTF">2026-03-02T14:33:00Z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9A1744528F4C4C44B650AC3FE35BC35C_13</vt:lpwstr>
  </property>
</Properties>
</file>