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ee60c753bd8448f9a3244f366e148ee"/>
        <w:lock w:val="sdtLocked"/>
        <w:richText/>
      </w:sdtPr>
      <w:sdtContent>
        <w:p>
          <w:pPr>
            <w:jc w:val="both"/>
            <w:rPr>
              <w:rFonts w:ascii="Times New Roman" w:hAnsi="Times New Roman"/>
            </w:rPr>
          </w:pPr>
          <w:r>
            <w:rPr>
              <w:rFonts w:ascii="Times New Roman" w:hAnsi="Times New Roman"/>
              <w:b/>
              <w:i/>
            </w:rPr>
            <w:t>Suvestinė redakcija nuo 2020-01-01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2019-05-17, i. k. 2019-07916</w:t>
          </w:r>
        </w:p>
        <w:p>
          <w:pPr>
            <w:jc w:val="both"/>
            <w:rPr>
              <w:rFonts w:ascii="Times New Roman" w:hAnsi="Times New Roman"/>
              <w:sz w:val="20"/>
            </w:rPr>
          </w:pPr>
        </w:p>
        <w:p>
          <w:pPr>
            <w:tabs>
              <w:tab w:val="center" w:pos="4819"/>
              <w:tab w:val="right" w:pos="9638"/>
            </w:tabs>
            <w:ind w:firstLine="720"/>
            <w:rPr>
              <w:rFonts w:ascii="Arial" w:hAnsi="Arial"/>
              <w:sz w:val="20"/>
            </w:rPr>
          </w:pPr>
        </w:p>
        <w:p>
          <w:pPr>
            <w:jc w:val="center"/>
            <w:rPr>
              <w:b/>
              <w:szCs w:val="24"/>
            </w:rPr>
          </w:pPr>
          <w:r>
            <w:rPr>
              <w:b/>
              <w:szCs w:val="24"/>
              <w:lang w:eastAsia="lt-LT"/>
            </w:rPr>
            <w:drawing>
              <wp:inline distT="0" distB="0" distL="0" distR="0">
                <wp:extent cx="4667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tabs>
              <w:tab w:val="center" w:pos="4819"/>
              <w:tab w:val="right" w:pos="9638"/>
            </w:tabs>
            <w:jc w:val="center"/>
            <w:rPr>
              <w:b/>
              <w:color w:val="000000"/>
              <w:szCs w:val="24"/>
              <w:lang w:eastAsia="lt-LT"/>
            </w:rPr>
          </w:pPr>
          <w:r>
            <w:rPr>
              <w:b/>
              <w:color w:val="000000"/>
              <w:szCs w:val="24"/>
              <w:lang w:eastAsia="lt-LT"/>
            </w:rPr>
            <w:t>LIETUVOS RESPUBLIKOS SVEIKATOS APSAUGOS MINISTRAS</w:t>
          </w:r>
        </w:p>
        <w:p>
          <w:pPr>
            <w:tabs>
              <w:tab w:val="center" w:pos="4819"/>
              <w:tab w:val="right" w:pos="9638"/>
            </w:tabs>
            <w:jc w:val="center"/>
            <w:rPr>
              <w:b/>
              <w:color w:val="000000"/>
              <w:szCs w:val="24"/>
              <w:lang w:eastAsia="lt-LT"/>
            </w:rPr>
          </w:pPr>
        </w:p>
        <w:p>
          <w:pPr>
            <w:jc w:val="center"/>
            <w:rPr>
              <w:szCs w:val="24"/>
              <w:lang w:val="en-US" w:eastAsia="lt-LT"/>
            </w:rPr>
          </w:pPr>
          <w:r>
            <w:rPr>
              <w:b/>
              <w:bCs/>
              <w:szCs w:val="24"/>
              <w:lang w:val="en-US" w:eastAsia="lt-LT"/>
            </w:rPr>
            <w:t>ĮSAKYMAS</w:t>
          </w:r>
        </w:p>
        <w:p>
          <w:pPr>
            <w:jc w:val="center"/>
            <w:rPr>
              <w:szCs w:val="24"/>
              <w:lang w:val="en-US" w:eastAsia="lt-LT"/>
            </w:rPr>
          </w:pPr>
          <w:r>
            <w:rPr>
              <w:b/>
              <w:bCs/>
              <w:caps/>
              <w:color w:val="000000"/>
              <w:szCs w:val="24"/>
              <w:lang w:eastAsia="lt-LT"/>
            </w:rPr>
            <w:t>DĖL LIETUVOS RESPUBLIKOS SVEIKATOS APSAUGOS MINISTRO 1999 M. LAPKRIČIO 29 D. ĮSAKYMO NR. 515 „DĖL SVEIKATOS PRIEŽIŪROS ĮSTAIGŲ VEIKLOS APSKAITOS IR ATSKAITOMYBĖS TVARKOS“ PAKEITIMO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p>
        <w:p>
          <w:pPr>
            <w:jc w:val="center"/>
            <w:rPr>
              <w:color w:val="000000"/>
              <w:szCs w:val="24"/>
              <w:lang w:eastAsia="lt-LT"/>
            </w:rPr>
          </w:pPr>
          <w:r>
            <w:rPr>
              <w:color w:val="000000"/>
              <w:szCs w:val="24"/>
              <w:lang w:eastAsia="lt-LT"/>
            </w:rPr>
            <w:t>2019 m. gegužės 14 d. Nr. V-568</w:t>
          </w:r>
        </w:p>
        <w:p>
          <w:pPr>
            <w:jc w:val="center"/>
            <w:rPr>
              <w:color w:val="000000"/>
              <w:szCs w:val="24"/>
              <w:lang w:eastAsia="lt-LT"/>
            </w:rPr>
          </w:pPr>
          <w:r>
            <w:rPr>
              <w:color w:val="000000"/>
              <w:szCs w:val="24"/>
              <w:lang w:eastAsia="lt-LT"/>
            </w:rPr>
            <w:t>Vilnius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24"/>
              <w:lang w:eastAsia="lt-LT"/>
            </w:rPr>
          </w:pPr>
        </w:p>
        <w:sdt>
          <w:sdtPr>
            <w:alias w:val="1 p."/>
            <w:tag w:val="part_ab3ab3ed001548d2b7007512960f4b0c"/>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ab3ab3ed001548d2b7007512960f4b0c"/>
                  <w:lock w:val="sdtLocked"/>
                  <w:richText/>
                </w:sdtPr>
                <w:sdtContent>
                  <w:r>
                    <w:rPr>
                      <w:color w:val="000000"/>
                      <w:szCs w:val="24"/>
                      <w:lang w:eastAsia="lt-LT"/>
                    </w:rPr>
                    <w:t>1</w:t>
                  </w:r>
                </w:sdtContent>
              </w:sdt>
              <w:r>
                <w:rPr>
                  <w:color w:val="000000"/>
                  <w:szCs w:val="24"/>
                  <w:lang w:eastAsia="lt-LT"/>
                </w:rPr>
                <w:t xml:space="preserve">. P a k e i č i u </w:t>
              </w:r>
              <w:r>
                <w:rPr>
                  <w:color w:val="000000"/>
                  <w:szCs w:val="24"/>
                </w:rPr>
                <w:t>Privalomų sveikatos statistikos apskaitos ir kitų tipinių formų, pildomų sveikatos priežiūros įstaigose, sąrašą ir saugojimo terminus, patvirtintus Lietuvos Respublikos sveikatos apsaugos ministro 1999 m. lapkričio 29 d. įsakymu Nr. 515 „Dėl sveikatos priežiūros įstaigų veiklos apskaitos ir atskaitomybės tvarkos“:</w:t>
              </w:r>
            </w:p>
            <w:sdt>
              <w:sdtPr>
                <w:alias w:val="1.1 pp."/>
                <w:tag w:val="part_1e6dac3152594c9eb8f1da7257923298"/>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1e6dac3152594c9eb8f1da7257923298"/>
                      <w:lock w:val="sdtLocked"/>
                      <w:richText/>
                    </w:sdtPr>
                    <w:sdtContent>
                      <w:r>
                        <w:rPr>
                          <w:szCs w:val="24"/>
                        </w:rPr>
                        <w:t>1.1</w:t>
                      </w:r>
                    </w:sdtContent>
                  </w:sdt>
                  <w:r>
                    <w:rPr>
                      <w:szCs w:val="24"/>
                    </w:rPr>
                    <w:t xml:space="preserve">. Pakeičiu </w:t>
                  </w:r>
                  <w:r>
                    <w:rPr>
                      <w:szCs w:val="24"/>
                      <w:lang w:eastAsia="lt-LT"/>
                    </w:rPr>
                    <w:t>51</w:t>
                  </w:r>
                  <w:r>
                    <w:rPr>
                      <w:szCs w:val="24"/>
                      <w:vertAlign w:val="superscript"/>
                      <w:lang w:eastAsia="lt-LT"/>
                    </w:rPr>
                    <w:t>2</w:t>
                  </w:r>
                  <w:r>
                    <w:rPr>
                      <w:szCs w:val="24"/>
                    </w:rPr>
                    <w:t xml:space="preserve"> punktą ir jį išdėstau taip:</w:t>
                  </w:r>
                </w:p>
                <w:tbl>
                  <w:tblPr>
                    <w:tblW w:w="8217" w:type="dxa"/>
                    <w:tblCellMar>
                      <w:left w:w="0" w:type="dxa"/>
                      <w:right w:w="0" w:type="dxa"/>
                    </w:tblCellMar>
                    <w:tblLook w:val="04A0" w:firstRow="1" w:lastRow="0" w:firstColumn="1" w:lastColumn="0" w:noHBand="0" w:noVBand="1"/>
                  </w:tblPr>
                  <w:tblGrid>
                    <w:gridCol w:w="754"/>
                    <w:gridCol w:w="1368"/>
                    <w:gridCol w:w="4252"/>
                    <w:gridCol w:w="1843"/>
                  </w:tblGrid>
                  <w:tr>
                    <w:tc>
                      <w:tcPr>
                        <w:tcW w:w="754" w:type="dxa"/>
                        <w:tcMar>
                          <w:top w:w="0" w:type="dxa"/>
                          <w:left w:w="108" w:type="dxa"/>
                          <w:bottom w:w="0" w:type="dxa"/>
                          <w:right w:w="108" w:type="dxa"/>
                        </w:tcMar>
                        <w:hideMark/>
                      </w:tcPr>
                      <w:p>
                        <w:pPr>
                          <w:rPr>
                            <w:szCs w:val="24"/>
                            <w:lang w:eastAsia="lt-LT"/>
                          </w:rPr>
                        </w:pPr>
                        <w:r>
                          <w:rPr>
                            <w:szCs w:val="24"/>
                            <w:lang w:eastAsia="lt-LT"/>
                          </w:rPr>
                          <w:t>„51</w:t>
                        </w:r>
                        <w:r>
                          <w:rPr>
                            <w:szCs w:val="24"/>
                            <w:vertAlign w:val="superscript"/>
                            <w:lang w:eastAsia="lt-LT"/>
                          </w:rPr>
                          <w:t>2</w:t>
                        </w:r>
                      </w:p>
                    </w:tc>
                    <w:tc>
                      <w:tcPr>
                        <w:tcW w:w="1368" w:type="dxa"/>
                        <w:tcMar>
                          <w:top w:w="0" w:type="dxa"/>
                          <w:left w:w="108" w:type="dxa"/>
                          <w:bottom w:w="0" w:type="dxa"/>
                          <w:right w:w="108" w:type="dxa"/>
                        </w:tcMar>
                        <w:hideMark/>
                      </w:tcPr>
                      <w:p>
                        <w:pPr>
                          <w:rPr>
                            <w:strike/>
                            <w:szCs w:val="24"/>
                            <w:lang w:eastAsia="lt-LT"/>
                          </w:rPr>
                        </w:pPr>
                        <w:r>
                          <w:rPr>
                            <w:color w:val="000000"/>
                            <w:szCs w:val="24"/>
                            <w:lang w:eastAsia="lt-LT"/>
                          </w:rPr>
                          <w:t>E027-1</w:t>
                        </w:r>
                      </w:p>
                    </w:tc>
                    <w:tc>
                      <w:tcPr>
                        <w:tcW w:w="4252" w:type="dxa"/>
                        <w:tcMar>
                          <w:top w:w="0" w:type="dxa"/>
                          <w:left w:w="108" w:type="dxa"/>
                          <w:bottom w:w="0" w:type="dxa"/>
                          <w:right w:w="108" w:type="dxa"/>
                        </w:tcMar>
                        <w:hideMark/>
                      </w:tcPr>
                      <w:p>
                        <w:pPr>
                          <w:tabs>
                            <w:tab w:val="left" w:pos="1640"/>
                          </w:tabs>
                          <w:rPr>
                            <w:szCs w:val="24"/>
                            <w:lang w:eastAsia="lt-LT"/>
                          </w:rPr>
                        </w:pPr>
                        <w:r>
                          <w:rPr>
                            <w:color w:val="000000"/>
                            <w:szCs w:val="24"/>
                            <w:lang w:eastAsia="lt-LT"/>
                          </w:rPr>
                          <w:t>Mokinio sveikatos pažymėjimas“.</w:t>
                        </w:r>
                      </w:p>
                    </w:tc>
                    <w:tc>
                      <w:tcPr>
                        <w:tcW w:w="1843" w:type="dxa"/>
                        <w:tcMar>
                          <w:top w:w="0" w:type="dxa"/>
                          <w:left w:w="108" w:type="dxa"/>
                          <w:bottom w:w="0" w:type="dxa"/>
                          <w:right w:w="108" w:type="dxa"/>
                        </w:tcMar>
                        <w:hideMark/>
                      </w:tcPr>
                      <w:p>
                        <w:pPr>
                          <w:rPr>
                            <w:strike/>
                            <w:szCs w:val="24"/>
                            <w:lang w:eastAsia="lt-LT"/>
                          </w:rPr>
                        </w:pPr>
                      </w:p>
                    </w:tc>
                  </w:tr>
                </w:tbl>
                <w:p/>
              </w:sdtContent>
            </w:sdt>
            <w:sdt>
              <w:sdtPr>
                <w:alias w:val="1.2 pp."/>
                <w:tag w:val="part_ce88174e820b49dba48818d1e776d173"/>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sdt>
                    <w:sdtPr>
                      <w:alias w:val="Numeris"/>
                      <w:tag w:val="nr_ce88174e820b49dba48818d1e776d173"/>
                      <w:lock w:val="sdtLocked"/>
                      <w:richText/>
                    </w:sdtPr>
                    <w:sdtContent>
                      <w:r>
                        <w:rPr>
                          <w:szCs w:val="24"/>
                        </w:rPr>
                        <w:t>1.2</w:t>
                      </w:r>
                    </w:sdtContent>
                  </w:sdt>
                  <w:r>
                    <w:rPr>
                      <w:szCs w:val="24"/>
                    </w:rPr>
                    <w:t>. Pakeičiu 91 punktą ir jį išdėstau taip:</w:t>
                  </w:r>
                </w:p>
                <w:tbl>
                  <w:tblPr>
                    <w:tblW w:w="9639" w:type="dxa"/>
                    <w:tblCellMar>
                      <w:left w:w="0" w:type="dxa"/>
                      <w:right w:w="0" w:type="dxa"/>
                    </w:tblCellMar>
                    <w:tblLook w:val="04A0" w:firstRow="1" w:lastRow="0" w:firstColumn="1" w:lastColumn="0" w:noHBand="0" w:noVBand="1"/>
                  </w:tblPr>
                  <w:tblGrid>
                    <w:gridCol w:w="657"/>
                    <w:gridCol w:w="1491"/>
                    <w:gridCol w:w="4212"/>
                    <w:gridCol w:w="1941"/>
                    <w:gridCol w:w="1338"/>
                  </w:tblGrid>
                  <w:tr>
                    <w:tc>
                      <w:tcPr>
                        <w:tcW w:w="657" w:type="dxa"/>
                        <w:tcMar>
                          <w:top w:w="0" w:type="dxa"/>
                          <w:left w:w="108" w:type="dxa"/>
                          <w:bottom w:w="0" w:type="dxa"/>
                          <w:right w:w="108" w:type="dxa"/>
                        </w:tcMar>
                        <w:hideMark/>
                      </w:tcPr>
                      <w:p>
                        <w:pPr>
                          <w:rPr>
                            <w:szCs w:val="24"/>
                            <w:lang w:eastAsia="lt-LT"/>
                          </w:rPr>
                        </w:pPr>
                        <w:r>
                          <w:rPr>
                            <w:color w:val="000000"/>
                            <w:szCs w:val="24"/>
                            <w:lang w:eastAsia="lt-LT"/>
                          </w:rPr>
                          <w:t>„91</w:t>
                        </w:r>
                      </w:p>
                    </w:tc>
                    <w:tc>
                      <w:tcPr>
                        <w:tcW w:w="1491" w:type="dxa"/>
                        <w:tcMar>
                          <w:top w:w="0" w:type="dxa"/>
                          <w:left w:w="108" w:type="dxa"/>
                          <w:bottom w:w="0" w:type="dxa"/>
                          <w:right w:w="108" w:type="dxa"/>
                        </w:tcMar>
                        <w:hideMark/>
                      </w:tcPr>
                      <w:p>
                        <w:pPr>
                          <w:rPr>
                            <w:szCs w:val="24"/>
                            <w:lang w:eastAsia="lt-LT"/>
                          </w:rPr>
                        </w:pPr>
                        <w:r>
                          <w:rPr>
                            <w:color w:val="000000"/>
                            <w:szCs w:val="24"/>
                            <w:lang w:eastAsia="lt-LT"/>
                          </w:rPr>
                          <w:t>094/a</w:t>
                        </w:r>
                      </w:p>
                    </w:tc>
                    <w:tc>
                      <w:tcPr>
                        <w:tcW w:w="4212" w:type="dxa"/>
                        <w:tcMar>
                          <w:top w:w="0" w:type="dxa"/>
                          <w:left w:w="108" w:type="dxa"/>
                          <w:bottom w:w="0" w:type="dxa"/>
                          <w:right w:w="108" w:type="dxa"/>
                        </w:tcMar>
                        <w:hideMark/>
                      </w:tcPr>
                      <w:p>
                        <w:pPr>
                          <w:rPr>
                            <w:szCs w:val="24"/>
                            <w:lang w:eastAsia="lt-LT"/>
                          </w:rPr>
                        </w:pPr>
                        <w:r>
                          <w:rPr>
                            <w:color w:val="000000"/>
                            <w:szCs w:val="24"/>
                            <w:lang w:eastAsia="lt-LT"/>
                          </w:rPr>
                          <w:t xml:space="preserve">Medicininė pažyma dėl neatvykimo į darbą, Užimtumo tarnybą prie Lietuvos Respublikos socialinės apsaugos ir darbo ministerijos </w:t>
                        </w:r>
                      </w:p>
                    </w:tc>
                    <w:tc>
                      <w:tcPr>
                        <w:tcW w:w="1941" w:type="dxa"/>
                        <w:tcMar>
                          <w:top w:w="0" w:type="dxa"/>
                          <w:left w:w="108" w:type="dxa"/>
                          <w:bottom w:w="0" w:type="dxa"/>
                          <w:right w:w="108" w:type="dxa"/>
                        </w:tcMar>
                        <w:hideMark/>
                      </w:tcPr>
                      <w:p>
                        <w:pPr>
                          <w:rPr>
                            <w:szCs w:val="24"/>
                            <w:lang w:eastAsia="lt-LT"/>
                          </w:rPr>
                        </w:pPr>
                        <w:r>
                          <w:rPr>
                            <w:color w:val="000000"/>
                            <w:szCs w:val="24"/>
                            <w:lang w:eastAsia="lt-LT"/>
                          </w:rPr>
                          <w:t>3 metai</w:t>
                        </w:r>
                      </w:p>
                    </w:tc>
                    <w:tc>
                      <w:tcPr>
                        <w:tcW w:w="1338" w:type="dxa"/>
                        <w:tcMar>
                          <w:top w:w="0" w:type="dxa"/>
                          <w:left w:w="108" w:type="dxa"/>
                          <w:bottom w:w="0" w:type="dxa"/>
                          <w:right w:w="108" w:type="dxa"/>
                        </w:tcMar>
                        <w:hideMark/>
                      </w:tcPr>
                      <w:p>
                        <w:pPr>
                          <w:rPr>
                            <w:szCs w:val="24"/>
                            <w:lang w:eastAsia="lt-LT"/>
                          </w:rPr>
                        </w:pPr>
                        <w:r>
                          <w:rPr>
                            <w:color w:val="000000"/>
                            <w:szCs w:val="24"/>
                            <w:lang w:eastAsia="lt-LT"/>
                          </w:rPr>
                          <w:t>šaknelė“.</w:t>
                        </w:r>
                      </w:p>
                    </w:tc>
                  </w:tr>
                </w:tbl>
                <w:p/>
              </w:sdtContent>
            </w:sdt>
          </w:sdtContent>
        </w:sdt>
        <w:sdt>
          <w:sdtPr>
            <w:alias w:val="2 p."/>
            <w:tag w:val="part_a578913b0d36453bb31be567d82c2ac6"/>
            <w:lock w:val="sdtLocked"/>
            <w:richText/>
          </w:sdtPr>
          <w:sdtContent>
            <w:p>
              <w:pPr>
                <w:widowControl w:val="0"/>
                <w:suppressAutoHyphens/>
                <w:ind w:firstLine="720"/>
                <w:jc w:val="both"/>
                <w:rPr>
                  <w:rFonts w:eastAsia="Calibri"/>
                  <w:szCs w:val="24"/>
                </w:rPr>
              </w:pPr>
              <w:sdt>
                <w:sdtPr>
                  <w:alias w:val="Numeris"/>
                  <w:tag w:val="nr_a578913b0d36453bb31be567d82c2ac6"/>
                  <w:lock w:val="sdtLocked"/>
                  <w:richText/>
                </w:sdtPr>
                <w:sdtContent>
                  <w:r>
                    <w:rPr>
                      <w:rFonts w:eastAsia="Calibri"/>
                      <w:szCs w:val="24"/>
                    </w:rPr>
                    <w:t>2</w:t>
                  </w:r>
                </w:sdtContent>
              </w:sdt>
              <w:r>
                <w:rPr>
                  <w:rFonts w:eastAsia="Calibri"/>
                  <w:szCs w:val="24"/>
                </w:rPr>
                <w:t>. N u s t a t a u, kad:</w:t>
              </w:r>
            </w:p>
            <w:sdt>
              <w:sdtPr>
                <w:alias w:val="2.1 pp."/>
                <w:tag w:val="part_8040ea4a7dff46c2bdc119a465271000"/>
                <w:lock w:val="sdtLocked"/>
                <w:richText/>
              </w:sdtPr>
              <w:sdtContent>
                <w:p>
                  <w:pPr>
                    <w:widowControl w:val="0"/>
                    <w:suppressAutoHyphens/>
                    <w:ind w:firstLine="720"/>
                    <w:jc w:val="both"/>
                    <w:rPr>
                      <w:rFonts w:eastAsia="Calibri"/>
                      <w:szCs w:val="24"/>
                    </w:rPr>
                  </w:pPr>
                  <w:sdt>
                    <w:sdtPr>
                      <w:alias w:val="Numeris"/>
                      <w:tag w:val="nr_8040ea4a7dff46c2bdc119a465271000"/>
                      <w:lock w:val="sdtLocked"/>
                      <w:richText/>
                    </w:sdtPr>
                    <w:sdtContent>
                      <w:r>
                        <w:rPr>
                          <w:rFonts w:eastAsia="Calibri"/>
                          <w:szCs w:val="24"/>
                        </w:rPr>
                        <w:t>2.1</w:t>
                      </w:r>
                    </w:sdtContent>
                  </w:sdt>
                  <w:r>
                    <w:rPr>
                      <w:rFonts w:eastAsia="Calibri"/>
                      <w:szCs w:val="24"/>
                    </w:rPr>
                    <w:t>. kituose teisės aktuose nuoroda į:</w:t>
                  </w:r>
                </w:p>
                <w:sdt>
                  <w:sdtPr>
                    <w:alias w:val="2.1.1 pp."/>
                    <w:tag w:val="part_8ed303ceaaa3450ba6126c22f920567d"/>
                    <w:lock w:val="sdtLocked"/>
                    <w:richText/>
                  </w:sdtPr>
                  <w:sdtContent>
                    <w:p>
                      <w:pPr>
                        <w:widowControl w:val="0"/>
                        <w:suppressAutoHyphens/>
                        <w:ind w:firstLine="720"/>
                        <w:jc w:val="both"/>
                        <w:rPr>
                          <w:color w:val="000000"/>
                          <w:szCs w:val="24"/>
                          <w:lang w:eastAsia="lt-LT"/>
                        </w:rPr>
                      </w:pPr>
                      <w:sdt>
                        <w:sdtPr>
                          <w:alias w:val="Numeris"/>
                          <w:tag w:val="nr_8ed303ceaaa3450ba6126c22f920567d"/>
                          <w:lock w:val="sdtLocked"/>
                          <w:richText/>
                        </w:sdtPr>
                        <w:sdtContent>
                          <w:r>
                            <w:rPr>
                              <w:rFonts w:eastAsia="Calibri"/>
                              <w:szCs w:val="24"/>
                            </w:rPr>
                            <w:t>2.1.1</w:t>
                          </w:r>
                        </w:sdtContent>
                      </w:sdt>
                      <w:r>
                        <w:rPr>
                          <w:rFonts w:eastAsia="Calibri"/>
                          <w:szCs w:val="24"/>
                        </w:rPr>
                        <w:t xml:space="preserve">. statistinę apskaitos formą Nr. 027-1/a „Vaiko sveikatos pažymėjimas“ </w:t>
                      </w:r>
                      <w:r>
                        <w:rPr>
                          <w:color w:val="000000"/>
                          <w:szCs w:val="24"/>
                          <w:lang w:eastAsia="lt-LT"/>
                        </w:rPr>
                        <w:t xml:space="preserve">reiškia nuorodą į elektroninę </w:t>
                      </w:r>
                      <w:r>
                        <w:rPr>
                          <w:rFonts w:eastAsia="Calibri"/>
                          <w:szCs w:val="24"/>
                        </w:rPr>
                        <w:t xml:space="preserve">statistinę apskaitos formą </w:t>
                      </w:r>
                      <w:r>
                        <w:rPr>
                          <w:color w:val="000000"/>
                          <w:szCs w:val="24"/>
                          <w:lang w:eastAsia="lt-LT"/>
                        </w:rPr>
                        <w:t>Nr. E027-1</w:t>
                      </w:r>
                      <w:r>
                        <w:rPr>
                          <w:rFonts w:eastAsia="Calibri"/>
                          <w:szCs w:val="24"/>
                        </w:rPr>
                        <w:t xml:space="preserve"> „</w:t>
                      </w:r>
                      <w:r>
                        <w:rPr>
                          <w:color w:val="000000"/>
                          <w:szCs w:val="24"/>
                          <w:lang w:eastAsia="lt-LT"/>
                        </w:rPr>
                        <w:t>Mokinio sveikatos pažymėjimas“;</w:t>
                      </w:r>
                    </w:p>
                  </w:sdtContent>
                </w:sdt>
                <w:sdt>
                  <w:sdtPr>
                    <w:alias w:val="2.1.2 pp."/>
                    <w:tag w:val="part_8186dbf0dd6b47ee964a24604ce430ab"/>
                    <w:lock w:val="sdtLocked"/>
                    <w:richText/>
                  </w:sdtPr>
                  <w:sdtContent>
                    <w:p>
                      <w:pPr>
                        <w:widowControl w:val="0"/>
                        <w:suppressAutoHyphens/>
                        <w:ind w:firstLine="720"/>
                        <w:jc w:val="both"/>
                        <w:rPr>
                          <w:rFonts w:eastAsia="Calibri"/>
                          <w:szCs w:val="24"/>
                        </w:rPr>
                      </w:pPr>
                      <w:sdt>
                        <w:sdtPr>
                          <w:alias w:val="Numeris"/>
                          <w:tag w:val="nr_8186dbf0dd6b47ee964a24604ce430ab"/>
                          <w:lock w:val="sdtLocked"/>
                          <w:richText/>
                        </w:sdtPr>
                        <w:sdtContent>
                          <w:r>
                            <w:rPr>
                              <w:color w:val="000000"/>
                              <w:szCs w:val="24"/>
                              <w:lang w:eastAsia="lt-LT"/>
                            </w:rPr>
                            <w:t>2.1.2</w:t>
                          </w:r>
                        </w:sdtContent>
                      </w:sdt>
                      <w:r>
                        <w:rPr>
                          <w:color w:val="000000"/>
                          <w:szCs w:val="24"/>
                          <w:lang w:eastAsia="lt-LT"/>
                        </w:rPr>
                        <w:t>. medicininės pažymos formą Nr. 094/a „Medicininė pažyma dėl neatvykimo į darbą, darbo biržą ar ugdymo instituciją“ reiškia nuorodą į medicininės pažymos formą Nr. 094/a „Medicininė pažyma dėl neatvykimo į darbą, Užimtumo tarnybą prie Lietuvos Respublikos socialinės apsaugos ir darbo ministerijos“;</w:t>
                      </w:r>
                    </w:p>
                  </w:sdtContent>
                </w:sdt>
              </w:sdtContent>
            </w:sdt>
            <w:sdt>
              <w:sdtPr>
                <w:alias w:val="2.2 pp."/>
                <w:tag w:val="part_f288144d5d6347feb40e9876f9e813da"/>
                <w:lock w:val="sdtLocked"/>
                <w:richText/>
              </w:sdtPr>
              <w:sdtContent>
                <w:p>
                  <w:pPr>
                    <w:widowControl w:val="0"/>
                    <w:suppressAutoHyphens/>
                    <w:ind w:firstLine="720"/>
                    <w:jc w:val="both"/>
                    <w:rPr>
                      <w:rFonts w:eastAsia="Calibri"/>
                      <w:szCs w:val="24"/>
                    </w:rPr>
                  </w:pPr>
                  <w:sdt>
                    <w:sdtPr>
                      <w:alias w:val="Numeris"/>
                      <w:tag w:val="nr_f288144d5d6347feb40e9876f9e813da"/>
                      <w:lock w:val="sdtLocked"/>
                      <w:richText/>
                    </w:sdtPr>
                    <w:sdtContent>
                      <w:r>
                        <w:rPr>
                          <w:rFonts w:eastAsia="Calibri"/>
                          <w:szCs w:val="24"/>
                        </w:rPr>
                        <w:t>2.2</w:t>
                      </w:r>
                    </w:sdtContent>
                  </w:sdt>
                  <w:r>
                    <w:rPr>
                      <w:rFonts w:eastAsia="Calibri"/>
                      <w:szCs w:val="24"/>
                    </w:rPr>
                    <w:t>. šio įsakymo 1.1 ir 2.1.1 papunkčiai įsigalioja 2020 m. gegužės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1a27802ba411eabe008ea93139d588">
                    <w:r w:rsidRPr="00532B9F">
                      <w:rPr>
                        <w:rFonts w:ascii="Times New Roman" w:eastAsia="MS Mincho" w:hAnsi="Times New Roman"/>
                        <w:sz w:val="20"/>
                        <w:i/>
                        <w:iCs/>
                        <w:color w:val="0000FF" w:themeColor="hyperlink"/>
                        <w:u w:val="single"/>
                      </w:rPr>
                      <w:t>V-1534</w:t>
                    </w:r>
                  </w:fldSimple>
                  <w:r>
                    <w:rPr>
                      <w:rFonts w:ascii="Times New Roman" w:eastAsia="MS Mincho" w:hAnsi="Times New Roman"/>
                      <w:sz w:val="20"/>
                      <w:i/>
                      <w:iCs/>
                    </w:rPr>
                    <w:t>,
2019-12-30,
paskelbta TAR 2019-12-31, i. k. 2019-21773            </w:t>
                  </w:r>
                </w:p>
                <w:p/>
              </w:sdtContent>
            </w:sdt>
            <w:sdt>
              <w:sdtPr>
                <w:alias w:val="2.3 pp."/>
                <w:tag w:val="part_a7d38576fc46458fbc1620e90a35b878"/>
                <w:lock w:val="sdtLocked"/>
                <w:richText/>
              </w:sdtPr>
              <w:sdtContent>
                <w:p>
                  <w:pPr>
                    <w:widowControl w:val="0"/>
                    <w:suppressAutoHyphens/>
                    <w:ind w:firstLine="720"/>
                    <w:jc w:val="both"/>
                    <w:rPr>
                      <w:szCs w:val="24"/>
                    </w:rPr>
                  </w:pPr>
                  <w:sdt>
                    <w:sdtPr>
                      <w:alias w:val="Numeris"/>
                      <w:tag w:val="nr_a7d38576fc46458fbc1620e90a35b878"/>
                      <w:lock w:val="sdtLocked"/>
                      <w:richText/>
                    </w:sdtPr>
                    <w:sdtContent>
                      <w:r>
                        <w:rPr>
                          <w:rFonts w:eastAsia="Calibri"/>
                          <w:szCs w:val="24"/>
                        </w:rPr>
                        <w:t>2.3</w:t>
                      </w:r>
                    </w:sdtContent>
                  </w:sdt>
                  <w:r>
                    <w:rPr>
                      <w:rFonts w:eastAsia="Calibri"/>
                      <w:szCs w:val="24"/>
                    </w:rPr>
                    <w:t xml:space="preserve">. šio įsakymo 1.2 ir 2.1.2 papunkčiai įsigalioja 2019 m. rugsėjo 1 d. </w:t>
                  </w:r>
                </w:p>
              </w:sdtContent>
            </w:sdt>
          </w:sdtContent>
        </w:sdt>
        <w:sdt>
          <w:sdtPr>
            <w:alias w:val="signatura"/>
            <w:tag w:val="part_42bffd3fe7ee4bbcbc32516f304dd9a9"/>
            <w:lock w:val="sdtLocked"/>
            <w:richText/>
          </w:sdtPr>
          <w:sdtContent>
            <w:p>
              <w:pPr>
                <w:suppressAutoHyphens/>
                <w:jc w:val="both"/>
                <w:textAlignment w:val="center"/>
              </w:pPr>
            </w:p>
            <w:p>
              <w:pPr>
                <w:suppressAutoHyphens/>
                <w:jc w:val="both"/>
                <w:textAlignment w:val="center"/>
              </w:pPr>
            </w:p>
            <w:p>
              <w:pPr>
                <w:suppressAutoHyphens/>
                <w:jc w:val="both"/>
                <w:textAlignment w:val="center"/>
              </w:pPr>
            </w:p>
            <w:p>
              <w:pPr>
                <w:tabs>
                  <w:tab w:val="left" w:pos="7938"/>
                </w:tabs>
                <w:suppressAutoHyphens/>
                <w:jc w:val="both"/>
                <w:textAlignment w:val="center"/>
                <w:rPr>
                  <w:color w:val="000000"/>
                  <w:sz w:val="20"/>
                  <w:lang w:eastAsia="lt-LT"/>
                </w:rPr>
              </w:pPr>
              <w:r>
                <w:rPr>
                  <w:color w:val="000000"/>
                  <w:szCs w:val="24"/>
                </w:rPr>
                <w:t>Sveikatos apsaugos ministras</w:t>
                <w:tab/>
                <w:t>Aurelijus Veryga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1a27802ba411eabe008ea93139d588">
            <w:r w:rsidRPr="00532B9F">
              <w:rPr>
                <w:rFonts w:ascii="Times New Roman" w:eastAsia="MS Mincho" w:hAnsi="Times New Roman"/>
                <w:sz w:val="20"/>
                <w:iCs/>
                <w:color w:val="0000FF" w:themeColor="hyperlink"/>
                <w:u w:val="single"/>
              </w:rPr>
              <w:t>V-1534</w:t>
            </w:r>
          </w:fldSimple>
          <w:r>
            <w:rPr>
              <w:rFonts w:ascii="Times New Roman" w:eastAsia="MS Mincho" w:hAnsi="Times New Roman"/>
              <w:sz w:val="20"/>
              <w:iCs/>
            </w:rPr>
            <w:t>,
2019-12-30,
paskelbta TAR 2019-12-31, i. k. 2019-21773                </w:t>
          </w:r>
        </w:p>
        <w:p>
          <w:pPr>
            <w:jc w:val="both"/>
            <w:rPr>
              <w:rFonts w:ascii="Times New Roman" w:hAnsi="Times New Roman"/>
            </w:rPr>
          </w:pPr>
          <w:r>
            <w:rPr>
              <w:rFonts w:ascii="Times New Roman" w:hAnsi="Times New Roman"/>
              <w:sz w:val="20"/>
            </w:rPr>
            <w:t>Dėl Lietuvos Respublikos sveikatos apsaugos ministro 2019 m. gegužės 14 d. įsakymo Nr. V-568 „Dėl Lietuvos Respublikos sveikatos apsaugos ministro 1999 m. lapkričio 29 d. įsakymo Nr. 515 Dėl sveikatos priežiūros įstaigų veiklos apskaitos ir atskaitomybės tvarkos“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charset w:val="80"/>
    <w:family w:val="roman"/>
    <w:pitch w:val="variable"/>
    <w:sig w:usb0="00000001" w:usb1="08070000" w:usb2="00000010" w:usb3="00000000" w:csb0="00020000"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 xml:space="preserve">PAGE   </w:instrText>
    </w:r>
    <w:r>
      <w:rPr>
        <w:rFonts w:ascii="Arial" w:hAnsi="Arial"/>
        <w:sz w:val="20"/>
      </w:rPr>
      <w:instrText>\*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3197AE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574123736">
      <w:bodyDiv w:val="1"/>
      <w:marLeft w:val="0"/>
      <w:marRight w:val="0"/>
      <w:marTop w:val="0"/>
      <w:marBottom w:val="0"/>
      <w:divBdr>
        <w:top w:val="none" w:sz="0" w:space="0" w:color="auto"/>
        <w:left w:val="none" w:sz="0" w:space="0" w:color="auto"/>
        <w:bottom w:val="none" w:sz="0" w:space="0" w:color="auto"/>
        <w:right w:val="none" w:sz="0" w:space="0" w:color="auto"/>
      </w:divBdr>
      <w:divsChild>
        <w:div w:id="50421240">
          <w:marLeft w:val="0"/>
          <w:marRight w:val="0"/>
          <w:marTop w:val="0"/>
          <w:marBottom w:val="0"/>
          <w:divBdr>
            <w:top w:val="none" w:sz="0" w:space="0" w:color="auto"/>
            <w:left w:val="none" w:sz="0" w:space="0" w:color="auto"/>
            <w:bottom w:val="none" w:sz="0" w:space="0" w:color="auto"/>
            <w:right w:val="none" w:sz="0" w:space="0" w:color="auto"/>
          </w:divBdr>
        </w:div>
      </w:divsChild>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130901335">
      <w:bodyDiv w:val="1"/>
      <w:marLeft w:val="0"/>
      <w:marRight w:val="0"/>
      <w:marTop w:val="0"/>
      <w:marBottom w:val="0"/>
      <w:divBdr>
        <w:top w:val="none" w:sz="0" w:space="0" w:color="auto"/>
        <w:left w:val="none" w:sz="0" w:space="0" w:color="auto"/>
        <w:bottom w:val="none" w:sz="0" w:space="0" w:color="auto"/>
        <w:right w:val="none" w:sz="0" w:space="0" w:color="auto"/>
      </w:divBdr>
      <w:divsChild>
        <w:div w:id="2046369652">
          <w:marLeft w:val="0"/>
          <w:marRight w:val="0"/>
          <w:marTop w:val="0"/>
          <w:marBottom w:val="0"/>
          <w:divBdr>
            <w:top w:val="none" w:sz="0" w:space="0" w:color="auto"/>
            <w:left w:val="none" w:sz="0" w:space="0" w:color="auto"/>
            <w:bottom w:val="none" w:sz="0" w:space="0" w:color="auto"/>
            <w:right w:val="none" w:sz="0" w:space="0" w:color="auto"/>
          </w:divBdr>
        </w:div>
      </w:divsChild>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276671385">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328820505">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593509693">
      <w:bodyDiv w:val="1"/>
      <w:marLeft w:val="0"/>
      <w:marRight w:val="0"/>
      <w:marTop w:val="0"/>
      <w:marBottom w:val="0"/>
      <w:divBdr>
        <w:top w:val="none" w:sz="0" w:space="0" w:color="auto"/>
        <w:left w:val="none" w:sz="0" w:space="0" w:color="auto"/>
        <w:bottom w:val="none" w:sz="0" w:space="0" w:color="auto"/>
        <w:right w:val="none" w:sz="0" w:space="0" w:color="auto"/>
      </w:divBdr>
      <w:divsChild>
        <w:div w:id="1276257879">
          <w:marLeft w:val="0"/>
          <w:marRight w:val="0"/>
          <w:marTop w:val="0"/>
          <w:marBottom w:val="0"/>
          <w:divBdr>
            <w:top w:val="none" w:sz="0" w:space="0" w:color="auto"/>
            <w:left w:val="none" w:sz="0" w:space="0" w:color="auto"/>
            <w:bottom w:val="none" w:sz="0" w:space="0" w:color="auto"/>
            <w:right w:val="none" w:sz="0" w:space="0" w:color="auto"/>
          </w:divBdr>
        </w:div>
      </w:divsChild>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5.xml"/>
  <Relationship Id="rId20" Type="http://schemas.openxmlformats.org/officeDocument/2006/relationships/customXml" Target="../customXml/item4.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o2cc8c89477e456eb48e61b1cb42a2c0 xmlns="7ddbcf87-b050-43a2-b7ff-65d83e78af57" xmlns:xsi="http://www.w3.org/2001/XMLSchema-instance"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9e87edd07ce4583a52aa2ee12a4d6a6" PartId="eee60c753bd8448f9a3244f366e148ee">
    <Part Type="punktas" Nr="1" Abbr="1 p." DocPartId="99c9ac9898a24a6798c1ece6e1fd9409" PartId="ab3ab3ed001548d2b7007512960f4b0c">
      <Part Type="papunktis" Nr="1.1" Abbr="1.1 pp." DocPartId="3a72dad37eb44e06b52ac66494ef271b" PartId="1e6dac3152594c9eb8f1da7257923298"/>
      <Part Type="papunktis" Nr="1.2" Abbr="1.2 pp." DocPartId="cb35a0f82a374ec5aa351be95b00bd60" PartId="ce88174e820b49dba48818d1e776d173"/>
    </Part>
    <Part Type="punktas" Nr="2" Abbr="2 p." DocPartId="314b66660353454f9a075b68fe80374f" PartId="a578913b0d36453bb31be567d82c2ac6">
      <Part Type="papunktis" Nr="2.1" Abbr="2.1 pp." DocPartId="6d426f6f33d444d7abd9d5d1a4092deb" PartId="8040ea4a7dff46c2bdc119a465271000">
        <Part Type="papunktis" Nr="2.1.1" Abbr="2.1.1 pp." DocPartId="2f5e32e64e9b4f4cb24ce2f3c2be79c1" PartId="8ed303ceaaa3450ba6126c22f920567d"/>
        <Part Type="papunktis" Nr="2.1.2" Abbr="2.1.2 pp." DocPartId="eb5e58a3671f4e759c09b69aae77ed65" PartId="8186dbf0dd6b47ee964a24604ce430ab"/>
      </Part>
      <Part Type="papunktis" Nr="2.2" Abbr="2.2 pp." DocPartId="00697743384f4f55943ff55cf6c68143" PartId="f288144d5d6347feb40e9876f9e813da"/>
      <Part Type="papunktis" Nr="2.3" Abbr="2.3 pp." DocPartId="675da2940dee43f6be022fd21079d3b9" PartId="a7d38576fc46458fbc1620e90a35b878"/>
    </Part>
    <Part Type="signatura" DocPartId="b3e07e4995064436873bec166697dc8b" PartId="42bffd3fe7ee4bbcbc32516f304dd9a9"/>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7F4EF3-17A1-4261-AEF9-50E84698442F}">
  <ds:schemaRefs>
    <ds:schemaRef ds:uri="http://www.w3.org/XML/1998/namespace"/>
    <ds:schemaRef ds:uri="http://purl.org/dc/elements/1.1/"/>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http://schemas.microsoft.com/office/2006/metadata/properties"/>
    <ds:schemaRef ds:uri="7ddbcf87-b050-43a2-b7ff-65d83e78af57"/>
    <ds:schemaRef ds:uri="4b2e9d09-07c5-42d4-ad0a-92e216c40b99"/>
    <ds:schemaRef ds:uri="http://purl.org/dc/dcmitype/"/>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11B5E30B-B41F-4690-9AF8-140AA5F204E2}">
  <ds:schemaRefs>
    <ds:schemaRef ds:uri="http://lrs.lt/TAIS/DocParts"/>
  </ds:schemaRefs>
</ds:datastoreItem>
</file>

<file path=customXml/itemProps5.xml><?xml version="1.0" encoding="utf-8"?>
<ds:datastoreItem xmlns:ds="http://schemas.openxmlformats.org/officeDocument/2006/customXml" ds:itemID="{9F8229EF-5E2A-4CAD-9636-18785FD48270}">
  <ds:schemaRefs>
    <ds:schemaRef ds:uri="http://schemas.openxmlformats.org/officeDocument/2006/bibliography"/>
  </ds:schemaRefs>
</ds:datastoreItem>
</file>

<file path=customXml/itemProps6.xml><?xml version="1.0" encoding="utf-8"?>
<ds:datastoreItem xmlns:ds="http://schemas.openxmlformats.org/officeDocument/2006/customXml" ds:itemID="{B9009990-5720-410B-8C76-24D5D7F4A3C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1</Pages>
  <Words>1133</Words>
  <Characters>646</Characters>
  <Application>Microsoft Office Word</Application>
  <DocSecurity>0</DocSecurity>
  <Lines>5</Lines>
  <Paragraphs>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1776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2019-05-17T12:05:00Z</dcterms:created>
  <dc:creator>Oksana Burokienė</dc:creator>
  <lastModifiedBy>TAMALIŪNIENĖ Vilija</lastModifiedBy>
  <lastPrinted>2019-05-03T11:13:00Z</lastPrinted>
  <dcterms:modified xsi:type="dcterms:W3CDTF">2020-01-03T09:07:00Z</dcterms:modified>
  <revision>5</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0x010100D76F90AF19434866994CD715ED8FEE4200686DA73B51BDAE499A8C5C19CB59598B</vt:lpwstr>
  </property>
  <property fmtid="{D5CDD505-2E9C-101B-9397-08002B2CF9AE}" pid="3" name="TaxCatchAll">
    <vt:lpwstr xmlns:vt="http://schemas.openxmlformats.org/officeDocument/2006/docPropsVTypes"/>
  </property>
</Properties>
</file>