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body>
    <w:sdt>
      <w:sdtPr>
        <w:alias w:val="pagrindine"/>
        <w:tag w:val="part_ab9be692a03746a89d0c81d2deddacac"/>
        <w:lock w:val="sdtLocked"/>
        <w:richText/>
      </w:sdtPr>
      <w:sdtContent>
        <w:p>
          <w:pPr>
            <w:jc w:val="both"/>
            <w:rPr>
              <w:rFonts w:ascii="Times New Roman" w:hAnsi="Times New Roman"/>
            </w:rPr>
          </w:pPr>
          <w:r>
            <w:rPr>
              <w:rFonts w:ascii="Times New Roman" w:hAnsi="Times New Roman"/>
              <w:b/>
              <w:i/>
            </w:rPr>
            <w:t>Suvestinė redakcija nuo 2021-03-01 iki 2022-04-04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2020-02-11, i. k. 2020-02996</w:t>
          </w:r>
        </w:p>
        <w:p>
          <w:pPr>
            <w:jc w:val="both"/>
            <w:rPr>
              <w:rFonts w:ascii="Times New Roman" w:hAnsi="Times New Roman"/>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52pt" o:ole="" fillcolor="window">
                <v:imagedata r:id="rId10" o:title=""/>
              </v:shape>
              <o:OLEObject Type="Embed" ProgID="Word.Picture.8" ShapeID="_x0000_i1025" DrawAspect="Content" ObjectID="_0000000001" r:id="rId11"/>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d44149b9ad5a404fa8d0839704f1b548"/>
        <w:lock w:val="sdtLocked"/>
        <w:richText/>
      </w:sdtPr>
      <w:sdtContent>
        <w:p>
          <w:pPr>
            <w:ind w:left="5760" w:firstLine="619"/>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d44149b9ad5a404fa8d0839704f1b548"/>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2a4a3690a11a4d3e94850acfce77d6ee"/>
                <w:lock w:val="sdtLocked"/>
                <w:richText/>
              </w:sdtPr>
              <w:sdtContent>
                <w:p>
                  <w:pPr>
                    <w:tabs>
                      <w:tab w:val="left" w:pos="1418"/>
                    </w:tabs>
                    <w:ind w:firstLine="993"/>
                    <w:jc w:val="both"/>
                    <w:rPr>
                      <w:szCs w:val="24"/>
                    </w:rPr>
                  </w:pPr>
                  <w:sdt>
                    <w:sdtPr>
                      <w:alias w:val="Numeris"/>
                      <w:tag w:val="nr_2a4a3690a11a4d3e94850acfce77d6ee"/>
                      <w:lock w:val="sdtLocked"/>
                      <w:richText/>
                    </w:sdtPr>
                    <w:sdtContent>
                      <w:r>
                        <w:rPr>
                          <w:szCs w:val="24"/>
                        </w:rPr>
                        <w:t>2</w:t>
                      </w:r>
                    </w:sdtContent>
                  </w:sdt>
                  <w:r>
                    <w:rPr>
                      <w:szCs w:val="24"/>
                    </w:rPr>
                    <w:t>.</w:t>
                    <w:tab/>
                    <w:t xml:space="preserve">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w:t>
                  </w:r>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34bf0aa4ab947f1a19eb547a6e1e639"/>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d34bf0aa4ab947f1a19eb547a6e1e639"/>
                          <w:lock w:val="sdtLocked"/>
                          <w:richText/>
                        </w:sdtPr>
                        <w:sdtContent>
                          <w:r>
                            <w:rPr>
                              <w:szCs w:val="24"/>
                              <w:lang w:eastAsia="ar-SA"/>
                            </w:rPr>
                            <w:t>8.2</w:t>
                          </w:r>
                        </w:sdtContent>
                      </w:sdt>
                      <w:r>
                        <w:rPr>
                          <w:szCs w:val="24"/>
                          <w:lang w:eastAsia="ar-SA"/>
                        </w:rPr>
                        <w:t>.</w:t>
                        <w:tab/>
                      </w:r>
                      <w:r>
                        <w:rPr>
                          <w:b/>
                          <w:i/>
                          <w:szCs w:val="24"/>
                          <w:lang w:eastAsia="ar-SA"/>
                        </w:rPr>
                        <w:t xml:space="preserve">transporto išlaidoms kompensuoti reguliariai atliekant hemodializės procedūras </w:t>
                      </w:r>
                      <w:r>
                        <w:rPr>
                          <w:szCs w:val="24"/>
                          <w:lang w:eastAsia="ar-SA"/>
                        </w:rPr>
                        <w:t>skiriama</w:t>
                      </w:r>
                      <w:r>
                        <w:rPr>
                          <w:b/>
                          <w:i/>
                          <w:szCs w:val="24"/>
                          <w:lang w:eastAsia="ar-SA"/>
                        </w:rPr>
                        <w:t xml:space="preserve">, </w:t>
                      </w:r>
                      <w:r>
                        <w:rPr>
                          <w:szCs w:val="24"/>
                          <w:lang w:eastAsia="ar-SA"/>
                        </w:rPr>
                        <w:t>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p>
                    <w:sdt>
                      <w:sdtPr>
                        <w:alias w:val="8.2.1 pp."/>
                        <w:tag w:val="part_95559a66c7fc493caafc54d33d4e6f6b"/>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95559a66c7fc493caafc54d33d4e6f6b"/>
                              <w:lock w:val="sdtLocked"/>
                              <w:richText/>
                            </w:sdtPr>
                            <w:sdtContent>
                              <w:r>
                                <w:rPr>
                                  <w:szCs w:val="24"/>
                                  <w:lang w:eastAsia="ar-SA"/>
                                </w:rPr>
                                <w:t>8.2.1</w:t>
                              </w:r>
                            </w:sdtContent>
                          </w:sdt>
                          <w:r>
                            <w:rPr>
                              <w:szCs w:val="24"/>
                              <w:lang w:eastAsia="ar-SA"/>
                            </w:rPr>
                            <w:t xml:space="preserve">.  5 BSI dydžių – asmenims, kurie į procedūras Telšių regioninėje ligoninėje važinėja iš gyvenamosios vietovės, nutolusios nuo Telšių regioninės ligoninės atstumu iki 10 kilometrų;</w:t>
                          </w:r>
                        </w:p>
                      </w:sdtContent>
                    </w:sdt>
                    <w:sdt>
                      <w:sdtPr>
                        <w:alias w:val="8.2.2 pp."/>
                        <w:tag w:val="part_cfa7b89091c442188a62d9b631d46576"/>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cfa7b89091c442188a62d9b631d46576"/>
                              <w:lock w:val="sdtLocked"/>
                              <w:richText/>
                            </w:sdtPr>
                            <w:sdtContent>
                              <w:r>
                                <w:rPr>
                                  <w:szCs w:val="24"/>
                                  <w:lang w:eastAsia="ar-SA"/>
                                </w:rPr>
                                <w:t>8.2.2</w:t>
                              </w:r>
                            </w:sdtContent>
                          </w:sdt>
                          <w:r>
                            <w:rPr>
                              <w:szCs w:val="24"/>
                              <w:lang w:eastAsia="ar-SA"/>
                            </w:rPr>
                            <w:t>.</w:t>
                            <w:tab/>
                            <w:t xml:space="preserve">  10 BSI dydžių – asmenims, kurie į procedūras Telšių regioninėje ligoninėje važinėja iš gyvenamosios vietovės, nutolusios nuo Telšių regioninės ligoninės atstumu nuo 11 iki 20 kilometrų;</w:t>
                          </w:r>
                        </w:p>
                      </w:sdtContent>
                    </w:sdt>
                    <w:sdt>
                      <w:sdtPr>
                        <w:alias w:val="8.2.3 pp."/>
                        <w:tag w:val="part_d3fd20aa5cb94948bc1145ad30431e1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d3fd20aa5cb94948bc1145ad30431e13"/>
                              <w:lock w:val="sdtLocked"/>
                              <w:richText/>
                            </w:sdtPr>
                            <w:sdtContent>
                              <w:r>
                                <w:rPr>
                                  <w:szCs w:val="24"/>
                                  <w:lang w:eastAsia="ar-SA"/>
                                </w:rPr>
                                <w:t>8.2.3</w:t>
                              </w:r>
                            </w:sdtContent>
                          </w:sdt>
                          <w:r>
                            <w:rPr>
                              <w:szCs w:val="24"/>
                              <w:lang w:eastAsia="ar-SA"/>
                            </w:rPr>
                            <w:t>.</w:t>
                            <w:tab/>
                            <w:t xml:space="preserve">  15 BSI dydžių – asmenims, kurie į Telšių regioninėje ligoninėje atliekamas procedūras važinėja iš gyvenamosios vietovės, nutolusios nuo Telšių regioninės ligoninės atstumu nuo 21 iki 30 kilometrų;</w:t>
                          </w:r>
                        </w:p>
                      </w:sdtContent>
                    </w:sdt>
                    <w:sdt>
                      <w:sdtPr>
                        <w:alias w:val="8.2.4 pp."/>
                        <w:tag w:val="part_9fc2eb29d3034de3ac3a5ec8d507625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9fc2eb29d3034de3ac3a5ec8d5076253"/>
                              <w:lock w:val="sdtLocked"/>
                              <w:richText/>
                            </w:sdtPr>
                            <w:sdtContent>
                              <w:r>
                                <w:rPr>
                                  <w:szCs w:val="24"/>
                                  <w:lang w:eastAsia="ar-SA"/>
                                </w:rPr>
                                <w:t>8.2.4</w:t>
                              </w:r>
                            </w:sdtContent>
                          </w:sdt>
                          <w:r>
                            <w:rPr>
                              <w:szCs w:val="24"/>
                              <w:lang w:eastAsia="ar-SA"/>
                            </w:rPr>
                            <w:t>.</w:t>
                            <w:tab/>
                            <w:t xml:space="preserve">  20 BSI dydžių – asmenims, kurie į procedūras Telšių regioninėje ligoninėje važinėja iš gyvenamosios vietovės, nutolusios nuo Telšių regioninės ligoninės daugiau kaip 30 kilometrų;</w:t>
                          </w:r>
                        </w:p>
                      </w:sdtContent>
                    </w:sdt>
                    <w:sdt>
                      <w:sdtPr>
                        <w:alias w:val="8.2.5 pp."/>
                        <w:tag w:val="part_b8d3285d3ab94c349819cbfa237335c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b8d3285d3ab94c349819cbfa237335c8"/>
                              <w:lock w:val="sdtLocked"/>
                              <w:richText/>
                            </w:sdtPr>
                            <w:sdtContent>
                              <w:r>
                                <w:rPr>
                                  <w:szCs w:val="24"/>
                                  <w:lang w:eastAsia="ar-SA"/>
                                </w:rPr>
                                <w:t>8.2.5</w:t>
                              </w:r>
                            </w:sdtContent>
                          </w:sdt>
                          <w:r>
                            <w:rPr>
                              <w:szCs w:val="24"/>
                              <w:lang w:eastAsia="ar-SA"/>
                            </w:rPr>
                            <w:t>.</w:t>
                            <w:tab/>
                            <w:t xml:space="preserve">  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p>
                      </w:sdtContent>
                    </w:sdt>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d19016ab2fc4430a9259950881f6a15a"/>
                    <w:lock w:val="sdtLocked"/>
                    <w:richText/>
                  </w:sdtPr>
                  <w:sdtContent>
                    <w:p>
                      <w:pPr>
                        <w:widowControl w:val="0"/>
                        <w:tabs>
                          <w:tab w:val="left" w:pos="993"/>
                          <w:tab w:val="left" w:pos="1134"/>
                        </w:tabs>
                        <w:suppressAutoHyphens/>
                        <w:ind w:firstLine="993"/>
                        <w:jc w:val="both"/>
                        <w:rPr>
                          <w:szCs w:val="24"/>
                          <w:lang w:eastAsia="lt-LT"/>
                        </w:rPr>
                      </w:pPr>
                      <w:sdt>
                        <w:sdtPr>
                          <w:alias w:val="Numeris"/>
                          <w:tag w:val="nr_d19016ab2fc4430a9259950881f6a15a"/>
                          <w:lock w:val="sdtLocked"/>
                          <w:richText/>
                        </w:sdtPr>
                        <w:sdtContent>
                          <w:r>
                            <w:rPr>
                              <w:color w:val="000000"/>
                              <w:szCs w:val="24"/>
                              <w:lang w:eastAsia="lt-LT"/>
                            </w:rPr>
                            <w:t>8.4</w:t>
                          </w:r>
                        </w:sdtContent>
                      </w:sdt>
                      <w:r>
                        <w:rPr>
                          <w:color w:val="000000"/>
                          <w:szCs w:val="24"/>
                          <w:lang w:eastAsia="lt-LT"/>
                        </w:rPr>
                        <w:t xml:space="preserve">. </w:t>
                      </w:r>
                      <w:r>
                        <w:rPr>
                          <w:rFonts w:eastAsia="Calibri"/>
                          <w:b/>
                          <w:szCs w:val="24"/>
                        </w:rPr>
                        <w:t xml:space="preserve">asmenims, sergantiems onkologine liga, </w:t>
                      </w:r>
                      <w:r>
                        <w:rPr>
                          <w:szCs w:val="24"/>
                          <w:lang w:eastAsia="lt-LT"/>
                        </w:rPr>
                        <w:t xml:space="preserve">jeigu per </w:t>
                      </w:r>
                      <w:r>
                        <w:rPr>
                          <w:b/>
                          <w:szCs w:val="24"/>
                          <w:lang w:eastAsia="lt-LT"/>
                        </w:rPr>
                        <w:t>6 mėn.</w:t>
                      </w:r>
                      <w:r>
                        <w:rPr>
                          <w:szCs w:val="24"/>
                          <w:lang w:eastAsia="lt-LT"/>
                        </w:rPr>
                        <w:t xml:space="preserve"> iki kreipimosi ar kreipimosi metu buvo ar yra taikomas aktyvus gydymas (atlikta medicininė operacija, taikomas spindulinis ar chemoterapinis gydymas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sdt>
                      <w:sdtPr>
                        <w:alias w:val="8.4.1 pp."/>
                        <w:tag w:val="part_f020f30a2e3a44b180b88da0c4a793ab"/>
                        <w:lock w:val="sdtLocked"/>
                        <w:richText/>
                      </w:sdtPr>
                      <w:sdtContent>
                        <w:p>
                          <w:pPr>
                            <w:widowControl w:val="0"/>
                            <w:tabs>
                              <w:tab w:val="left" w:pos="993"/>
                              <w:tab w:val="left" w:pos="1134"/>
                            </w:tabs>
                            <w:suppressAutoHyphens/>
                            <w:ind w:firstLine="993"/>
                            <w:jc w:val="both"/>
                          </w:pPr>
                          <w:sdt>
                            <w:sdtPr>
                              <w:alias w:val="Numeris"/>
                              <w:tag w:val="nr_f020f30a2e3a44b180b88da0c4a793ab"/>
                              <w:lock w:val="sdtLocked"/>
                              <w:richText/>
                            </w:sdtPr>
                            <w:sdtContent>
                              <w:r>
                                <w:rPr>
                                  <w:szCs w:val="24"/>
                                  <w:lang w:eastAsia="lt-LT"/>
                                </w:rPr>
                                <w:t>8.4.1</w:t>
                              </w:r>
                            </w:sdtContent>
                          </w:sdt>
                          <w:r>
                            <w:rPr>
                              <w:szCs w:val="24"/>
                              <w:lang w:eastAsia="lt-LT"/>
                            </w:rPr>
                            <w:t xml:space="preserve">.  10 BSI dydžių </w:t>
                          </w:r>
                          <w:r>
                            <w:rPr>
                              <w:szCs w:val="24"/>
                              <w:lang w:eastAsia="ar-SA"/>
                            </w:rPr>
                            <w:t xml:space="preserve"> – </w:t>
                          </w:r>
                          <w:r>
                            <w:t>ketvirta vėžio stadija;</w:t>
                          </w:r>
                        </w:p>
                      </w:sdtContent>
                    </w:sdt>
                    <w:sdt>
                      <w:sdtPr>
                        <w:alias w:val="8.4.2 pp."/>
                        <w:tag w:val="part_8367397226774c4a9ffd2fa78738ccde"/>
                        <w:lock w:val="sdtLocked"/>
                        <w:richText/>
                      </w:sdtPr>
                      <w:sdtContent>
                        <w:p>
                          <w:pPr>
                            <w:widowControl w:val="0"/>
                            <w:tabs>
                              <w:tab w:val="left" w:pos="993"/>
                              <w:tab w:val="left" w:pos="1134"/>
                            </w:tabs>
                            <w:suppressAutoHyphens/>
                            <w:ind w:firstLine="993"/>
                            <w:jc w:val="both"/>
                            <w:rPr>
                              <w:szCs w:val="24"/>
                              <w:lang w:eastAsia="ar-SA"/>
                            </w:rPr>
                          </w:pPr>
                          <w:sdt>
                            <w:sdtPr>
                              <w:alias w:val="Numeris"/>
                              <w:tag w:val="nr_8367397226774c4a9ffd2fa78738ccde"/>
                              <w:lock w:val="sdtLocked"/>
                              <w:richText/>
                            </w:sdtPr>
                            <w:sdtContent>
                              <w:r>
                                <w:t>8.4.2</w:t>
                              </w:r>
                            </w:sdtContent>
                          </w:sdt>
                          <w:r>
                            <w:t xml:space="preserve">.  8 BSI dydžių </w:t>
                          </w:r>
                          <w:r>
                            <w:rPr>
                              <w:szCs w:val="24"/>
                              <w:lang w:eastAsia="ar-SA"/>
                            </w:rPr>
                            <w:t xml:space="preserve">– trečia vėžio stadija; </w:t>
                          </w:r>
                        </w:p>
                      </w:sdtContent>
                    </w:sdt>
                    <w:sdt>
                      <w:sdtPr>
                        <w:alias w:val="8.4.3 pp."/>
                        <w:tag w:val="part_7b4912ffbd0c48898058a55aa05b1a1a"/>
                        <w:lock w:val="sdtLocked"/>
                        <w:richText/>
                      </w:sdtPr>
                      <w:sdtContent>
                        <w:p>
                          <w:pPr>
                            <w:widowControl w:val="0"/>
                            <w:tabs>
                              <w:tab w:val="left" w:pos="993"/>
                              <w:tab w:val="left" w:pos="1134"/>
                            </w:tabs>
                            <w:suppressAutoHyphens/>
                            <w:ind w:firstLine="993"/>
                            <w:jc w:val="both"/>
                            <w:rPr>
                              <w:szCs w:val="24"/>
                              <w:lang w:eastAsia="ar-SA"/>
                            </w:rPr>
                          </w:pPr>
                          <w:sdt>
                            <w:sdtPr>
                              <w:alias w:val="Numeris"/>
                              <w:tag w:val="nr_7b4912ffbd0c48898058a55aa05b1a1a"/>
                              <w:lock w:val="sdtLocked"/>
                              <w:richText/>
                            </w:sdtPr>
                            <w:sdtContent>
                              <w:r>
                                <w:rPr>
                                  <w:szCs w:val="24"/>
                                  <w:lang w:eastAsia="ar-SA"/>
                                </w:rPr>
                                <w:t>8.4.3</w:t>
                              </w:r>
                            </w:sdtContent>
                          </w:sdt>
                          <w:r>
                            <w:rPr>
                              <w:szCs w:val="24"/>
                              <w:lang w:eastAsia="ar-SA"/>
                            </w:rPr>
                            <w:t xml:space="preserve">.  7 BSI dydžių – antra vėžio stadija;</w:t>
                          </w:r>
                        </w:p>
                      </w:sdtContent>
                    </w:sdt>
                    <w:sdt>
                      <w:sdtPr>
                        <w:alias w:val="8.4.4 pp."/>
                        <w:tag w:val="part_277aa170ae2e4f9ea12e6f7f489aee81"/>
                        <w:lock w:val="sdtLocked"/>
                        <w:richText/>
                      </w:sdtPr>
                      <w:sdtContent>
                        <w:p>
                          <w:pPr>
                            <w:widowControl w:val="0"/>
                            <w:tabs>
                              <w:tab w:val="left" w:pos="993"/>
                              <w:tab w:val="left" w:pos="1134"/>
                            </w:tabs>
                            <w:suppressAutoHyphens/>
                            <w:ind w:firstLine="993"/>
                            <w:jc w:val="both"/>
                            <w:rPr>
                              <w:szCs w:val="24"/>
                              <w:lang w:eastAsia="ar-SA"/>
                            </w:rPr>
                          </w:pPr>
                          <w:sdt>
                            <w:sdtPr>
                              <w:alias w:val="Numeris"/>
                              <w:tag w:val="nr_277aa170ae2e4f9ea12e6f7f489aee81"/>
                              <w:lock w:val="sdtLocked"/>
                              <w:richText/>
                            </w:sdtPr>
                            <w:sdtContent>
                              <w:r>
                                <w:rPr>
                                  <w:szCs w:val="24"/>
                                  <w:lang w:eastAsia="ar-SA"/>
                                </w:rPr>
                                <w:t>8.4.4</w:t>
                              </w:r>
                            </w:sdtContent>
                          </w:sdt>
                          <w:r>
                            <w:rPr>
                              <w:szCs w:val="24"/>
                              <w:lang w:eastAsia="ar-SA"/>
                            </w:rPr>
                            <w:t xml:space="preserve">.  5 BSI dydžių – pirma vėžio stadija;</w:t>
                          </w:r>
                        </w:p>
                      </w:sdtContent>
                    </w:sdt>
                    <w:sdt>
                      <w:sdtPr>
                        <w:alias w:val="8.4.5 pp."/>
                        <w:tag w:val="part_d231b2ff7a3a49a18b6b6e0442eff254"/>
                        <w:lock w:val="sdtLocked"/>
                        <w:richText/>
                      </w:sdtPr>
                      <w:sdtContent>
                        <w:p>
                          <w:pPr>
                            <w:widowControl w:val="0"/>
                            <w:tabs>
                              <w:tab w:val="left" w:pos="993"/>
                              <w:tab w:val="left" w:pos="1134"/>
                            </w:tabs>
                            <w:suppressAutoHyphens/>
                            <w:ind w:firstLine="993"/>
                            <w:jc w:val="both"/>
                            <w:rPr>
                              <w:szCs w:val="24"/>
                              <w:lang w:eastAsia="ar-SA"/>
                            </w:rPr>
                          </w:pPr>
                          <w:sdt>
                            <w:sdtPr>
                              <w:alias w:val="Numeris"/>
                              <w:tag w:val="nr_d231b2ff7a3a49a18b6b6e0442eff254"/>
                              <w:lock w:val="sdtLocked"/>
                              <w:richText/>
                            </w:sdtPr>
                            <w:sdtContent>
                              <w:r>
                                <w:rPr>
                                  <w:szCs w:val="24"/>
                                  <w:lang w:eastAsia="ar-SA"/>
                                </w:rPr>
                                <w:t>8.4.5</w:t>
                              </w:r>
                            </w:sdtContent>
                          </w:sdt>
                          <w:r>
                            <w:rPr>
                              <w:szCs w:val="24"/>
                              <w:lang w:eastAsia="ar-SA"/>
                            </w:rPr>
                            <w:t xml:space="preserve">.  4 BSI dydžių –  dar nenustatytai vėžio stadijai;</w:t>
                          </w:r>
                        </w:p>
                      </w:sdtContent>
                    </w:sdt>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8eb64d267ca24c2d982f2363a70ad1c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eb64d267ca24c2d982f2363a70ad1ce"/>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Gautas prašymas užregistruojamas prašymo pateikimo dieną ir prašymą pateikusiam asmeniui įteikiamas informacinis lapelis (2 priedas).</w:t>
                  </w:r>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827f62be027e4dbea6f21ea00956de4c"/>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827f62be027e4dbea6f21ea00956de4c"/>
                          <w:lock w:val="sdtLocked"/>
                          <w:richText/>
                        </w:sdtPr>
                        <w:sdtContent>
                          <w:r>
                            <w:rPr>
                              <w:szCs w:val="24"/>
                              <w:lang w:eastAsia="ar-SA"/>
                            </w:rPr>
                            <w:t>14.1</w:t>
                          </w:r>
                        </w:sdtContent>
                      </w:sdt>
                      <w:r>
                        <w:rPr>
                          <w:szCs w:val="24"/>
                          <w:lang w:eastAsia="ar-SA"/>
                        </w:rPr>
                        <w:t>.</w:t>
                        <w:tab/>
                        <w:t>pasas, asmens tapatybės kortelė arba laikinas asmens pažymėjimas asmens tapatybei nustatyti;</w:t>
                      </w:r>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ba351d383c484f239f959cbfd653a384"/>
                <w:lock w:val="sdtLocked"/>
                <w:richText/>
              </w:sdtPr>
              <w:sdtContent>
                <w:p>
                  <w:pPr>
                    <w:tabs>
                      <w:tab w:val="left" w:pos="1560"/>
                    </w:tabs>
                    <w:ind w:firstLine="993"/>
                    <w:jc w:val="both"/>
                    <w:rPr>
                      <w:szCs w:val="24"/>
                    </w:rPr>
                  </w:pPr>
                  <w:sdt>
                    <w:sdtPr>
                      <w:alias w:val="Numeris"/>
                      <w:tag w:val="nr_ba351d383c484f239f959cbfd653a384"/>
                      <w:lock w:val="sdtLocked"/>
                      <w:richText/>
                    </w:sdtPr>
                    <w:sdtContent>
                      <w:r>
                        <w:rPr>
                          <w:szCs w:val="24"/>
                        </w:rPr>
                        <w:t>19</w:t>
                      </w:r>
                    </w:sdtContent>
                  </w:sdt>
                  <w:r>
                    <w:rPr>
                      <w:szCs w:val="24"/>
                    </w:rPr>
                    <w:t>.</w:t>
                    <w:tab/>
                    <w:t xml:space="preserve">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18 straipsnyje nustatyta tvarka</w:t>
                  </w:r>
                  <w:r>
                    <w:rPr>
                      <w:szCs w:val="24"/>
                    </w:rPr>
                    <w:t>.</w:t>
                  </w:r>
                </w:p>
              </w:sdtContent>
            </w:sdt>
            <w:sdt>
              <w:sdtPr>
                <w:alias w:val="20 p."/>
                <w:tag w:val="part_fc247ec47db34b4f9138a4b32cd08aff"/>
                <w:lock w:val="sdtLocked"/>
                <w:richText/>
              </w:sdtPr>
              <w:sdtContent>
                <w:p>
                  <w:pPr>
                    <w:tabs>
                      <w:tab w:val="left" w:pos="0"/>
                      <w:tab w:val="left" w:pos="567"/>
                      <w:tab w:val="left" w:pos="851"/>
                      <w:tab w:val="left" w:pos="1276"/>
                      <w:tab w:val="left" w:pos="1560"/>
                    </w:tabs>
                    <w:suppressAutoHyphens/>
                    <w:ind w:firstLine="993"/>
                    <w:jc w:val="both"/>
                    <w:rPr>
                      <w:b/>
                      <w:szCs w:val="24"/>
                      <w:lang w:eastAsia="ar-SA"/>
                    </w:rPr>
                  </w:pPr>
                  <w:sdt>
                    <w:sdtPr>
                      <w:alias w:val="Numeris"/>
                      <w:tag w:val="nr_fc247ec47db34b4f9138a4b32cd08aff"/>
                      <w:lock w:val="sdtLocked"/>
                      <w:richText/>
                    </w:sdtPr>
                    <w:sdtContent>
                      <w:r>
                        <w:rPr>
                          <w:szCs w:val="24"/>
                          <w:lang w:eastAsia="ar-SA"/>
                        </w:rPr>
                        <w:t>20</w:t>
                      </w:r>
                    </w:sdtContent>
                  </w:sdt>
                  <w:r>
                    <w:rPr>
                      <w:szCs w:val="24"/>
                      <w:lang w:eastAsia="ar-SA"/>
                    </w:rPr>
                    <w:t>.</w:t>
                    <w:tab/>
                    <w:t xml:space="preserve">Pareiškėjo ir  jo bendrai gyvenančių asmenų pajamos nevertinamos tais atvejais, kai prašoma parama nukentėjus nuo gaisro ar stichinės nelaimės ir onkologinės ligos atveju. </w:t>
                  </w:r>
                </w:p>
                <w:p>
                  <w:pPr>
                    <w:tabs>
                      <w:tab w:val="left" w:pos="0"/>
                      <w:tab w:val="left" w:pos="567"/>
                      <w:tab w:val="left" w:pos="851"/>
                      <w:tab w:val="left" w:pos="1276"/>
                      <w:tab w:val="left" w:pos="1560"/>
                    </w:tabs>
                    <w:suppressAutoHyphens/>
                    <w:ind w:left="993"/>
                    <w:jc w:val="both"/>
                    <w:rPr>
                      <w:b/>
                      <w:szCs w:val="24"/>
                      <w:lang w:eastAsia="ar-SA"/>
                    </w:rPr>
                  </w:pPr>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4bfe6a6cc35a42e6b7d99353b61cd9b9"/>
                <w:lock w:val="sdtLocked"/>
                <w:richText/>
              </w:sdtPr>
              <w:sdtContent>
                <w:p>
                  <w:pPr>
                    <w:ind w:firstLine="993"/>
                    <w:jc w:val="both"/>
                  </w:pPr>
                  <w:sdt>
                    <w:sdtPr>
                      <w:alias w:val="Numeris"/>
                      <w:tag w:val="nr_4bfe6a6cc35a42e6b7d99353b61cd9b9"/>
                      <w:lock w:val="sdtLocked"/>
                      <w:richText/>
                    </w:sdtPr>
                    <w:sdtContent>
                      <w:r>
                        <w:t>21</w:t>
                      </w:r>
                    </w:sdtContent>
                  </w:sdt>
                  <w:r>
                    <w:t>. Prašymus, išskyrus dėl Aprašo 7.1 papunktyje nustatytu atveju, skirti paramą nagrinėja Savivaldybės administracijos socialinės paramos teikimo komisija (toliau – komisija), sudaryta Savivaldybės administracijos direktoriaus įsakymu.</w:t>
                  </w:r>
                </w:p>
                <w:p>
                  <w:pPr>
                    <w:ind w:firstLine="993"/>
                    <w:jc w:val="both"/>
                    <w:rPr>
                      <w:szCs w:val="24"/>
                    </w:rPr>
                  </w:pPr>
                  <w:r>
                    <w:t xml:space="preserve">Pašalpa, nurodyta Aprašo 7.1 papunktyje, skiriama Socialinės paramos ir rūpybos skyriaus vedėjo pavedimu.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2 p."/>
                <w:tag w:val="part_09a4c3a217144c2e97b3021655af3706"/>
                <w:lock w:val="sdtLocked"/>
                <w:richText/>
              </w:sdtPr>
              <w:sdtContent>
                <w:p>
                  <w:pPr>
                    <w:tabs>
                      <w:tab w:val="left" w:pos="851"/>
                      <w:tab w:val="left" w:pos="1276"/>
                    </w:tabs>
                    <w:suppressAutoHyphens/>
                    <w:ind w:firstLine="993"/>
                    <w:jc w:val="both"/>
                    <w:rPr>
                      <w:szCs w:val="24"/>
                    </w:rPr>
                  </w:pPr>
                  <w:sdt>
                    <w:sdtPr>
                      <w:alias w:val="Numeris"/>
                      <w:tag w:val="nr_09a4c3a217144c2e97b3021655af3706"/>
                      <w:lock w:val="sdtLocked"/>
                      <w:richText/>
                    </w:sdtPr>
                    <w:sdtContent>
                      <w:r>
                        <w:rPr>
                          <w:szCs w:val="24"/>
                        </w:rPr>
                        <w:t>22</w:t>
                      </w:r>
                    </w:sdtContent>
                  </w:sdt>
                  <w:r>
                    <w:rPr>
                      <w:szCs w:val="24"/>
                    </w:rPr>
                    <w:t>.</w:t>
                    <w:tab/>
                    <w:t xml:space="preserve">Dokumentai tvarkomi, sprendimai priimamai ir įforminami, atsakymai pareiškėjams išsiunčiami ir parama asmenims pervedama Savivaldybės administracijos direktoriaus įsakymu nustatyta tvarka. </w:t>
                  </w:r>
                </w:p>
                <w:p>
                  <w:pPr>
                    <w:tabs>
                      <w:tab w:val="left" w:pos="851"/>
                      <w:tab w:val="left" w:pos="1276"/>
                    </w:tabs>
                    <w:suppressAutoHyphens/>
                    <w:ind w:firstLine="993"/>
                    <w:jc w:val="both"/>
                  </w:pPr>
                  <w:r>
                    <w:t xml:space="preserve">Sprendimas skirti arba neskirti vienkartinę, tikslinę, sąlyginę ir periodinę pašalpą, priimamas per 30 </w:t>
                  </w:r>
                  <w:r>
                    <w:rPr>
                      <w:color w:val="FF0000"/>
                    </w:rPr>
                    <w:t xml:space="preserve"> </w:t>
                  </w:r>
                  <w:r>
                    <w:t>darbo dienų nuo prašymo ir visų reikalingų dokumentų gavimo dienos, išskyrus Aprašo 7.1 papunktyje nustatytą atvejį.</w:t>
                  </w:r>
                </w:p>
                <w:p>
                  <w:pPr>
                    <w:tabs>
                      <w:tab w:val="left" w:pos="851"/>
                      <w:tab w:val="left" w:pos="1276"/>
                    </w:tabs>
                    <w:suppressAutoHyphens/>
                    <w:ind w:firstLine="993"/>
                    <w:jc w:val="both"/>
                    <w:rPr>
                      <w:szCs w:val="24"/>
                    </w:rPr>
                  </w:pPr>
                  <w:r>
                    <w:t>Sprendimas skirti vienkartinę pašalpą asmeniui, atlikusiam ne trumpesnę kaip 6 mėnesių bausmę laisvės atėmimo įstaigoje,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ca0fcc77ccbc4a28b343f559ac516364"/>
                <w:lock w:val="sdtLocked"/>
                <w:richText/>
              </w:sdtPr>
              <w:sdtContent>
                <w:p>
                  <w:pPr>
                    <w:tabs>
                      <w:tab w:val="left" w:pos="709"/>
                    </w:tabs>
                    <w:jc w:val="both"/>
                    <w:rPr>
                      <w:caps/>
                      <w:szCs w:val="24"/>
                    </w:rPr>
                  </w:pPr>
                  <w:sdt>
                    <w:sdtPr>
                      <w:alias w:val="Numeris"/>
                      <w:tag w:val="nr_ca0fcc77ccbc4a28b343f559ac516364"/>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          </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772aa0783711eb9601893677bfd7d8">
            <w:r w:rsidRPr="00532B9F">
              <w:rPr>
                <w:rFonts w:ascii="Times New Roman" w:eastAsia="MS Mincho" w:hAnsi="Times New Roman"/>
                <w:sz w:val="20"/>
                <w:iCs/>
                <w:color w:val="0000FF" w:themeColor="hyperlink"/>
                <w:u w:val="single"/>
              </w:rPr>
              <w:t>T1-79</w:t>
            </w:r>
          </w:fldSimple>
          <w:r>
            <w:rPr>
              <w:rFonts w:ascii="Times New Roman" w:eastAsia="MS Mincho" w:hAnsi="Times New Roman"/>
              <w:sz w:val="20"/>
              <w:iCs/>
            </w:rPr>
            <w:t>,
2021-02-25,
paskelbta TAR 2021-02-26, i. k. 2021-03902                </w:t>
          </w:r>
        </w:p>
        <w:p>
          <w:pPr>
            <w:jc w:val="both"/>
            <w:rPr>
              <w:rFonts w:ascii="Times New Roman" w:hAnsi="Times New Roman"/>
            </w:rPr>
          </w:pPr>
          <w:r>
            <w:rPr>
              <w:rFonts w:ascii="Times New Roman" w:hAnsi="Times New Roman"/>
              <w:sz w:val="20"/>
            </w:rPr>
            <w:t>Dėl Vienkartinių, tikslinių, sąlyginių ir periodinių pašalpų skyrimo ir mokėjimo Telšių rajono savivaldybėje tvarkos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rFonts w:ascii="Arial" w:hAnsi="Arial"/>
        <w:sz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849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9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ab9be692a03746a89d0c81d2deddacac">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d44149b9ad5a404fa8d0839704f1b548">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2a4a3690a11a4d3e94850acfce77d6ee"/>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34bf0aa4ab947f1a19eb547a6e1e639">
          <Part Type="papunktis" Nr="8.2.1" Abbr="8.2.1 pp." DocPartId="7a737782cb964143967d9c752495b58f" PartId="95559a66c7fc493caafc54d33d4e6f6b"/>
          <Part Type="papunktis" Nr="8.2.2" Abbr="8.2.2 pp." DocPartId="c7c939bb0afe49ae8c05b0c8b39f1e48" PartId="cfa7b89091c442188a62d9b631d46576"/>
          <Part Type="papunktis" Nr="8.2.3" Abbr="8.2.3 pp." DocPartId="acad934c12694a31b9a46ff3ad57203d" PartId="d3fd20aa5cb94948bc1145ad30431e13"/>
          <Part Type="papunktis" Nr="8.2.4" Abbr="8.2.4 pp." DocPartId="7e7a08ed70eb4792a69e55d103103035" PartId="9fc2eb29d3034de3ac3a5ec8d5076253"/>
          <Part Type="papunktis" Nr="8.2.5" Abbr="8.2.5 pp." DocPartId="555d98b15cf54a5192429079be931b78" PartId="b8d3285d3ab94c349819cbfa237335c8"/>
        </Part>
        <Part Type="papunktis" Nr="8.3" Abbr="8.3 pp." DocPartId="0dc128197cdf4adca5e235b3e61d3c07" PartId="c26ab254c01d4c769bcd68e9cb046b12"/>
        <Part Type="papunktis" Nr="8.4" Abbr="8.4 pp." DocPartId="27f6ed09b4724dd58effb0bdbbc04988" PartId="d19016ab2fc4430a9259950881f6a15a">
          <Part Type="papunktis" Nr="8.4.1" Abbr="8.4.1 pp." DocPartId="bb8a21e9d2a04f4cb8b6be4ea06890b1" PartId="f020f30a2e3a44b180b88da0c4a793ab"/>
          <Part Type="papunktis" Nr="8.4.2" Abbr="8.4.2 pp." DocPartId="daafbbeacf6e4a76bde8448e5ea0b72b" PartId="8367397226774c4a9ffd2fa78738ccde"/>
          <Part Type="papunktis" Nr="8.4.3" Abbr="8.4.3 pp." DocPartId="da51c28cd0d3469c859c5106f1b2db52" PartId="7b4912ffbd0c48898058a55aa05b1a1a"/>
          <Part Type="papunktis" Nr="8.4.4" Abbr="8.4.4 pp." DocPartId="2aa2bce7e1f14f29860a94a814136e31" PartId="277aa170ae2e4f9ea12e6f7f489aee81"/>
          <Part Type="papunktis" Nr="8.4.5" Abbr="8.4.5 pp." DocPartId="c508529b9f3946dd9a79ab760c0ed135" PartId="d231b2ff7a3a49a18b6b6e0442eff254"/>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8eb64d267ca24c2d982f2363a70ad1ce"/>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827f62be027e4dbea6f21ea00956de4c"/>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ba351d383c484f239f959cbfd653a384"/>
      <Part Type="punktas" Nr="20" Abbr="20 p." DocPartId="7c4b006d4eed43b1986fa10d5f29e720" PartId="fc247ec47db34b4f9138a4b32cd08aff"/>
    </Part>
    <Part Type="skyrius" Nr="5" Title="PARAMOS TEIKIMAS" DocPartId="0b13ec67cff84c4b92f92c76f96ac3da" PartId="62df4a31a7544d1f91b0f5f202dd42c1">
      <Part Type="punktas" Nr="21" Abbr="21 p." DocPartId="98fc4f0156294708afbc54405a3370b8" PartId="4bfe6a6cc35a42e6b7d99353b61cd9b9"/>
      <Part Type="punktas" Nr="22" Abbr="22 p." DocPartId="9261523aa1b24fd9b5f479d7fcd16432" PartId="09a4c3a217144c2e97b3021655af3706"/>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ca0fcc77ccbc4a28b343f559ac516364"/>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84E0551-FE01-40F5-8749-B0349C89FC96}">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D049F4D8-2A3E-4286-9220-80D964D9FF4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13</Pages>
  <Words>3909</Words>
  <Characters>29650</Characters>
  <Application>Microsoft Office Word</Application>
  <DocSecurity>0</DocSecurity>
  <Lines>247</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33493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ŠAULYTĖ SKAIRIENĖ Dalia</lastModifiedBy>
  <lastPrinted>2020-01-09T09:06:00Z</lastPrinted>
  <dcterms:modified xsi:type="dcterms:W3CDTF">2021-03-02T04:52:00Z</dcterms:modified>
  <revision>4</revision>
  <dc:title>PROJEKTAS</dc:title>
</coreProperties>
</file>