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cf9339e1fcdd4600bd575a794d380849"/>
        <w:lock w:val="sdtLocked"/>
        <w:richText/>
      </w:sdtPr>
      <w:sdtContent>
        <w:p>
          <w:pPr>
            <w:jc w:val="both"/>
            <w:rPr>
              <w:rFonts w:ascii="Times New Roman" w:hAnsi="Times New Roman"/>
            </w:rPr>
          </w:pPr>
          <w:r>
            <w:rPr>
              <w:rFonts w:ascii="Times New Roman" w:hAnsi="Times New Roman"/>
              <w:b/>
              <w:i/>
            </w:rPr>
            <w:t>Suvestinė redakcija nuo 2026-05-08 iki 2026-06-30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2024-04-26, i. k. 2024-07708</w:t>
          </w:r>
        </w:p>
        <w:p>
          <w:pPr>
            <w:jc w:val="both"/>
            <w:rPr>
              <w:rFonts w:ascii="Times New Roman" w:hAnsi="Times New Roman"/>
              <w:sz w:val="20"/>
            </w:rPr>
          </w:pPr>
        </w:p>
        <w:p>
          <w:pPr>
            <w:tabs>
              <w:tab w:val="center" w:pos="4680"/>
              <w:tab w:val="right" w:pos="9360"/>
            </w:tabs>
            <w:jc w:val="right"/>
            <w:rPr>
              <w:b/>
              <w:bCs/>
            </w:rPr>
          </w:pPr>
        </w:p>
        <w:p>
          <w:pPr>
            <w:jc w:val="center"/>
            <w:rPr>
              <w:sz w:val="14"/>
              <w:szCs w:val="14"/>
            </w:rPr>
          </w:pPr>
          <w:r>
            <w:rPr>
              <w:sz w:val="14"/>
              <w:szCs w:val="14"/>
              <w:lang w:eastAsia="lt-LT"/>
            </w:rPr>
            <w:drawing>
              <wp:inline distT="0" distB="0" distL="0" distR="0">
                <wp:extent cx="542290" cy="59753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pPr>
            <w:jc w:val="center"/>
            <w:rPr>
              <w:sz w:val="16"/>
              <w:szCs w:val="16"/>
              <w:lang w:eastAsia="lt-LT"/>
            </w:rPr>
          </w:pPr>
        </w:p>
        <w:p>
          <w:pPr>
            <w:jc w:val="center"/>
            <w:rPr>
              <w:b/>
              <w:caps/>
              <w:szCs w:val="24"/>
            </w:rPr>
          </w:pPr>
          <w:r>
            <w:rPr>
              <w:b/>
              <w:caps/>
              <w:szCs w:val="24"/>
            </w:rPr>
            <w:t>LIETUVOS RESPUBLIKOS Ekonomikos ir inovacijų MINISTRAS</w:t>
          </w:r>
        </w:p>
        <w:p>
          <w:pPr>
            <w:jc w:val="center"/>
            <w:rPr>
              <w:b/>
              <w:caps/>
              <w:szCs w:val="24"/>
            </w:rPr>
          </w:pPr>
        </w:p>
        <w:p>
          <w:pPr>
            <w:jc w:val="center"/>
            <w:rPr>
              <w:b/>
              <w:caps/>
              <w:szCs w:val="24"/>
            </w:rPr>
          </w:pPr>
          <w:r>
            <w:rPr>
              <w:b/>
              <w:caps/>
              <w:szCs w:val="24"/>
            </w:rPr>
            <w:t>ĮSAKYMAS</w:t>
          </w:r>
        </w:p>
        <w:p>
          <w:pPr>
            <w:keepLines/>
            <w:suppressAutoHyphens/>
            <w:jc w:val="center"/>
            <w:textAlignment w:val="center"/>
            <w:rPr>
              <w:b/>
              <w:bCs/>
              <w:caps/>
              <w:szCs w:val="24"/>
            </w:rPr>
          </w:pPr>
          <w:r>
            <w:rPr>
              <w:b/>
              <w:bCs/>
              <w:caps/>
              <w:szCs w:val="24"/>
            </w:rPr>
            <w:t>Dėl skatinamosios finansinės priemonės „MILIJARDAS Verslui“ schemos patvirtinimo</w:t>
          </w:r>
        </w:p>
        <w:p>
          <w:pPr>
            <w:jc w:val="center"/>
            <w:rPr>
              <w:szCs w:val="24"/>
            </w:rPr>
          </w:pPr>
        </w:p>
        <w:p>
          <w:pPr>
            <w:jc w:val="center"/>
            <w:rPr>
              <w:szCs w:val="24"/>
            </w:rPr>
          </w:pPr>
          <w:r>
            <w:rPr>
              <w:szCs w:val="24"/>
            </w:rPr>
            <w:t>2024 m. balandžio 26</w:t>
          </w:r>
          <w:r>
            <w:rPr>
              <w:szCs w:val="24"/>
              <w:lang w:val="en-US"/>
            </w:rPr>
            <w:t xml:space="preserve"> </w:t>
          </w:r>
          <w:r>
            <w:rPr>
              <w:szCs w:val="24"/>
            </w:rPr>
            <w:t>d. Nr. 4-233</w:t>
          </w:r>
        </w:p>
        <w:p>
          <w:pPr>
            <w:jc w:val="center"/>
            <w:rPr>
              <w:szCs w:val="24"/>
            </w:rPr>
          </w:pPr>
          <w:r>
            <w:rPr>
              <w:szCs w:val="24"/>
            </w:rPr>
            <w:t>Vilnius</w:t>
          </w:r>
        </w:p>
        <w:p>
          <w:pPr>
            <w:rPr>
              <w:szCs w:val="24"/>
            </w:rPr>
          </w:pPr>
        </w:p>
        <w:p>
          <w:pPr>
            <w:rPr>
              <w:szCs w:val="24"/>
            </w:rPr>
          </w:pPr>
        </w:p>
        <w:sdt>
          <w:sdtPr>
            <w:alias w:val="preambule"/>
            <w:tag w:val="part_f3ee1628b38f47d4a0a9c26e37f198f2"/>
            <w:lock w:val="sdtLocked"/>
            <w:richText/>
          </w:sdtPr>
          <w:sdtContent>
            <w:p>
              <w:pPr>
                <w:ind w:firstLine="720"/>
                <w:jc w:val="both"/>
              </w:pPr>
              <w:r>
                <w:t>Įgyvendindama Lietuvos Respublikos Vyriausybės 2001 m. liepos 11 d. nutarimo Nr. 887 „Dėl uždarosios akcinės bendrovės „Investicijų ir verslo garantijos“ veiklos“ 1.1.3 ir 2.2 papunkčius,</w:t>
              </w:r>
            </w:p>
          </w:sdtContent>
        </w:sdt>
        <w:sdt>
          <w:sdtPr>
            <w:alias w:val="pastraipa"/>
            <w:tag w:val="part_4a18155f871e4fbc8801ec7827b9b16d"/>
            <w:lock w:val="sdtLocked"/>
            <w:richText/>
          </w:sdtPr>
          <w:sdtContent>
            <w:p>
              <w:pPr>
                <w:ind w:firstLine="720"/>
                <w:jc w:val="both"/>
              </w:pPr>
              <w:r>
                <w:t xml:space="preserve">t v i r t i n u  Skatinamosios finansinės priemonės „Milijardas verslui“ schemą (pridedama). </w:t>
              </w:r>
            </w:p>
          </w:sdtContent>
        </w:sdt>
        <w:sdt>
          <w:sdtPr>
            <w:alias w:val="signatura"/>
            <w:tag w:val="part_a00874524f75410f8791a74f9032e582"/>
            <w:lock w:val="sdtLocked"/>
            <w:richText/>
          </w:sdtPr>
          <w:sdtContent>
            <w:p>
              <w:pPr>
                <w:tabs>
                  <w:tab w:val="left" w:pos="6804"/>
                </w:tabs>
                <w:jc w:val="both"/>
              </w:pPr>
            </w:p>
            <w:p>
              <w:pPr>
                <w:tabs>
                  <w:tab w:val="left" w:pos="6804"/>
                </w:tabs>
                <w:jc w:val="both"/>
              </w:pPr>
            </w:p>
            <w:p>
              <w:pPr>
                <w:tabs>
                  <w:tab w:val="left" w:pos="6804"/>
                </w:tabs>
                <w:jc w:val="both"/>
              </w:pPr>
            </w:p>
            <w:p>
              <w:pPr>
                <w:tabs>
                  <w:tab w:val="left" w:pos="6804"/>
                </w:tabs>
                <w:jc w:val="both"/>
                <w:rPr>
                  <w:szCs w:val="24"/>
                </w:rPr>
              </w:pPr>
              <w:r>
                <w:rPr>
                  <w:szCs w:val="24"/>
                </w:rPr>
                <w:t>Ekonomikos ir inovacijų ministrė</w:t>
                <w:tab/>
                <w:tab/>
                <w:t>Aušrinė Armonaitė</w:t>
              </w:r>
            </w:p>
            <w:p>
              <w:pPr>
                <w:tabs>
                  <w:tab w:val="center" w:pos="4819"/>
                  <w:tab w:val="right" w:pos="9638"/>
                </w:tabs>
              </w:pPr>
            </w:p>
          </w:sdtContent>
        </w:sdt>
      </w:sdtContent>
    </w:sdt>
    <w:sdt>
      <w:sdtPr>
        <w:alias w:val="patvirtinta"/>
        <w:tag w:val="part_23e3d235b5cf4d308f05d8c621b2f040"/>
        <w:lock w:val="sdtLocked"/>
        <w:richText/>
      </w:sdtPr>
      <w:sdtContent>
        <w:p>
          <w:pPr>
            <w:keepLines/>
            <w:tabs>
              <w:tab w:val="left" w:pos="1304"/>
              <w:tab w:val="left" w:pos="1457"/>
              <w:tab w:val="left" w:pos="1604"/>
              <w:tab w:val="left" w:pos="1757"/>
            </w:tabs>
            <w:suppressAutoHyphens/>
            <w:ind w:left="5529"/>
            <w:textAlignment w:val="center"/>
            <w:sectPr>
              <w:headerReference w:type="even" r:id="rId29"/>
              <w:headerReference w:type="default" r:id="rId30"/>
              <w:footerReference w:type="even" r:id="rId31"/>
              <w:footerReference w:type="default" r:id="rId32"/>
              <w:headerReference w:type="first" r:id="rId33"/>
              <w:footerReference w:type="first" r:id="rId34"/>
              <w:pgSz w:w="11906" w:h="16838" w:code="9"/>
              <w:pgMar w:top="1134" w:right="567" w:bottom="1134" w:left="1701" w:header="720" w:footer="720" w:gutter="0"/>
              <w:pgNumType w:start="1"/>
              <w:cols w:space="720"/>
              <w:titlePg/>
              <w:docGrid w:linePitch="326"/>
            </w:sectPr>
          </w:pP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 xml:space="preserve">PATVIRTINTA </w:t>
          </w: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Lietuvos Respublikos ekonomikos ir</w:t>
          </w: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 xml:space="preserve">inovacijų ministro </w:t>
          </w: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2024 m. balandžio 26 d. įsakymu Nr. 4-233</w:t>
          </w:r>
        </w:p>
        <w:p>
          <w:pPr>
            <w:keepLines/>
            <w:tabs>
              <w:tab w:val="left" w:pos="1304"/>
              <w:tab w:val="left" w:pos="1457"/>
              <w:tab w:val="left" w:pos="1604"/>
              <w:tab w:val="left" w:pos="1757"/>
            </w:tabs>
            <w:suppressAutoHyphens/>
            <w:ind w:left="5529"/>
            <w:textAlignment w:val="center"/>
            <w:rPr>
              <w:bCs/>
              <w:color w:val="000000"/>
              <w:szCs w:val="24"/>
            </w:rPr>
          </w:pPr>
        </w:p>
        <w:p>
          <w:pPr>
            <w:keepLines/>
            <w:tabs>
              <w:tab w:val="left" w:pos="1304"/>
              <w:tab w:val="left" w:pos="1457"/>
              <w:tab w:val="left" w:pos="1604"/>
              <w:tab w:val="left" w:pos="1757"/>
            </w:tabs>
            <w:suppressAutoHyphens/>
            <w:ind w:left="5529"/>
            <w:textAlignment w:val="center"/>
            <w:rPr>
              <w:b/>
              <w:color w:val="000000"/>
              <w:szCs w:val="24"/>
            </w:rPr>
          </w:pPr>
        </w:p>
        <w:p>
          <w:pPr>
            <w:suppressAutoHyphens/>
            <w:jc w:val="center"/>
            <w:textAlignment w:val="center"/>
            <w:rPr>
              <w:b/>
              <w:color w:val="000000"/>
            </w:rPr>
          </w:pPr>
          <w:sdt>
            <w:sdtPr>
              <w:alias w:val="Pavadinimas"/>
              <w:tag w:val="title_23e3d235b5cf4d308f05d8c621b2f040"/>
              <w:lock w:val="sdtLocked"/>
              <w:richText/>
            </w:sdtPr>
            <w:sdtContent>
              <w:r>
                <w:rPr>
                  <w:b/>
                  <w:caps/>
                  <w:color w:val="000000"/>
                </w:rPr>
                <w:t>skatinamosios finansinės priemonės „MILIJARDAS Verslui“</w:t>
              </w:r>
              <w:r>
                <w:rPr>
                  <w:b/>
                  <w:color w:val="000000"/>
                </w:rPr>
                <w:t xml:space="preserve"> SCHEMA</w:t>
              </w:r>
            </w:sdtContent>
          </w:sdt>
        </w:p>
        <w:p>
          <w:pPr>
            <w:suppressAutoHyphens/>
            <w:jc w:val="both"/>
            <w:textAlignment w:val="center"/>
            <w:rPr>
              <w:color w:val="000000"/>
              <w:szCs w:val="24"/>
            </w:rPr>
          </w:pPr>
        </w:p>
        <w:p>
          <w:pPr>
            <w:suppressAutoHyphens/>
            <w:jc w:val="both"/>
            <w:textAlignment w:val="center"/>
            <w:rPr>
              <w:color w:val="000000"/>
              <w:szCs w:val="24"/>
            </w:rPr>
          </w:pPr>
        </w:p>
        <w:tbl>
          <w:tblPr>
            <w:tblW w:w="9502" w:type="dxa"/>
            <w:tblInd w:w="108" w:type="dxa"/>
            <w:tblLayout w:type="fixed"/>
            <w:tblCellMar>
              <w:left w:w="0" w:type="dxa"/>
              <w:right w:w="0" w:type="dxa"/>
            </w:tblCellMar>
            <w:tblLook w:val="0000" w:firstRow="0" w:lastRow="0" w:firstColumn="0" w:lastColumn="0" w:noHBand="0" w:noVBand="0"/>
          </w:tblPr>
          <w:tblGrid>
            <w:gridCol w:w="596"/>
            <w:gridCol w:w="2126"/>
            <w:gridCol w:w="6780"/>
          </w:tblGrid>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 xml:space="preserve">Eil. </w:t>
                </w:r>
              </w:p>
              <w:p>
                <w:pPr>
                  <w:suppressAutoHyphens/>
                  <w:jc w:val="both"/>
                  <w:textAlignment w:val="center"/>
                  <w:rPr>
                    <w:color w:val="000000"/>
                    <w:szCs w:val="24"/>
                    <w:lang w:eastAsia="lt-LT"/>
                  </w:rPr>
                </w:pPr>
                <w:r>
                  <w:rPr>
                    <w:color w:val="000000"/>
                    <w:szCs w:val="24"/>
                    <w:lang w:eastAsia="lt-LT"/>
                  </w:rPr>
                  <w:t>Nr.</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Pagrindiniai</w:t>
                </w:r>
              </w:p>
              <w:p>
                <w:pPr>
                  <w:suppressAutoHyphens/>
                  <w:jc w:val="both"/>
                  <w:textAlignment w:val="center"/>
                  <w:rPr>
                    <w:color w:val="000000"/>
                    <w:szCs w:val="24"/>
                    <w:lang w:eastAsia="lt-LT"/>
                  </w:rPr>
                </w:pPr>
                <w:r>
                  <w:rPr>
                    <w:color w:val="000000"/>
                    <w:szCs w:val="24"/>
                    <w:lang w:eastAsia="lt-LT"/>
                  </w:rPr>
                  <w:t>elementai</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Paaiškinimas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w:t>
                </w:r>
              </w:p>
              <w:p>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Teisinis pagrindas</w:t>
                </w:r>
              </w:p>
              <w:p>
                <w:pPr>
                  <w:suppressAutoHyphens/>
                  <w:jc w:val="both"/>
                  <w:textAlignment w:val="center"/>
                  <w:rPr>
                    <w:color w:val="000000"/>
                    <w:szCs w:val="24"/>
                    <w:lang w:eastAsia="lt-LT"/>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pPr>
                <w:r>
                  <w:t>1.1. 2009 m. balandžio 7 d. finansavimo sutartis Nr. 11K-015/8-175, sudaryta tarp Lietuvos Respublikos ekonomikos ir inovacijų ministerijos, Lietuvos Respublikos finansų ministerijos ir uždarosios akcinės bendrovės ILTE (toliau – Paskolos davėjas arba ILTE) dėl kontroliuojančiojo fondo „INVEGOS fondas“ (toliau – INVEGOS fondas) steigimo (toliau – IF sutartis);</w:t>
                </w:r>
              </w:p>
              <w:p>
                <w:pPr>
                  <w:suppressAutoHyphens/>
                  <w:jc w:val="both"/>
                  <w:textAlignment w:val="center"/>
                </w:pPr>
                <w:r>
                  <w:t>1.2. 2020 m. gruodžio 30 d. Fondų fondo „Inovacijų skatinimo fondas“ steigimo ir finansavimo sutartis Nr. 8-360, sudaryta tarp Ekonomikos ir inovacijų ministerijos, Finansų ministerijos ir ILTE (toliau – Sutartis);</w:t>
                </w:r>
              </w:p>
              <w:p>
                <w:pPr>
                  <w:suppressAutoHyphens/>
                  <w:jc w:val="both"/>
                  <w:textAlignment w:val="center"/>
                </w:pPr>
                <w:r>
                  <w:t>1.3. 2022–2030 metų ekonomikos transformacijos ir konkurencingumo plėtros programa, patvirtinta Lietuvos Respublikos Vyriausybės 2022 m. kovo 16 d. nutarimu Nr. 247 „Dėl 2022–2030 metų ekonomikos transformacijos ir konkurencingumo plėtros programos patvirtinimo“ (toliau – 2022–2030 metų ekonomikos transformacijos ir konkurencingumo plėtros programa);</w:t>
                </w:r>
              </w:p>
              <w:p>
                <w:pPr>
                  <w:suppressAutoHyphens/>
                  <w:jc w:val="both"/>
                  <w:textAlignment w:val="center"/>
                </w:pPr>
                <w:r>
                  <w:t xml:space="preserve">1.4. 2022–2030  metų ekonomikos transformacijos ir konkurencingumo plėtros programos pažangos priemonės Nr. 05-001-01-04-02 „Skatinti įmones pereiti link neutralios klimatui ekonomikos“ aprašas, patvirtintas Lietuvos Respublikos ekonomikos ir inovacijų ministro 2022 m. liepos 11 d. įsakymu Nr. 4-861 „Dėl 2022–2030 metų ekonomikos transformacijos ir konkurencingumo plėtros programos pažangos priemonės Nr. 05-001-01-04-02 „Skatinti įmones pereiti link neutralios klimatui ekonomikos“ aprašo patvirtinimo“;</w:t>
                </w:r>
              </w:p>
              <w:p>
                <w:pPr>
                  <w:suppressAutoHyphens/>
                  <w:jc w:val="both"/>
                  <w:textAlignment w:val="center"/>
                </w:pPr>
                <w:r>
                  <w:t>1.5. 2023 m. spalio 27 d. Tarybos generalinio sekretoriato patvirtintas priedas Nr. 14637/23 prie Tarybos įgyvendinimo sprendimo, kuriuo iš dalies keičiamas 2021 m. liepos 20 d. Įgyvendinimo sprendimas dėl Lietuvos ekonomikos gaivinimo ir atsparumo didinimo plano įvertinimo patvirtinimo.</w:t>
                </w:r>
              </w:p>
            </w:tc>
          </w:tr>
          <w:tr>
            <w:trPr>
              <w:trHeight w:val="702"/>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val="en-US" w:eastAsia="lt-LT"/>
                  </w:rPr>
                  <w:t>2</w:t>
                </w:r>
                <w:r>
                  <w:rPr>
                    <w:color w:val="000000"/>
                    <w:szCs w:val="24"/>
                    <w:lang w:eastAsia="lt-LT"/>
                  </w:rPr>
                  <w:t>.</w:t>
                </w:r>
              </w:p>
              <w:p>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Skatinamajai finansinei priemonei „Milijardas verslui“ (toliau – Priemonė) skiriama finansavimo suma</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1 100 000 000 (vienas milijardas vienas šimtas milijonų) eurų (įskaitant valdymo mokestį ILTE), iš kurių 850 000 000 (aštuoni šimtai penkiasdešimt milijonų) eurų ekonomikos gaivinimo ir atsparumo didinimo priemonės (toliau – EGADP) paskolos lėšų ir 250 000 000 (du šimtai penkiasdešimt milijonų) eurų INVEGOS fondo lėšų.</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3.</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ind w:firstLine="62"/>
                  <w:jc w:val="both"/>
                  <w:textAlignment w:val="center"/>
                  <w:rPr>
                    <w:color w:val="000000"/>
                    <w:lang w:eastAsia="lt-LT"/>
                  </w:rPr>
                </w:pPr>
                <w:r>
                  <w:rPr>
                    <w:color w:val="000000"/>
                    <w:lang w:eastAsia="lt-LT"/>
                  </w:rPr>
                  <w:t>Priemonės „Milijardas verslui“ schemos (toliau – Schema) galiojimo trukmė</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rPr>
                </w:pPr>
                <w:r>
                  <w:rPr>
                    <w:color w:val="000000"/>
                  </w:rPr>
                  <w:t xml:space="preserve">3.1. Iš Priemonės lėšų teikiamų paskolų sutartys pasirašomos iki 2026 m. birželio 30 dienos. </w:t>
                </w:r>
              </w:p>
              <w:p>
                <w:pPr>
                  <w:suppressAutoHyphens/>
                  <w:jc w:val="both"/>
                  <w:textAlignment w:val="center"/>
                  <w:rPr>
                    <w:color w:val="000000"/>
                  </w:rPr>
                </w:pPr>
                <w:r>
                  <w:rPr>
                    <w:color w:val="000000"/>
                  </w:rPr>
                  <w:t>3.2. Finansavimas pagal Priemonę gali būti suteikiamas subordinuotos paskolos, sindikuotos paskolos arba tiesiogiai ILTE teikiamos paskolos forma (toliau kartu ar bet kuri iš jų – Paskola).</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4.</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highlight w:val="yellow"/>
                    <w:lang w:eastAsia="lt-LT"/>
                  </w:rPr>
                </w:pPr>
                <w:r>
                  <w:rPr>
                    <w:color w:val="000000"/>
                    <w:szCs w:val="24"/>
                    <w:lang w:eastAsia="lt-LT"/>
                  </w:rPr>
                  <w:t>Paskolos davėjas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val="en-US"/>
                  </w:rPr>
                </w:pPr>
                <w:r>
                  <w:rPr>
                    <w:color w:val="000000"/>
                  </w:rPr>
                  <w:t>Priemonę įgyvendina ir Paskolas teikia ILTE, veikdama kaip Inovacijų skatinimo fondo ir INVEGOS fondo valdytoja, paskirta vadovaujantis Sutartimi ir IF sutartimi.</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5.</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Sąvokos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rFonts w:eastAsia="Calibri"/>
                  </w:rPr>
                </w:pPr>
                <w:r>
                  <w:rPr>
                    <w:rFonts w:eastAsia="Calibri"/>
                  </w:rPr>
                  <w:t>Schemoje vartojamos sąvokos suprantamos taip, kaip jos apibrėžiamos Lietuvos Respublikos finansų įstaigų įstatyme, Lietuvos Respublikos investicijų įstatyme, Lietuvos Respublikos įmonių ir įmonių grupių atskaitomybės įstatyme, Lietuvos Respublikos nacionalinio plėtros banko įstatyme, Lietuvos Respublikos pinigų plovimo ir teroristų finansavimo prevencijos įstatyme, Lietuvos Respublikos smulkiojo ir vidutinio verslo plėtros įstatyme, Lietuvos Respublikos tarptautinių sankcijų įstatyme.</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val="en-US" w:eastAsia="lt-LT"/>
                  </w:rPr>
                  <w:t>6</w:t>
                </w:r>
                <w:r>
                  <w:rPr>
                    <w:color w:val="000000"/>
                    <w:szCs w:val="24"/>
                    <w:lang w:eastAsia="lt-LT"/>
                  </w:rPr>
                  <w:t>.</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Remiama veikla</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rPr>
                </w:pPr>
                <w:r>
                  <w:rPr>
                    <w:color w:val="000000"/>
                  </w:rPr>
                  <w:t>Paskola teikiama Paskolos gavėjui, kuris kreipsis dėl finansavimo skyrimo projektui, kuriuo siekiama investuoti į aplinkai palankias technologijas, žiediškumo didinimą, dekarbonizaciją, energijos vartojimo efektyvumą, mažai atliekų sukeliančių, pažangių, novatoriškų, skaitmeninių technologijų diegimą, aukštos pridėtinės vertės produktų gamybos pajėgumų (įskaitant biotechnologijas) plėtrą bei gynybos ir saugumo pramonę (toliau – Projektas). Finansuojant gynybos ir saugumo sektoriaus projektus, tinkamomis laikomos investicijos į Paskolos gavėjo susijusių ir (ar) partnerinių įmonių, kurios įgyvendins Projektą, nuosavą kapitalą.</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val="en-US" w:eastAsia="lt-LT"/>
                  </w:rPr>
                  <w:t>7</w:t>
                </w:r>
                <w:r>
                  <w:rPr>
                    <w:color w:val="000000"/>
                    <w:szCs w:val="24"/>
                    <w:lang w:eastAsia="lt-LT"/>
                  </w:rPr>
                  <w:t>.</w:t>
                </w:r>
              </w:p>
              <w:p>
                <w:pPr>
                  <w:suppressAutoHyphens/>
                  <w:jc w:val="both"/>
                  <w:textAlignment w:val="center"/>
                  <w:rPr>
                    <w:color w:val="000000"/>
                    <w:szCs w:val="24"/>
                    <w:lang w:val="en-US"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Paskolos gavėjai ir jiems keliami reikalavimai</w:t>
                </w:r>
              </w:p>
              <w:p>
                <w:pPr>
                  <w:suppressAutoHyphens/>
                  <w:jc w:val="both"/>
                  <w:textAlignment w:val="center"/>
                  <w:rPr>
                    <w:color w:val="000000"/>
                    <w:szCs w:val="24"/>
                    <w:lang w:eastAsia="lt-LT"/>
                  </w:rPr>
                </w:pPr>
              </w:p>
              <w:p>
                <w:pPr>
                  <w:suppressAutoHyphens/>
                  <w:jc w:val="both"/>
                  <w:textAlignment w:val="center"/>
                  <w:rPr>
                    <w:color w:val="000000"/>
                    <w:szCs w:val="24"/>
                    <w:lang w:eastAsia="lt-LT"/>
                  </w:rPr>
                </w:pPr>
              </w:p>
              <w:p>
                <w:pPr>
                  <w:suppressAutoHyphens/>
                  <w:jc w:val="both"/>
                  <w:textAlignment w:val="center"/>
                  <w:rPr>
                    <w:color w:val="000000"/>
                    <w:szCs w:val="24"/>
                    <w:lang w:eastAsia="lt-LT"/>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jc w:val="both"/>
                  <w:rPr>
                    <w:rFonts w:eastAsia="Calibri"/>
                  </w:rPr>
                </w:pPr>
                <w:r>
                  <w:rPr>
                    <w:rFonts w:eastAsia="Calibri"/>
                  </w:rPr>
                  <w:t>7.1. Paskolos teikiamos labai mažoms, mažoms ir vidutinėms įmonėms, didelėms įmonėms jų Projektams finansuoti. INVEGOS fondo lėšos gali būti skirtos tik gynybos ir saugumo sektoriuose veiklą vykdančių Paskolos gavėjų Projektams finansuoti.</w:t>
                </w:r>
              </w:p>
              <w:p>
                <w:pPr>
                  <w:suppressAutoHyphens/>
                  <w:jc w:val="both"/>
                  <w:textAlignment w:val="center"/>
                  <w:rPr>
                    <w:color w:val="000000"/>
                    <w:lang w:eastAsia="lt-LT"/>
                  </w:rPr>
                </w:pPr>
                <w:r>
                  <w:rPr>
                    <w:color w:val="000000"/>
                    <w:lang w:eastAsia="lt-LT"/>
                  </w:rPr>
                  <w:t>7.2. Paskolos gavėjas turi atitikti šiuos reikalavimus:</w:t>
                </w:r>
              </w:p>
              <w:p>
                <w:pPr>
                  <w:jc w:val="both"/>
                </w:pPr>
                <w:r>
                  <w:rPr>
                    <w:color w:val="000000"/>
                    <w:lang w:val="en-US" w:eastAsia="lt-LT"/>
                  </w:rPr>
                  <w:t xml:space="preserve">7.2.1. </w:t>
                </w:r>
                <w:r>
                  <w:t xml:space="preserve">Paskolos </w:t>
                </w:r>
                <w:r>
                  <w:rPr>
                    <w:bCs/>
                  </w:rPr>
                  <w:t>gavėjas veikia Lietuvos Respublikoje. Paskolos gavėjas laikomas veikiančiu Lietuvos Respublikoje tuo atveju, jei jis kuria darbo vietas Lietuvos Respublikoje ir (arba) nuo savo vykdomos veiklos moka mokesčius į Lietuvos Respublikos valstybės biudžetą, įmokas į Valstybinio socialinio draudimo fondą, Garantinį fondą ir Ilgalaikio darbo išmokų fondą. Paraiškos pateikimo metu Paskolos gavėjas gali būti neveikiantis Lietuvos Respublikoje, jei jis pateikia Paskolos davėjui viešosios įstaigos „Investuok Lietuvoje“ raštą, patvirtinantį, kad Paskolos gavėjui teikiamos Lietuvos Respublikos investicijų įstatymo 13 straipsnio 4 dalyje nurodytos konsultacijos. Tokiu atveju veikimą Lietuvos Respublikoje patvirtinančius dokumentus Paskolos gavėjas pateikia Paskolos davėjui iki Paskolos sutarties pasirašymo.</w:t>
                </w:r>
              </w:p>
              <w:p>
                <w:pPr>
                  <w:jc w:val="both"/>
                </w:pPr>
                <w:r>
                  <w:t>7.2.2. Paskolos gavėjas atitinka minimalius patikimo mokesčių mokėtojo kriterijus, nustatytus Lietuvos Respublikos mokesčių administravimo įstatymo 40</w:t>
                </w:r>
                <w:r>
                  <w:rPr>
                    <w:vertAlign w:val="superscript"/>
                  </w:rPr>
                  <w:t>1</w:t>
                </w:r>
                <w:r>
                  <w:t xml:space="preserve"> straipsnyje.</w:t>
                </w:r>
              </w:p>
              <w:p>
                <w:pPr>
                  <w:jc w:val="both"/>
                  <w:rPr>
                    <w:lang w:eastAsia="lt-LT"/>
                  </w:rPr>
                </w:pPr>
                <w:r>
                  <w:t xml:space="preserve">7.2.3. </w:t>
                </w:r>
                <w:r>
                  <w:rPr>
                    <w:lang w:eastAsia="lt-LT"/>
                  </w:rPr>
                  <w:t>Paskolos gavėjui nėra iškelta bankroto ir (ar) restruktūrizavimo byla pagal Lietuvos Respublikos juridinių asmenų nemokumo įstatymą, jis nėra likviduojamas.</w:t>
                </w:r>
              </w:p>
              <w:p>
                <w:pPr>
                  <w:jc w:val="both"/>
                  <w:rPr>
                    <w:szCs w:val="24"/>
                    <w:lang w:eastAsia="lt-LT"/>
                  </w:rPr>
                </w:pPr>
                <w:r>
                  <w:rPr>
                    <w:szCs w:val="24"/>
                    <w:lang w:eastAsia="lt-LT"/>
                  </w:rPr>
                  <w:t>7.2.4. Paskolos gavėjas yra pateikęs valstybės įmonei Registrų centrui (kai tai yra privaloma pagal teisės aktus, reguliuojančius finansinės atskaitomybės teikimą) finansinių ataskaitų už paskutinius dvejus finansinius metus arba, jei Paskolos gavėjas veikia trumpiau nei dvejus metus, už trumpesnį terminą, rinkinį, kuriame būtų nuodugniai išdėstyta nuosavo kapitalo sudėtis.</w:t>
                </w:r>
              </w:p>
              <w:p>
                <w:pPr>
                  <w:jc w:val="both"/>
                  <w:rPr>
                    <w:szCs w:val="24"/>
                    <w:lang w:eastAsia="lt-LT"/>
                  </w:rPr>
                </w:pPr>
                <w:r>
                  <w:rPr>
                    <w:szCs w:val="24"/>
                    <w:lang w:eastAsia="lt-LT"/>
                  </w:rPr>
                  <w:t>7.2.5. Paskolos gavėjas nėra valstybės ir (ar) savivaldybės įmonė arba įmonė, kurioje 25 procentus ir daugiau įmonės akcijų, pajų ar kitokių dalyvavimą įmonės kapitale žyminčių kapitalo dalių arba 25 procentus ir daugiau įmonės dalyvių balsų tiesiogiai ar netiesiogiai (pagal balsavimo sutartį, balsavimo teisės perleidimo sutartį, įgaliojimą ir pan.) atskirai arba kartu turi valstybė ir (ar) savivaldybė (šis Schemos papunktis netaikomas, kai Projektai finansuojami INVEGOS fondo lėšomis).</w:t>
                </w:r>
              </w:p>
              <w:p>
                <w:pPr>
                  <w:jc w:val="both"/>
                  <w:rPr>
                    <w:szCs w:val="24"/>
                    <w:lang w:eastAsia="lt-LT"/>
                  </w:rPr>
                </w:pPr>
                <w:r>
                  <w:rPr>
                    <w:szCs w:val="24"/>
                    <w:lang w:eastAsia="lt-LT"/>
                  </w:rPr>
                  <w:t>7.2.6. Paskolos gavėjas nėra gavęs valstybės pagalbos, kuri Paskolos davėjo sprendimu buvo pripažinta nepagrįstai išmokėta ir (arba), kaip nurodyta Lietuvos Respublikos konkurencijos įstatymo 55 straipsnio 2 dalyje, Europos Komisijos buvo pripažinta nesuderinama su Europos Sąjungos vidaus rinka (toliau – nesuderinama pagalba)  ir (arba) pagalbos teikėjo, kaip jis apibrėžtas Konkurencijos įstatyme, sprendimu pripažinta neteisėta pagalba (toliau – neteisėta pagalba), arba yra grąžinęs visą jos sumą, įskaitant palūkanas, kaip nustatyta 2015 m. liepos 13 d. Tarybos reglamente (ES) 2015/1589, nustatančiame išsamias Sutarties dėl Europos Sąjungos veikimo 108 straipsnio taikymo taisykles. </w:t>
                </w:r>
              </w:p>
              <w:p>
                <w:pPr>
                  <w:jc w:val="both"/>
                  <w:rPr>
                    <w:szCs w:val="24"/>
                    <w:lang w:eastAsia="lt-LT"/>
                  </w:rPr>
                </w:pPr>
                <w:r>
                  <w:rPr>
                    <w:szCs w:val="24"/>
                    <w:lang w:eastAsia="lt-LT"/>
                  </w:rPr>
                  <w:t>7.2.7. Paskolos gavėjui, jo vadovui, atstovui, Paskolos gavėjo nuosavybės ir valdymo struktūrai priklausantiems asmenims, naudos gavėjui arba fiziniams ir juridiniams asmenims, kurių naudai bus naudojama Paskola, sandorio ir (arba) mokėjimo bei tiekimo grandinėje dalyvaujantiems subjektams nėra taikomos tarptautinės sankcijos ir (ar) ribojamosios priemonės, taip pat nėra taikomos kitų valstybių ar organizacijų nustatytos sankcijos, nurodytos ILTE valdybos tvirtinamoje Pinigų plovimo ir (ar) teroristų finansavimo prevencijos bei tarptautinių sankcijų įgyvendinimo politikoje, skelbiamoje ILTE interneto svetainėje https://ilte.lt/doclib/eqnjxwthqaxnsqj4qhw31awwzvkm1g5y.</w:t>
                </w:r>
              </w:p>
              <w:p>
                <w:pPr>
                  <w:jc w:val="both"/>
                  <w:textAlignment w:val="baseline"/>
                </w:pPr>
                <w:r>
                  <w:rPr>
                    <w:color w:val="000000"/>
                    <w:lang w:val="en-US" w:eastAsia="lt-LT"/>
                  </w:rPr>
                  <w:t xml:space="preserve">7.2.8. </w:t>
                </w:r>
                <w:r>
                  <w:rPr>
                    <w:lang w:eastAsia="lt-LT"/>
                  </w:rPr>
                  <w:t xml:space="preserve">Per paskutinius 5 metus galutiniu teismo sprendimu arba galutiniu administraciniu sprendimu Paskolos gavėjas, jo vadovas, administracijos, valdymo ir (ar) priežiūros organų narys arba asmuo, turintis Paskolos gavėjo atstovavimo, sprendimų priėmimo ar kontrolės įgaliojimus, nėra pripažintas kaltu ir neturi neišnykusio ar nepanaikinto teistumo dėl padaryto sunkaus profesinio nusižengimo, sukčiavimo, korupcijos, nusikalstamo susivienijimo, pinigų plovimo arba teroristų finansavimo, teroristinių nusikaltimų arba su teroristine veikla susijusių nusikaltimų, vaikų darbo ar kitų su prekyba žmonėmis susijusių nusikalstamų veikų, taip pat netinkamai vykdytų įsipareigojimų, susijusių su jam skirta Europos Sąjungos (toliau – ES) finansine parama ir dėl to įsipareigojimai buvo nutraukti anksčiau laiko ar Paskolos gavėjo buvo pareikalauta atlyginti nuostolius, ar buvo pritaikytos kitos sankcijos, taip pat dėl padaryto pažeidimo, kaip ši sąvoka apibrėžta 1995 m. gruodžio 18 d. Tarybos reglamento </w:t>
                </w:r>
                <w:hyperlink r:id="rId35" w:tgtFrame="_blank" w:history="1">
                  <w:r>
                    <w:rPr>
                      <w:color w:val="0000FF" w:themeColor="hyperlink"/>
                      <w:u w:val="single"/>
                      <w:lang w:eastAsia="lt-LT"/>
                    </w:rPr>
                    <w:t>(EB, Euratomas) Nr. 2988/95</w:t>
                  </w:r>
                </w:hyperlink>
                <w:r>
                  <w:rPr>
                    <w:lang w:eastAsia="lt-LT"/>
                  </w:rPr>
                  <w:t xml:space="preserve"> dėl Europos Bendrijų finansinių interesų apsaugos 1 straipsnio 2 dalyje, kitoje jurisdikcijoje įsteigto juridinio asmens, ketinant išvengti mokestinių, socialinių arba bet kokių kitų teisinių pareigų pagal jo registruotos buveinės, centrinės administracijos ar pagrindinės verslo vietos jurisdikciją, arba nustatyta, kad Paskolos gavėjas buvo įsteigtas turint šiame Schemos papunktyje nurodytą ketinimą.</w:t>
                </w:r>
              </w:p>
              <w:p>
                <w:pPr>
                  <w:jc w:val="both"/>
                  <w:textAlignment w:val="baseline"/>
                  <w:rPr>
                    <w:szCs w:val="24"/>
                    <w:lang w:eastAsia="lt-LT"/>
                  </w:rPr>
                </w:pPr>
                <w:r>
                  <w:rPr>
                    <w:szCs w:val="24"/>
                    <w:lang w:val="en-US" w:eastAsia="lt-LT"/>
                  </w:rPr>
                  <w:t>7</w:t>
                </w:r>
                <w:r>
                  <w:rPr>
                    <w:szCs w:val="24"/>
                    <w:lang w:eastAsia="lt-LT"/>
                  </w:rPr>
                  <w:t>.2.9. Per paskutinius 5 metus galutiniu teismo sprendimu arba galutiniu administraciniu sprendimu Paskolos gavėjas nėra pripažintas kaltu ir neturi neišnykusio ar nepanaikinto teistumo dėl pareigų, susijusių su mokesčių ar socialinio draudimo įmokų mokėjimu, neatlikimo.</w:t>
                </w:r>
              </w:p>
              <w:p>
                <w:pPr>
                  <w:jc w:val="both"/>
                  <w:textAlignment w:val="baseline"/>
                  <w:rPr>
                    <w:szCs w:val="24"/>
                    <w:lang w:eastAsia="lt-LT"/>
                  </w:rPr>
                </w:pPr>
                <w:r>
                  <w:rPr>
                    <w:szCs w:val="24"/>
                    <w:lang w:eastAsia="lt-LT"/>
                  </w:rPr>
                  <w:t>7.2.10. Paskolos gavėjas, jo vadovas, atstovas, Paskolos gavėjo nuosavybės ir valdymo struktūrai priklausantys asmenys, naudos gavėjai nėra susiję su pinigų plovimu, teroristų finansavimu, mokesčių vengimu. Paskolos gavėjas neveikia ir neveikė ekonominės veiklos sektoriuje, kuris pagal Pinigų plovimo ir teroristų finansavimo prevencijos įstatymą, ES ir Tarptautinės kovos su pinigų plovimu organizacijos rekomendacijas ar Lietuvos Respublikos nacionalinį pinigų plovimo ir teroristų finansavimo rizikos vertinimą yra priskiriamas didelės ar labai didelės pinigų plovimo ir (ar) teroristų finansavimo rizikos veikloms ir nėra duomenų ar dokumentais pagrįstų įrodymų apie pinigų plovimo ir teroristų finansavimo prevencijos ar mokesčių vengimo prevencijos reikalavimų neatitikimus, taip pat Paskolos gavėjas yra pateikęs visus teisės aktuose nustatytus bei pinigų plovimo ir teroristų finansavimo prevencijai užtikrinti reikalingus duomenis ir dokumentus, įskaitant duomenis apie nuosavybės ir valdymo struktūrą, lėšų sandoriams vykdyti šaltinį ir verslo santykius. Atitiktis šiam reikalavimui vertinama ILTE vidaus procedūrų nustatyta tvarka.</w:t>
                </w:r>
              </w:p>
              <w:p>
                <w:pPr>
                  <w:jc w:val="both"/>
                  <w:textAlignment w:val="baseline"/>
                  <w:rPr>
                    <w:lang w:eastAsia="lt-LT"/>
                  </w:rPr>
                </w:pPr>
                <w:r>
                  <w:rPr>
                    <w:lang w:eastAsia="lt-LT"/>
                  </w:rPr>
                  <w:t>7.2.11. Paskolos gavėjo ir (ar) Paskolos negrąžinimo rizika yra priimtino rizikingumo lygio, įskaitant riziką, susijusią su Paskolos gavėjo, jo vadovo, savininko, naudos gavėjo reputacija ir Projektą įgyvendinančiu rangovu, o Projektas Paskolos davėjo yra pripažintas ekonomiškai pagrįstu ir finansiškai gyvybingu. Rizikingumo lygio bei Projekto ekonominio pagrįstumo ir finansinio gyvybingumo vertinimas atliekamas Paskolos davėjo vidaus procedūrų tvarka, o reikalavimai Projektą įgyvendinančiam rangovui skelbiami ILTE interneto svetainėje https://ilte.lt.</w:t>
                </w:r>
              </w:p>
              <w:p>
                <w:pPr>
                  <w:jc w:val="both"/>
                  <w:textAlignment w:val="baseline"/>
                </w:pPr>
                <w:r>
                  <w:rPr>
                    <w:szCs w:val="24"/>
                    <w:lang w:eastAsia="lt-LT"/>
                  </w:rPr>
                  <w:t xml:space="preserve">7.2.12. </w:t>
                </w:r>
                <w:r>
                  <w:rPr>
                    <w:i/>
                    <w:szCs w:val="24"/>
                    <w:lang w:eastAsia="lt-LT"/>
                  </w:rPr>
                  <w:t>neteko galios nuo 2026-01-22.</w:t>
                </w:r>
              </w:p>
              <w:p>
                <w:pPr>
                  <w:jc w:val="both"/>
                  <w:textAlignment w:val="baseline"/>
                  <w:rPr>
                    <w:lang w:eastAsia="lt-LT"/>
                  </w:rPr>
                </w:pPr>
                <w:r>
                  <w:t>7.2.13.</w:t>
                </w:r>
                <w:r>
                  <w:rPr>
                    <w:lang w:eastAsia="lt-LT"/>
                  </w:rPr>
                  <w:t xml:space="preserve"> Paskolos gavėjo nuosavybės rodiklis (nuosavo kapitalo ir viso turto santykis) po Paskolos suteikimo nėra mažesnis kaip 0,1 arba 0,15, į nuosavą kapitalą įtraukus akcininkų, susijusių ir (ar) kitų trečiųjų asmenų Paskolos gavėjui suteiktas paskolas, subordinuotas ILTE paskolos (-ų) atžvilgiu (toliau – trečiųjų asmenų subordinuotos paskolos) (be trečiųjų asmenų subordinuotų paskolų nuosavas kapitalas turi būti teigiamas), skaičiuojant pagal paskutinių finansinių metų metinių finansinių ataskaitų rinkinį ar paskutinę tarpinę finansinę ataskaitą. Jeigu pagal paskutinių finansinių metų metinių finansinių ataskaitų rinkinį nuosavybės rodiklis po Paskolos suteikimo yra mažesnis kaip 0,1 arba 0,15, įtraukus trečiųjų asmenų subordinuotas paskolas, o pagal paskutinį tarpinių finansinių ataskaitų rinkinį yra didesnis kaip 0,1 arba 0,15, įtraukus trečiųjų asmenų subordinuotas paskolas, Paskolos gavėjas privalo pateikti ILTE nuosavybės struktūros pokyčius pagrindžiančius dokumentus (sukauptų nuostolių padengimo, kapitalo padidinimo apmokėjimo, turto vertinimo ir (arba) kitus nuosavybės struktūros pokyčius įrodančius dokumentus). Paskolos gavėjo nuosavybės rodiklis turi būti pasiektas ne vėliau kaip iki Paskolos lėšų išmokėjimo Paskolos gavėjui dienos. Tuo atveju, kai Projektas įgyvendinamas viešojo ir privataus sektorių partnerystės (angl.</w:t>
                </w:r>
                <w:r>
                  <w:rPr>
                    <w:i/>
                    <w:iCs/>
                    <w:lang w:eastAsia="lt-LT"/>
                  </w:rPr>
                  <w:t xml:space="preserve"> public private partnership</w:t>
                </w:r>
                <w:r>
                  <w:rPr>
                    <w:lang w:eastAsia="lt-LT"/>
                  </w:rPr>
                  <w:t>) (toliau – VPSP) būdu ir finansuojamas EGADP paskolos lėšomis, Paskolos gavėjo nuosavybės rodiklis po Paskolos suteikimo turi būti ne mažesnis kaip 0,1, įtraukus trečiųjų asmenų subordinuotas paskolas ir taikant šiame Schemos papunktyje nurodytus nuosavybės rodiklio skaičiavimo principus. Šis Schemos papunktis netaikomas finansuojant VPSP būdu įgyvendinamus gynybos ir saugumo sektoriaus projektus, finansuojamus iš INVEGOS fondo lėšų.</w:t>
                </w:r>
              </w:p>
              <w:p>
                <w:pPr>
                  <w:jc w:val="both"/>
                  <w:textAlignment w:val="baseline"/>
                  <w:rPr>
                    <w:szCs w:val="24"/>
                    <w:lang w:eastAsia="lt-LT"/>
                  </w:rPr>
                </w:pPr>
                <w:r>
                  <w:rPr>
                    <w:szCs w:val="24"/>
                    <w:lang w:eastAsia="lt-LT"/>
                  </w:rPr>
                  <w:t>7.2.14. Paskolos gavėjas pateikia įrodymus, kad prašomai suteikti Paskolai neturi galimybės gauti finansavimo rinkoje iš Lietuvos Respublikoje veikiančių finansų įstaigų (taikoma tuo atveju, kai prašoma suteikti tiesioginę ILTE paskolą ir Paskolos gavėjas vykdo veiklą ne gynybos ar saugumo sektoriuje).</w:t>
                </w:r>
              </w:p>
              <w:p>
                <w:pPr>
                  <w:jc w:val="both"/>
                  <w:textAlignment w:val="baseline"/>
                  <w:rPr>
                    <w:color w:val="000000"/>
                    <w:szCs w:val="24"/>
                    <w:lang w:eastAsia="lt-LT"/>
                  </w:rPr>
                </w:pPr>
                <w:r>
                  <w:rPr>
                    <w:color w:val="000000"/>
                    <w:szCs w:val="24"/>
                    <w:lang w:val="en-US" w:eastAsia="lt-LT"/>
                  </w:rPr>
                  <w:t>7.2.14</w:t>
                </w:r>
                <w:r>
                  <w:rPr>
                    <w:color w:val="000000"/>
                    <w:szCs w:val="24"/>
                    <w:vertAlign w:val="superscript"/>
                    <w:lang w:val="en-US" w:eastAsia="lt-LT"/>
                  </w:rPr>
                  <w:t>1</w:t>
                </w:r>
                <w:r>
                  <w:rPr>
                    <w:color w:val="000000"/>
                    <w:szCs w:val="24"/>
                    <w:lang w:val="en-US" w:eastAsia="lt-LT"/>
                  </w:rPr>
                  <w:t xml:space="preserve">. </w:t>
                </w:r>
                <w:r>
                  <w:rPr>
                    <w:color w:val="000000"/>
                    <w:szCs w:val="24"/>
                    <w:lang w:eastAsia="lt-LT"/>
                  </w:rPr>
                  <w:t xml:space="preserve">Tuo atveju, kai Paskolos gavėjas prašo refinansuoti su Projekto įgyvendinimu susijusį tarpinį finansavimą (angl. </w:t>
                </w:r>
                <w:r>
                  <w:rPr>
                    <w:i/>
                    <w:iCs/>
                    <w:color w:val="000000"/>
                    <w:szCs w:val="24"/>
                    <w:lang w:eastAsia="lt-LT"/>
                  </w:rPr>
                  <w:t>bridge financing</w:t>
                </w:r>
                <w:r>
                  <w:rPr>
                    <w:color w:val="000000"/>
                    <w:szCs w:val="24"/>
                    <w:lang w:eastAsia="lt-LT"/>
                  </w:rPr>
                  <w:t>), kuris suprantamas kaip trumpalaikis finansavimo būdas, suteiktas ne ilgesniam nei 4 metų terminui, kurį įmonės naudoja, siekdamos padengti išlaidas ir (ar) finansuoti Projektą, kol tikimasi gauti pajamų arba finansavimo (toliau – Tarpinis finansavimas), Paskolos gavėjas kartu su Schemos 7.2.14 papunktyje pateiktais įrodymais pateikia iš Lietuvos Respublikoje veikiančios finansų įstaigos, kuri yra suteikusi Paskolos gavėjui paskolą, sutikimą dėl minėtos paskolos refinansavimo (taikoma tuo atveju, kai prašoma suteikti tiesioginę ILTE paskolą ir Paskolos gavėjas vykdo veiklą ne gynybos ar saugumo sektoriuje).</w:t>
                </w:r>
              </w:p>
              <w:p>
                <w:pPr>
                  <w:jc w:val="both"/>
                  <w:textAlignment w:val="baseline"/>
                  <w:rPr>
                    <w:color w:val="000000"/>
                    <w:szCs w:val="24"/>
                    <w:lang w:eastAsia="lt-LT"/>
                  </w:rPr>
                </w:pPr>
                <w:r>
                  <w:rPr>
                    <w:color w:val="000000"/>
                    <w:szCs w:val="24"/>
                    <w:lang w:eastAsia="lt-LT"/>
                  </w:rPr>
                  <w:t>7.2.15.</w:t>
                </w:r>
                <w:r>
                  <w:rPr>
                    <w:color w:val="000000"/>
                  </w:rPr>
                  <w:t xml:space="preserve"> </w:t>
                </w:r>
                <w:r>
                  <w:rPr>
                    <w:color w:val="000000"/>
                    <w:szCs w:val="24"/>
                    <w:lang w:eastAsia="lt-LT"/>
                  </w:rPr>
                  <w:t>Paskolos gavėjas neturi arba yra nutraukęs prekybinius įsipareigojimus su Rusijos Federacijos (toliau – Rusija), Baltarusijos Respublikos, Rusijos aneksuoto Krymo, Ukrainos Vyriausybės nekontroliuojamų Donecko, Luhansko, Chersono ir Zaporižios sričių teritorijų, Moldovos Respublikos Vyriausybės nekontroliuojamos Padniestrės teritorijos bei Sakartvelo Vyriausybės nekontroliuojamos Abchazijos ir Pietų Osetijos teritorijų fiziniais ir (ar) juridiniais asmenimis ne vėliau kaip iki 2022 m. rugpjūčio 31 d.</w:t>
                </w:r>
              </w:p>
              <w:p>
                <w:pPr>
                  <w:jc w:val="both"/>
                  <w:rPr>
                    <w:rFonts w:eastAsia="Calibri"/>
                  </w:rPr>
                </w:pPr>
                <w:r>
                  <w:rPr>
                    <w:color w:val="000000"/>
                    <w:spacing w:val="2"/>
                    <w:lang w:val="en-GB"/>
                  </w:rPr>
                  <w:t>7.2.</w:t>
                </w:r>
                <w:r>
                  <w:rPr>
                    <w:color w:val="000000"/>
                    <w:lang w:val="en-GB"/>
                  </w:rPr>
                  <w:t>16</w:t>
                </w:r>
                <w:r>
                  <w:rPr>
                    <w:color w:val="000000"/>
                    <w:spacing w:val="2"/>
                    <w:lang w:val="en-GB"/>
                  </w:rPr>
                  <w:t xml:space="preserve">. </w:t>
                </w:r>
                <w:r>
                  <w:rPr>
                    <w:color w:val="000000"/>
                    <w:spacing w:val="2"/>
                  </w:rPr>
                  <w:t>Paskolos gavėjas nėra kontroliuojamas, kaip nustatyta Konkurencijos įstatyme, trečiųjų šalių (ne ES valstybių narių) subjektų, o jo valdymo organas (-ai) yra veikiantis (-ys) ES (taikoma strateginių investicijų, kurios suprantamos kaip investicijos į gynybos technologijas, į kosmoso atominius laikrodžius, strateginius paleidimo įrenginius, kosmoso produktus, taip pat investicijos, skirtos kibernetinio saugumo priemonėms ir sprendimams plėtoti ir diegti, įskaitant atvejus, kai šios priemonės ir sprendimai yra skaitmeninių tinklų ir duomenų infrastruktūros diegimo ar atnaujinimo dalis (toliau – Strateginė investicija), Projektams, kurių vertė yra didesnė nei 10 000 000 (dešimt milijonų) eurų, išskyrus išimtį, nustatytą Schemos 7.2.19 papunktyje). Trečiųjų šalių subjektų kontrolė suprantama kaip galimybė daryti tiesioginę ar netiesioginę lemiamą įtaką per vieną ar daugiau kitų įmonių ir (ar) Paskolos gavėjo akcininkų ar dalyvių, t. y. teisė skirti (atšaukti) Paskolos gavėjo valdymo organų narius, įpareigoti valdymo organus priimti Paskolos gavėjui svarbius sprendimus arba turima veto teisė dėl Paskolos gavėjo priimamų sprendimų ir (ar) kiti veiksmai, galintys iš esmės pakeisti Paskolos gavėjo valdymą ir veiklą, realizuojama neturint Paskolos gavėjo akcininkų ar narių balsų daugumos ir be susitarimų su kitais įmonės akcininkais ar dalyviais (šis Schemos papunktis netaikomas, kai Projektai finansuojami INVEGOS fondo lėšomis).</w:t>
                </w:r>
              </w:p>
              <w:p>
                <w:pPr>
                  <w:jc w:val="both"/>
                  <w:rPr>
                    <w:rFonts w:eastAsia="Calibri"/>
                  </w:rPr>
                </w:pPr>
                <w:r>
                  <w:rPr>
                    <w:rFonts w:eastAsia="Calibri"/>
                  </w:rPr>
                  <w:t>7.2.1</w:t>
                </w:r>
                <w:r>
                  <w:rPr>
                    <w:rFonts w:eastAsia="Calibri"/>
                    <w:lang w:val="en-US"/>
                  </w:rPr>
                  <w:t>7</w:t>
                </w:r>
                <w:r>
                  <w:rPr>
                    <w:rFonts w:eastAsia="Calibri"/>
                  </w:rPr>
                  <w:t xml:space="preserve">. </w:t>
                </w:r>
                <w:r>
                  <w:rPr>
                    <w:spacing w:val="2"/>
                  </w:rPr>
                  <w:t>P</w:t>
                </w:r>
                <w:r>
                  <w:rPr>
                    <w:rFonts w:eastAsia="Calibri"/>
                  </w:rPr>
                  <w:t>rojekte dalyvauja tiekėjai ir (ar) rangovai, kurie nėra kontroliuojami trečiųjų šalių (ne ES valstybių narių) subjektų, o jų valdymo organai yra veikiantys ES (taikoma Strateginių investicijų į gynybos ir saugumo pramonę Projektams, kurių vertė yra didesnė nei 10 000 000 (dešimt milijonų) eurų, išskyrus išimtį, nustatytą Schemos 7.2.19 papunktyje). Trečiųjų šalių subjektų kontrolė suprantama taip, kaip aprašyta Schemos 7.2.16 papunktyje (šis Schemos papunktis netaikomas, kai Projektai finansuojami INVEGOS fondo lėšomis).</w:t>
                </w:r>
              </w:p>
              <w:p>
                <w:pPr>
                  <w:tabs>
                    <w:tab w:val="left" w:pos="460"/>
                  </w:tabs>
                  <w:ind w:left="2" w:hanging="2"/>
                  <w:jc w:val="both"/>
                  <w:rPr>
                    <w:rFonts w:eastAsia="Calibri"/>
                    <w:szCs w:val="24"/>
                  </w:rPr>
                </w:pPr>
                <w:r>
                  <w:rPr>
                    <w:szCs w:val="24"/>
                    <w:lang w:val="en-US"/>
                  </w:rPr>
                  <w:t xml:space="preserve">7.2.18. </w:t>
                </w:r>
                <w:r>
                  <w:rPr>
                    <w:szCs w:val="24"/>
                  </w:rPr>
                  <w:t>Paskolos gavėjas ir Projekte dalyvaujantys tiekėjai ir (ar) rangovai (ypač telekomunikacijų įrangos pardavėjai ir gamintojai bei kiti trečiųjų valstybių tiekėjai, pvz., debesijos infrastruktūros teikėjai, valdomų paslaugų teikėjai, sistemų integratoriai, saugumo ir techninės priežiūros rangovai ir perdavimo įrangos gamintojai) turi atitikti 2023 m. birželio 15 d. Europos Komisijos komunikate</w:t>
                </w:r>
                <w:r>
                  <w:rPr>
                    <w:b/>
                    <w:bCs/>
                    <w:szCs w:val="24"/>
                  </w:rPr>
                  <w:t xml:space="preserve"> </w:t>
                </w:r>
                <w:r>
                  <w:rPr>
                    <w:szCs w:val="24"/>
                  </w:rPr>
                  <w:t xml:space="preserve">dėl 5G Kibernetinio saugumo priemonių rinkinio įgyvendinimo nustatytas nuostatas dėl saugumo reikalavimų, apribojimų tiekėjams, kurie laikomi keliančiais didelę riziką, ir priklausomybės nuo vienintelio tiekėjo (taikoma Strateginių investicijų, kurios yra orientuotos į 5G ryšio sritį, Projektams, kurių vertė yra didesnė nei </w:t>
                  <w:br/>
                  <w:t>10 000 000 (dešimt milijonų) eurų, išskyrus išimtį, nustatytą Schemos 7.2.19 papunktyje).</w:t>
                </w:r>
              </w:p>
              <w:p>
                <w:pPr>
                  <w:tabs>
                    <w:tab w:val="left" w:pos="460"/>
                  </w:tabs>
                  <w:ind w:left="2" w:hanging="2"/>
                  <w:jc w:val="both"/>
                  <w:rPr>
                    <w:rFonts w:eastAsia="Calibri"/>
                    <w:szCs w:val="24"/>
                  </w:rPr>
                </w:pPr>
                <w:r>
                  <w:rPr>
                    <w:rFonts w:eastAsia="Calibri"/>
                    <w:szCs w:val="24"/>
                  </w:rPr>
                  <w:t>7.2.19. Schemos 7.2.16–7.2.18 papunkčiuose nustatyti reikalavimai netaikomi Strateginių investicijų Projektams, kai Paskolos gavėjas gali įrodyti, kad jis yra juridinis asmuo, kuriam valstybė narė, kurioje jis yra įsisteigęs, patvirtino garantiją</w:t>
                </w:r>
                <w:r>
                  <w:rPr>
                    <w:rFonts w:eastAsia="Calibri"/>
                    <w:b/>
                    <w:bCs/>
                    <w:szCs w:val="24"/>
                  </w:rPr>
                  <w:t xml:space="preserve"> </w:t>
                </w:r>
                <w:r>
                  <w:rPr>
                    <w:rFonts w:eastAsia="Calibri"/>
                    <w:szCs w:val="24"/>
                  </w:rPr>
                  <w:t xml:space="preserve">pagal 2021 m. balandžio 29 d. Europos Parlamento ir Tarybos reglamentą </w:t>
                </w:r>
                <w:hyperlink r:id="rId36" w:tgtFrame="_blank" w:history="1">
                  <w:r>
                    <w:rPr>
                      <w:rStyle w:val="Hipersaitas"/>
                      <w:rFonts w:eastAsia="Calibri"/>
                      <w:szCs w:val="24"/>
                    </w:rPr>
                    <w:t>(ES) 2021/697</w:t>
                  </w:r>
                </w:hyperlink>
                <w:r>
                  <w:rPr>
                    <w:rFonts w:eastAsia="Calibri"/>
                    <w:szCs w:val="24"/>
                  </w:rPr>
                  <w:t xml:space="preserve">, kuriuo įsteigiamas Europos gynybos fondas ir panaikinamas Reglamentas </w:t>
                </w:r>
                <w:hyperlink r:id="rId37" w:tgtFrame="_blank" w:history="1">
                  <w:r>
                    <w:rPr>
                      <w:rStyle w:val="Hipersaitas"/>
                      <w:rFonts w:eastAsia="Calibri"/>
                      <w:szCs w:val="24"/>
                    </w:rPr>
                    <w:t>(ES) 2018/1092</w:t>
                  </w:r>
                </w:hyperlink>
                <w:r>
                  <w:rPr>
                    <w:rFonts w:eastAsia="Calibri"/>
                    <w:szCs w:val="24"/>
                  </w:rPr>
                  <w:t xml:space="preserve">, su visais pakeitimais arba Europos Komisijos patvirtintą atleidimą nuo prievolės, suteiktą pagal 2021 m. balandžio 28 d. Europos Parlamento ir Tarybos reglamento </w:t>
                </w:r>
                <w:hyperlink r:id="rId38" w:tgtFrame="_blank" w:history="1">
                  <w:r>
                    <w:rPr>
                      <w:rStyle w:val="Hipersaitas"/>
                      <w:rFonts w:eastAsia="Calibri"/>
                      <w:szCs w:val="24"/>
                    </w:rPr>
                    <w:t>(ES) 2021/696</w:t>
                  </w:r>
                </w:hyperlink>
                <w:r>
                  <w:rPr>
                    <w:rFonts w:eastAsia="Calibri"/>
                    <w:szCs w:val="24"/>
                  </w:rPr>
                  <w:t xml:space="preserve">, kuriuo sudaroma Sąjungos kosmoso programa, įsteigiama Europos Sąjungos kosmoso programos agentūra ir panaikinami reglamentai </w:t>
                </w:r>
                <w:hyperlink r:id="rId39" w:tgtFrame="_blank" w:history="1">
                  <w:r>
                    <w:rPr>
                      <w:rStyle w:val="Hipersaitas"/>
                      <w:rFonts w:eastAsia="Calibri"/>
                      <w:szCs w:val="24"/>
                    </w:rPr>
                    <w:t>(ES) Nr. 912/2010</w:t>
                  </w:r>
                </w:hyperlink>
                <w:r>
                  <w:rPr>
                    <w:rFonts w:eastAsia="Calibri"/>
                    <w:szCs w:val="24"/>
                  </w:rPr>
                  <w:t xml:space="preserve">, </w:t>
                </w:r>
                <w:hyperlink r:id="rId40" w:tgtFrame="_blank" w:history="1">
                  <w:r>
                    <w:rPr>
                      <w:rStyle w:val="Hipersaitas"/>
                      <w:rFonts w:eastAsia="Calibri"/>
                      <w:szCs w:val="24"/>
                    </w:rPr>
                    <w:t>(ES) Nr. 1285/2013</w:t>
                  </w:r>
                </w:hyperlink>
                <w:r>
                  <w:rPr>
                    <w:rFonts w:eastAsia="Calibri"/>
                    <w:szCs w:val="24"/>
                  </w:rPr>
                  <w:t xml:space="preserve"> bei </w:t>
                </w:r>
                <w:hyperlink r:id="rId41" w:tgtFrame="_blank" w:history="1">
                  <w:r>
                    <w:rPr>
                      <w:rStyle w:val="Hipersaitas"/>
                      <w:rFonts w:eastAsia="Calibri"/>
                      <w:szCs w:val="24"/>
                    </w:rPr>
                    <w:t>(ES) Nr. 377/2014</w:t>
                  </w:r>
                </w:hyperlink>
                <w:r>
                  <w:rPr>
                    <w:rFonts w:eastAsia="Calibri"/>
                    <w:szCs w:val="24"/>
                  </w:rPr>
                  <w:t xml:space="preserve"> ir Sprendimas </w:t>
                </w:r>
                <w:hyperlink r:id="rId42" w:tgtFrame="_blank" w:history="1">
                  <w:r>
                    <w:rPr>
                      <w:rStyle w:val="Hipersaitas"/>
                      <w:rFonts w:eastAsia="Calibri"/>
                      <w:szCs w:val="24"/>
                    </w:rPr>
                    <w:t>Nr. 541/2014/ES</w:t>
                  </w:r>
                </w:hyperlink>
                <w:r>
                  <w:rPr>
                    <w:rFonts w:eastAsia="Calibri"/>
                    <w:szCs w:val="24"/>
                  </w:rPr>
                  <w:t xml:space="preserve"> (šis Schemos papunktis netaikomas, kai Projektai finansuojami INVEGOS fondo lėšomis).</w:t>
                </w:r>
              </w:p>
              <w:p>
                <w:pPr>
                  <w:jc w:val="both"/>
                  <w:rPr>
                    <w:rFonts w:eastAsia="Calibri"/>
                    <w:szCs w:val="24"/>
                  </w:rPr>
                </w:pPr>
                <w:r>
                  <w:rPr>
                    <w:rFonts w:eastAsia="Calibri"/>
                    <w:szCs w:val="24"/>
                  </w:rPr>
                  <w:t xml:space="preserve">7.2.20. Tuo atveju, kai teikiama sindikuota paskola, Paskolos gavėjas neturi finansinių įsipareigojimų finansų įstaigai ir (ar) </w:t>
                </w:r>
                <w:r>
                  <w:rPr>
                    <w:color w:val="000000"/>
                    <w:szCs w:val="24"/>
                  </w:rPr>
                  <w:t xml:space="preserve">tarptautinei finansų institucijai (toliau – TFI), </w:t>
                </w:r>
                <w:r>
                  <w:rPr>
                    <w:rFonts w:eastAsia="Calibri"/>
                    <w:szCs w:val="24"/>
                  </w:rPr>
                  <w:t xml:space="preserve">kuri bus kreditorė pagal sindikuotos paskolos sutartį. </w:t>
                </w:r>
              </w:p>
              <w:p>
                <w:pPr>
                  <w:jc w:val="both"/>
                  <w:rPr>
                    <w:rFonts w:eastAsia="Calibri"/>
                    <w:szCs w:val="24"/>
                  </w:rPr>
                </w:pPr>
                <w:r>
                  <w:rPr>
                    <w:rFonts w:eastAsia="Calibri"/>
                    <w:szCs w:val="24"/>
                  </w:rPr>
                  <w:t>7.2.21. Paskolos gavėjas, siekiantis gauti Paskolą apyvartinėms lėšoms, privalo atitikti bent vieną iš šių kriterijų:</w:t>
                </w:r>
              </w:p>
              <w:p>
                <w:pPr>
                  <w:jc w:val="both"/>
                  <w:rPr>
                    <w:rFonts w:eastAsia="Calibri"/>
                    <w:szCs w:val="24"/>
                  </w:rPr>
                </w:pPr>
                <w:r>
                  <w:rPr>
                    <w:rFonts w:eastAsia="Calibri"/>
                    <w:szCs w:val="24"/>
                  </w:rPr>
                  <w:t>7.2.21.1. turi Policijos departamento prie Lietuvos Respublikos vidaus reikalų ministerijos Viešosios tvarkos biuro Licencijavimo valdybos licenciją gaminti ginklus ar licenciją gaminti ginklų dalis, ar licenciją gaminti šaudmenis ir (ar) jų dalis, ar licenciją gaminti A kategorijos ginklų priedėlius (toliau –  VRM licencija) arba yra užpildęs paraišką ir pateikęs dokumentus VRM licencijai gauti ir privalo ją pateikti ILTE ne vėliau kaip per 12 mėnesių po Paskolos išmokėjimo (esant objektyvioms aplinkybėms, VRM licencijos pateikimo terminas gali būti pratęstas);</w:t>
                </w:r>
              </w:p>
              <w:p>
                <w:pPr>
                  <w:jc w:val="both"/>
                  <w:rPr>
                    <w:rFonts w:eastAsia="Calibri"/>
                    <w:szCs w:val="24"/>
                  </w:rPr>
                </w:pPr>
                <w:r>
                  <w:rPr>
                    <w:rFonts w:eastAsia="Calibri"/>
                    <w:szCs w:val="24"/>
                  </w:rPr>
                  <w:t>7.2.21.2. turi Ekonomikos ir inovacijų ministerijos išduotą individualiąją eksporto licenciją ar individualiąją eksporto licenciją laikinai išvežti ar visuotinę eksporto licenciją karinei įrangai (toliau – EIM licencija) arba neturi EIM licencijos, bet privalo ją pateikti ILTE ne vėliau kaip per 12 mėnesių po Paskolos išmokėjimo (esant objektyvioms aplinkybėms, EIM licencijos pateikimo terminas gali būti pratęstas);</w:t>
                </w:r>
              </w:p>
              <w:p>
                <w:pPr>
                  <w:jc w:val="both"/>
                  <w:rPr>
                    <w:rFonts w:eastAsia="Calibri"/>
                    <w:szCs w:val="24"/>
                  </w:rPr>
                </w:pPr>
                <w:r>
                  <w:rPr>
                    <w:rFonts w:eastAsia="Calibri"/>
                    <w:szCs w:val="24"/>
                  </w:rPr>
                  <w:t xml:space="preserve">7.2.21.3. Paskolos gavėjo veikla, kuriai prašoma finansavimo, yra susijusi su gaminiais, produktais ar paslaugomis, kurie patenka į Bendrąjį karinės įrangos sąrašą, patvirtintą Lietuvos Respublikos krašto apsaugos ministro 2009 m. gruodžio 29 d. įsakymu </w:t>
                  <w:br/>
                  <w:t>Nr. V-1216 „Dėl Bendrojo karinės įrangos sąrašo patvirtinimo“.</w:t>
                </w:r>
              </w:p>
              <w:p>
                <w:pPr>
                  <w:jc w:val="both"/>
                  <w:rPr>
                    <w:color w:val="000000"/>
                    <w:lang w:eastAsia="lt-LT"/>
                  </w:rPr>
                </w:pPr>
                <w:r>
                  <w:rPr>
                    <w:color w:val="000000"/>
                    <w:szCs w:val="24"/>
                    <w:lang w:val="en-US" w:eastAsia="lt-LT"/>
                  </w:rPr>
                  <w:t xml:space="preserve">7.3. </w:t>
                </w:r>
                <w:r>
                  <w:rPr>
                    <w:color w:val="000000"/>
                    <w:szCs w:val="24"/>
                    <w:lang w:eastAsia="lt-LT"/>
                  </w:rPr>
                  <w:t>Paskolos gavėjo atitiktis reikalavimams, nurodytiems Schemos 7.2.1–7.2.21 papunkčiuose, vertinama pagal viešai prieinamų registrų duomenis, valstybės ir savivaldybių institucijų bei įstaigų pateiktus duomenis, viešai skelbiamą informaciją (pvz., Valstybinės mokesčių inspekcijos prie Lietuvos Respublikos finansų ministerijos) ir Paskolos gavėjo pateiktą informaciją. Jeigu Paskolos gavėjo pateikta informacija neatitinka viešai prieinamų registrų ar valstybės ir savivaldybių institucijų bei įstaigų pateiktų duomenų, vadovaujamasi viešai prieinamų registrų, valstybės ir savivaldybių institucijų bei įstaigų pateiktais duomenimis. Tais atvejais, kai Paskolos gavėjas nėra įsteigtas Lietuvos Respublikoje, Paskolos gavėjo prašoma pateikti atitinkamus valstybės, kurioje jis yra įsteigtas, dokumentus.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val="en-US" w:eastAsia="lt-LT"/>
                  </w:rPr>
                </w:pPr>
                <w:r>
                  <w:rPr>
                    <w:color w:val="000000"/>
                    <w:szCs w:val="24"/>
                    <w:lang w:eastAsia="lt-LT"/>
                  </w:rPr>
                  <w:t>7</w:t>
                </w:r>
                <w:r>
                  <w:rPr>
                    <w:color w:val="000000"/>
                    <w:szCs w:val="24"/>
                    <w:vertAlign w:val="superscript"/>
                    <w:lang w:eastAsia="lt-LT"/>
                  </w:rPr>
                  <w:t>1</w:t>
                </w:r>
                <w:r>
                  <w:rPr>
                    <w:color w:val="000000"/>
                    <w:szCs w:val="24"/>
                    <w:lang w:eastAsia="lt-LT"/>
                  </w:rPr>
                  <w:t>.</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Tinkamos finansuoti išlaidos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jc w:val="both"/>
                  <w:rPr>
                    <w:rFonts w:eastAsia="Calibri"/>
                  </w:rPr>
                </w:pPr>
                <w:r>
                  <w:rPr>
                    <w:rFonts w:eastAsia="Calibri"/>
                  </w:rPr>
                  <w:t>7</w:t>
                </w:r>
                <w:r>
                  <w:rPr>
                    <w:rFonts w:eastAsia="Calibri"/>
                    <w:vertAlign w:val="superscript"/>
                  </w:rPr>
                  <w:t>1</w:t>
                </w:r>
                <w:r>
                  <w:rPr>
                    <w:rFonts w:eastAsia="Calibri"/>
                  </w:rPr>
                  <w:t>.1. Tinkamos visos įgyvendinant Projektą Paskolos gavėjo su Projekto įgyvendinimu susijusios ir patirtos išlaidos (įskaitant Projekto įgyvendinimo laikotarpiu patiriamas Projekto finansavimo (palūkanų, įsipareigojimo ir Paskolos sutarties mokesčių), draudimo, finansų patarėjų išlaidas ir išlaidas Projekto rezervams formuoti), išskyrus išlaidas, nurodytas Schemos 8 punkte.</w:t>
                </w:r>
              </w:p>
              <w:p>
                <w:pPr>
                  <w:jc w:val="both"/>
                  <w:rPr>
                    <w:rFonts w:eastAsia="Calibri"/>
                  </w:rPr>
                </w:pPr>
                <w:r>
                  <w:rPr>
                    <w:rFonts w:eastAsia="Calibri"/>
                  </w:rPr>
                  <w:t>7</w:t>
                </w:r>
                <w:r>
                  <w:rPr>
                    <w:rFonts w:eastAsia="Calibri"/>
                    <w:vertAlign w:val="superscript"/>
                  </w:rPr>
                  <w:t>1</w:t>
                </w:r>
                <w:r>
                  <w:rPr>
                    <w:rFonts w:eastAsia="Calibri"/>
                  </w:rPr>
                  <w:t>.2. Paskolos lėšos gali būti naudojamos nuosavam kapitalui didinti Paskolos gavėjo susijusių ir (ar) partnerinių įmonių, kurios įgyvendins Projektą ir nukreips šias lėšas gynybos ir saugumo projektams įgyvendinti (šis Schemos papunktis taikomas, kai Projektai finansuojami INVEGOS fondo lėšomis).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8.</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Netinkamos finansuoti išlaidos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suppressAutoHyphens/>
                  <w:jc w:val="both"/>
                  <w:textAlignment w:val="center"/>
                  <w:rPr>
                    <w:color w:val="000000"/>
                  </w:rPr>
                </w:pPr>
                <w:r>
                  <w:rPr>
                    <w:color w:val="000000"/>
                  </w:rPr>
                  <w:t xml:space="preserve">8.1. Paskolos lėšos negali būti naudojamos: </w:t>
                </w:r>
              </w:p>
              <w:p>
                <w:pPr>
                  <w:suppressAutoHyphens/>
                  <w:jc w:val="both"/>
                  <w:textAlignment w:val="center"/>
                  <w:rPr>
                    <w:color w:val="000000"/>
                  </w:rPr>
                </w:pPr>
                <w:r>
                  <w:rPr>
                    <w:color w:val="000000"/>
                  </w:rPr>
                  <w:t>8.1.1. Paskolos gavėjo išlaidoms, kurios nėra skirtos Projektui įgyvendinti;</w:t>
                </w:r>
              </w:p>
              <w:p>
                <w:pPr>
                  <w:suppressAutoHyphens/>
                  <w:jc w:val="both"/>
                  <w:textAlignment w:val="center"/>
                  <w:rPr>
                    <w:color w:val="000000"/>
                  </w:rPr>
                </w:pPr>
                <w:r>
                  <w:rPr>
                    <w:color w:val="000000"/>
                  </w:rPr>
                  <w:t>8.1.2. paskoloms suteikti (išskyrus paskolas, Paskolos gavėjo suteikiamas su juo susijusiai įmonei, kuri įgyvendina Projektą, kaip tai nurodyta Paskolos sutartyje, ir atitinka visus Schemos 7.2 papunktyje nurodytus reikalavimus (išskyrus Schemos 7.2.11, 7.2.13, 7.2.14 papunkčių reikalavimus) bei įsipareigoja užtikrinti, kad įgyvendinant Projektą nebus patiriama netinkamų finansuoti išlaidų, kurios nurodytos Schemos 8.1 papunktyje), dividendams, tantjemoms išsimokėti, Paskolos gavėjo dalyvių ir (ar) fizinių bei juridinių asmenų paskoloms grąžinti ar suteikti, Paskolos gavėjų įstatiniam kapitalui mažinti, savoms akcijoms supirkti ar kitokiems mokėjimams iš kapitalo Paskolos gavėjo dalyviams ir (ar) fiziniams bei juridiniams asmenims atlikti, išskyrus atvejį, kai Paskolos lėšomis bus padengiamas su Projekto įgyvendinimu susijęs Tarpinis finansavimas;</w:t>
                </w:r>
              </w:p>
              <w:p>
                <w:pPr>
                  <w:suppressAutoHyphens/>
                  <w:jc w:val="both"/>
                  <w:textAlignment w:val="center"/>
                  <w:rPr>
                    <w:color w:val="000000"/>
                  </w:rPr>
                </w:pPr>
                <w:r>
                  <w:rPr>
                    <w:color w:val="000000"/>
                  </w:rPr>
                  <w:t>8.1.3. Paskolos gavėjo turimiems finansiniams įsipareigojimams finansų įstaigoms vykdyti ir (ar) Paskolos gavėjo turimiems finansiniams įsipareigojimams perfinansuoti, išskyrus atvejį, kai Paskolos lėšomis bus padengiamas su Projekto įgyvendinimu susijęs Tarpinis finansavimas;</w:t>
                </w:r>
              </w:p>
              <w:p>
                <w:pPr>
                  <w:suppressAutoHyphens/>
                  <w:jc w:val="both"/>
                  <w:textAlignment w:val="center"/>
                  <w:rPr>
                    <w:color w:val="000000"/>
                  </w:rPr>
                </w:pPr>
                <w:r>
                  <w:rPr>
                    <w:color w:val="000000"/>
                  </w:rPr>
                  <w:t xml:space="preserve">8.1.4. kai perfinansuojamos anksčiau nei prieš </w:t>
                </w:r>
                <w:r>
                  <w:rPr>
                    <w:color w:val="000000"/>
                    <w:lang w:val="en-US"/>
                  </w:rPr>
                  <w:t xml:space="preserve">12 </w:t>
                </w:r>
                <w:r>
                  <w:rPr>
                    <w:color w:val="000000"/>
                  </w:rPr>
                  <w:t>mėnesių iki paraiškos gauti Paskolą gavimo dienos Paskolos gavėjo lėšomis apmokėtos išlaidos, skirtos Projektui įgyvendinti;</w:t>
                </w:r>
              </w:p>
              <w:p>
                <w:pPr>
                  <w:suppressAutoHyphens/>
                  <w:jc w:val="both"/>
                  <w:textAlignment w:val="center"/>
                  <w:rPr>
                    <w:color w:val="000000"/>
                  </w:rPr>
                </w:pPr>
                <w:r>
                  <w:rPr>
                    <w:color w:val="000000"/>
                  </w:rPr>
                  <w:t xml:space="preserve">8.1.5. išlaidoms, kurios buvo finansuotos (apmokėtos) ar finansuojamos iš ES fondų, kitų ES finansinės paramos priemonių ir (ar) kitos tarptautinės paramos ar nacionalinių lėšų, jei, visas lėšas kartu sudėjus su  Paskolos lėšomis, išlaidos būtų finansuotos daugiau nei 100 procentų tinkamų Projekto išlaidų vertės;</w:t>
                </w:r>
              </w:p>
              <w:p>
                <w:pPr>
                  <w:suppressAutoHyphens/>
                  <w:jc w:val="both"/>
                  <w:textAlignment w:val="center"/>
                  <w:rPr>
                    <w:color w:val="000000"/>
                  </w:rPr>
                </w:pPr>
                <w:r>
                  <w:rPr>
                    <w:color w:val="000000"/>
                  </w:rPr>
                  <w:t>8.1.6. paraiškos Paskolai ir verslo plano parengimo išlaidoms padengti;</w:t>
                </w:r>
              </w:p>
              <w:p>
                <w:pPr>
                  <w:suppressAutoHyphens/>
                  <w:jc w:val="both"/>
                  <w:textAlignment w:val="center"/>
                  <w:rPr>
                    <w:color w:val="000000"/>
                  </w:rPr>
                </w:pPr>
                <w:r>
                  <w:rPr>
                    <w:color w:val="000000"/>
                  </w:rPr>
                  <w:t xml:space="preserve">8.1.7. atsiskaityti su Rusijoje, Baltarusijos Respublikoje, Rusijos  aneksuotame Kryme, Ukrainos Vyriausybės nekontroliuojamų Donecko, Luhansko, Chersono ir Zaporižios sričių teritorijose, Moldovos Respublikos Vyriausybės nekontroliuojamoje Padniestrės teritorijoje bei Sakartvelo Vyriausybės nekontroliuojamose Abchazijos ir Pietų Osetijos teritorijose gyvenančiais fiziniais ir (arba) registruotais juridiniais asmenimis;</w:t>
                </w:r>
              </w:p>
              <w:p>
                <w:pPr>
                  <w:suppressAutoHyphens/>
                  <w:jc w:val="both"/>
                  <w:textAlignment w:val="center"/>
                  <w:rPr>
                    <w:color w:val="000000"/>
                  </w:rPr>
                </w:pPr>
                <w:r>
                  <w:rPr>
                    <w:color w:val="000000"/>
                  </w:rPr>
                  <w:t xml:space="preserve">8.1.8. nekilnojamajam turtui pirkti ir (ar) statyti, ir (ar) renovuoti, siekiant jį parduoti ar kitu būdu perleisti kitiems asmenims, įskaitant turto nuomą ir panaudą, o ne naudoti savo veikloje, taip pat investicijoms į gyvenamosios paskirties nekilnojamąjį turtą. Nekilnojamojo turto naudojimu savo veikloje laikoma tai, kad ne mažiau kaip 60 procentų įsigyjamo ir (ar) statomo, ir (ar) renovuojamo turto ketinama panaudoti Paskolos gavėjo ir (ar) su juo susijusių įmonių ekonominei veiklai vykdyti </w:t>
                </w:r>
                <w:r>
                  <w:rPr>
                    <w:lang w:eastAsia="lt-LT"/>
                  </w:rPr>
                  <w:t>(šis Schemos papunktis netaikomas finansuojant VPSP būdu įgyvendinamus gynybos ir saugumo sektoriaus projektus);</w:t>
                </w:r>
              </w:p>
              <w:p>
                <w:pPr>
                  <w:suppressAutoHyphens/>
                  <w:jc w:val="both"/>
                  <w:textAlignment w:val="center"/>
                  <w:rPr>
                    <w:color w:val="000000"/>
                  </w:rPr>
                </w:pPr>
                <w:r>
                  <w:rPr>
                    <w:color w:val="000000"/>
                  </w:rPr>
                  <w:t>8.1.9. šioms veikloms finansuoti: spiritinių alkoholinių gėrimų didmeninės prekybos (veiklos kodas pagal Valstybės duomenų agentūros generalinio direktoriaus įsakymu tvirtinamo Ekonominės veiklos rūšių klasifikatoriaus (EVRK 2.1 red.) (toliau – EVRK 2.1 red.) 46.34.20 poklasį), ginklų ir šaudmenų specializuotos mažmeninės prekybos (veiklos kodas pagal EVRK 2.1 red. 47.63.10 poklasį), tabako gaminių gamybos ir (ar) jų didmeninės prekybos (visi veiklos kodai pagal EVRK 2.1 red. 12 skyrių ir 46.35.00 poklasį), azartinių lošimų ir lažybų organizavimo (visi veiklos kodai pagal EVRK 2.1 red. 92 skyrių);</w:t>
                </w:r>
              </w:p>
              <w:p>
                <w:pPr>
                  <w:suppressAutoHyphens/>
                  <w:jc w:val="both"/>
                  <w:textAlignment w:val="center"/>
                  <w:rPr>
                    <w:color w:val="000000"/>
                  </w:rPr>
                </w:pPr>
                <w:r>
                  <w:rPr>
                    <w:color w:val="000000"/>
                  </w:rPr>
                  <w:t>8.1.10. pridėtinės vertės mokesčiui (toliau – PVM) sumokėti;</w:t>
                </w:r>
              </w:p>
              <w:p>
                <w:pPr>
                  <w:suppressAutoHyphens/>
                  <w:jc w:val="both"/>
                  <w:textAlignment w:val="center"/>
                  <w:rPr>
                    <w:color w:val="000000"/>
                  </w:rPr>
                </w:pPr>
                <w:r>
                  <w:rPr>
                    <w:color w:val="000000"/>
                  </w:rPr>
                  <w:t>8.1.11. veiklai ir turtui, susijusiems su iškastiniu kuru, įskaitant jų naudojimą vartotojų rinkoje, veiklai ir turtui, kuriems taikoma Europos Sąjungos apyvartinių taršos leidimų prekybos sistema (ES ATLPS) ir su kuriais susijęs prognozuojamas išmetamas šiltnamio efektą sukeliančių dujų kiekis nėra mažesnis už atitinkamus santykinius taršos rodiklius, veiklai ir turtui, susijusiems su atliekų sąvartynais, deginimo įrenginiais ir mechaninio biologinio apdorojimo įrenginiais (šiame Schemos papunktyje nurodytų veiklų detalizavimas pateikiamas Priemonės aprašyme, tvirtinamame ILTE generalinio direktoriaus ar jo įgalioto asmens įsakymu (toliau – Priemonės aprašymas) (šis Schemos papunktis netaikomas, kai Projektai finansuojami INVEGOS fondo lėšomis).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val="en-US" w:eastAsia="lt-LT"/>
                  </w:rPr>
                  <w:t>9</w:t>
                </w:r>
                <w:r>
                  <w:rPr>
                    <w:color w:val="000000"/>
                    <w:szCs w:val="24"/>
                    <w:lang w:eastAsia="lt-LT"/>
                  </w:rPr>
                  <w:t>.</w:t>
                </w:r>
              </w:p>
              <w:p>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color w:val="000000"/>
                    <w:szCs w:val="24"/>
                    <w:lang w:eastAsia="lt-LT"/>
                  </w:rPr>
                </w:pPr>
                <w:r>
                  <w:rPr>
                    <w:color w:val="000000"/>
                    <w:szCs w:val="24"/>
                    <w:lang w:eastAsia="lt-LT"/>
                  </w:rPr>
                  <w:t>Paskolų teikimo sąlygos</w:t>
                </w:r>
              </w:p>
              <w:p>
                <w:pPr>
                  <w:suppressAutoHyphens/>
                  <w:jc w:val="both"/>
                  <w:textAlignment w:val="center"/>
                  <w:rPr>
                    <w:color w:val="000000"/>
                    <w:szCs w:val="24"/>
                    <w:lang w:eastAsia="lt-LT"/>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rPr>
                </w:pPr>
                <w:r>
                  <w:rPr>
                    <w:color w:val="000000"/>
                  </w:rPr>
                  <w:t>9.1. Paskola suteikiama Paskolos gavėjo Projektui finansuoti, sudarant Paskolos sutartį tarp Paskolos davėjo ir Paskolos gavėjo (toliau – Paskolos sutartis).</w:t>
                </w:r>
              </w:p>
              <w:p>
                <w:pPr>
                  <w:suppressAutoHyphens/>
                  <w:jc w:val="both"/>
                  <w:textAlignment w:val="center"/>
                  <w:rPr>
                    <w:color w:val="000000"/>
                  </w:rPr>
                </w:pPr>
                <w:r>
                  <w:rPr>
                    <w:color w:val="000000"/>
                  </w:rPr>
                  <w:t>9.2. Paskolos davėjas gali suteikti:</w:t>
                </w:r>
              </w:p>
              <w:p>
                <w:pPr>
                  <w:suppressAutoHyphens/>
                  <w:jc w:val="both"/>
                  <w:textAlignment w:val="center"/>
                  <w:rPr>
                    <w:color w:val="000000"/>
                  </w:rPr>
                </w:pPr>
                <w:r>
                  <w:rPr>
                    <w:color w:val="000000"/>
                  </w:rPr>
                  <w:t>9.2.1. subordinuotą, sindikuotą arba tiesioginę Paskolos davėjo investicinę paskolą. Paskolos gavėjo investicijoms skirta paskola – tai tokia Paskola, kai Paskolos dalis, skirta investicijoms finansuoti, sudaro ne mažiau kaip 51 procentą visos Paskolos sumos, o likusi Paskolos dalis gali būti skirta apyvartinio kapitalo trūkumui papildyti. Prioritetas teikiamas bendram Projekto finansavimui su kitomis finansų įstaigomis ir (ar) TFI;</w:t>
                </w:r>
              </w:p>
              <w:p>
                <w:pPr>
                  <w:suppressAutoHyphens/>
                  <w:jc w:val="both"/>
                  <w:textAlignment w:val="center"/>
                  <w:rPr>
                    <w:color w:val="000000"/>
                  </w:rPr>
                </w:pPr>
                <w:r>
                  <w:rPr>
                    <w:color w:val="000000"/>
                  </w:rPr>
                  <w:t>9.2.2. subordinuotą, sindikuotą arba tiesioginę Paskolos davėjo apyvartinę paskolą gynybos ir saugumo sektoriuose veiklą vykdantiems Paskolos gavėjams.</w:t>
                </w:r>
              </w:p>
              <w:p>
                <w:pPr>
                  <w:suppressAutoHyphens/>
                  <w:jc w:val="both"/>
                  <w:textAlignment w:val="center"/>
                  <w:rPr>
                    <w:color w:val="000000"/>
                  </w:rPr>
                </w:pPr>
                <w:r>
                  <w:rPr>
                    <w:color w:val="000000"/>
                  </w:rPr>
                  <w:t xml:space="preserve">9.3. Kai teikiama Paskolos davėjo investicinė Paskola, Paskolos sutarties terminas negali būti ilgesnis kaip </w:t>
                </w:r>
                <w:r>
                  <w:rPr>
                    <w:color w:val="000000"/>
                    <w:lang w:val="en-US"/>
                  </w:rPr>
                  <w:t>180</w:t>
                </w:r>
                <w:r>
                  <w:rPr>
                    <w:color w:val="000000"/>
                  </w:rPr>
                  <w:t xml:space="preserve"> mėnesių ir jis yra nustatomas Paskolos davėjo, atsižvelgiant į Paskolos gavėjo finansinį pajėgumą, kuris vertinamas vadovaujantis Paskolos davėjo vidaus procedūrų tvarkomis. Esant objektyvių priežasčių, šis terminas gali būti pratęstas, bet ne ilgiau kaip iki 240 mėnesių. Kai teikiama Paskolos davėjo apyvartinė Paskola, Paskolos sutarties terminas negali būti ilgesnis kaip 36 mėnesiai. Šis terminas gali būti pratęstas tik esant pagrįstoms aplinkybėms.</w:t>
                </w:r>
              </w:p>
              <w:p>
                <w:pPr>
                  <w:suppressAutoHyphens/>
                  <w:jc w:val="both"/>
                  <w:textAlignment w:val="center"/>
                  <w:rPr>
                    <w:color w:val="000000"/>
                  </w:rPr>
                </w:pPr>
                <w:r>
                  <w:rPr>
                    <w:color w:val="000000"/>
                  </w:rPr>
                  <w:t xml:space="preserve">9.4. Paskolos gavėjas Paskolą ar jos dalį gali grąžinti anksčiau negu Paskolos sutartyje nurodytas Paskolos grąžinimo terminas be jokių papildomų mokesčių. </w:t>
                </w:r>
              </w:p>
              <w:p>
                <w:pPr>
                  <w:jc w:val="both"/>
                  <w:rPr>
                    <w:color w:val="000000"/>
                    <w:szCs w:val="24"/>
                  </w:rPr>
                </w:pPr>
                <w:r>
                  <w:rPr>
                    <w:color w:val="000000"/>
                    <w:szCs w:val="24"/>
                  </w:rPr>
                  <w:t>9.5. Taikomos palūkanų normos:</w:t>
                </w:r>
              </w:p>
              <w:p>
                <w:pPr>
                  <w:jc w:val="both"/>
                  <w:rPr>
                    <w:color w:val="000000"/>
                  </w:rPr>
                </w:pPr>
                <w:r>
                  <w:rPr>
                    <w:color w:val="000000"/>
                  </w:rPr>
                  <w:t>9.5.1. sindikuotai paskolai taikoma palūkanų norma ir visos kitos paskolos teikimo sąlygos atitinka finansų įstaigos ir (ar) tarptautinės finansų institucijos TFI Projekto finansavimui suteikiamos paskolos taikomą palūkanų normą ir paskolos sąlygas, kurios negali prieštarauti šios Schemos nuostatoms;</w:t>
                </w:r>
              </w:p>
              <w:p>
                <w:pPr>
                  <w:jc w:val="both"/>
                  <w:rPr>
                    <w:color w:val="000000"/>
                  </w:rPr>
                </w:pPr>
                <w:r>
                  <w:rPr>
                    <w:color w:val="000000"/>
                  </w:rPr>
                  <w:t>9.5.2. tiesioginei ILTE ir subordinuotai paskolai taikoma rinkos sąlygas atitinkanti kintamoji metinė palūkanų norma, kurią sudaro:</w:t>
                </w:r>
              </w:p>
              <w:p>
                <w:pPr>
                  <w:jc w:val="both"/>
                  <w:rPr>
                    <w:color w:val="000000"/>
                  </w:rPr>
                </w:pPr>
                <w:r>
                  <w:rPr>
                    <w:color w:val="000000"/>
                  </w:rPr>
                  <w:t xml:space="preserve">9.5.2.1. palūkanų marža, kuri priklauso nuo Paskolos gavėjo kredito rizikos reitingo, Paskolos užtikrinimo priemonių dydžio ir likvidumo, Paskolos grąžinimo termino bei Paskolos grąžinimo grafiko, ir </w:t>
                </w:r>
              </w:p>
              <w:p>
                <w:pPr>
                  <w:jc w:val="both"/>
                  <w:rPr>
                    <w:color w:val="000000"/>
                  </w:rPr>
                </w:pPr>
                <w:r>
                  <w:rPr>
                    <w:color w:val="000000"/>
                  </w:rPr>
                  <w:t>9.5.2.2. kintamoji palūkanų normos dalis – 3 arba 6 mėnesių EURIBOR (kai EURIBOR neigiamas, jis prilyginamas nuliui) Paskolos gavėjo pasirinkimu.</w:t>
                </w:r>
              </w:p>
              <w:p>
                <w:pPr>
                  <w:suppressAutoHyphens/>
                  <w:jc w:val="both"/>
                  <w:textAlignment w:val="center"/>
                  <w:rPr>
                    <w:color w:val="000000"/>
                    <w:szCs w:val="24"/>
                  </w:rPr>
                </w:pPr>
                <w:r>
                  <w:rPr>
                    <w:color w:val="000000"/>
                    <w:szCs w:val="24"/>
                    <w:lang w:val="en-US"/>
                  </w:rPr>
                  <w:t xml:space="preserve">9.6. </w:t>
                </w:r>
                <w:r>
                  <w:rPr>
                    <w:color w:val="000000"/>
                    <w:szCs w:val="24"/>
                  </w:rPr>
                  <w:t>ILTE tiesioginei paskolai taikoma kintamoji metinė palūkanų norma Paskolos suteikimo metu negali būti mažesnė kaip orientacinė palūkanų norma, apskaičiuota vadovaujantis 2008 m. sausio 19 d. Europos Komisijos komunikatu dėl orientacinių ir diskonto normų nustatymo metodo pakeitimo (2008/C 14/02).</w:t>
                </w:r>
              </w:p>
              <w:p>
                <w:pPr>
                  <w:suppressAutoHyphens/>
                  <w:jc w:val="both"/>
                  <w:textAlignment w:val="center"/>
                  <w:rPr>
                    <w:color w:val="000000"/>
                  </w:rPr>
                </w:pPr>
                <w:r>
                  <w:rPr>
                    <w:color w:val="000000"/>
                  </w:rPr>
                  <w:t>9.7. Subordinuotai paskolai taikoma kintamoji metinė palūkanų norma Paskolos suteikimo metu turi būti ne mažiau kaip 100 bazinių punktų didesnė negu finansų įstaigos ar TFI suteiktos paskolos, kurios atžvilgiu subordinuojama Paskola, palūkanų norma.</w:t>
                </w:r>
              </w:p>
              <w:p>
                <w:pPr>
                  <w:suppressAutoHyphens/>
                  <w:jc w:val="both"/>
                  <w:textAlignment w:val="center"/>
                  <w:rPr>
                    <w:color w:val="000000"/>
                  </w:rPr>
                </w:pPr>
                <w:r>
                  <w:rPr>
                    <w:color w:val="000000"/>
                  </w:rPr>
                  <w:t xml:space="preserve">9.8. Paskolos gavėjas Paskolą turi pradėti grąžinti pagal Paskolos davėjo sudarytą Paskolos grąžinimo grafiką. </w:t>
                </w:r>
              </w:p>
              <w:p>
                <w:pPr>
                  <w:suppressAutoHyphens/>
                  <w:jc w:val="both"/>
                  <w:textAlignment w:val="center"/>
                </w:pPr>
                <w:r>
                  <w:t>9.9. Už Paskolą turi būti įkeičiamas Paskolos lėšomis finansuojamas ilgalaikis turtas. Jeigu Paskola yra nevisiškai užtikrinta Paskolos lėšomis finansuojamo turto įkeitimu, mažindamas finansavimo riziką, Paskolos davėjas turi pareikalauti, kad Paskolos gavėjas pateiktų papildomas užtikrinimo priemones. Kai dėl teisinių kliūčių nėra galimybės įkeisti Paskolos lėšomis finansuojamo turto arba Paskolos davėjas įvertina, kad Paskolos lėšomis finansuojamas ir (ar) kitas siūlomas įkeisti papildomas turtas yra netinkamas Paskolos grąžinimo užtikrinimo būdas, siekdamas sumažinti finansavimo riziką iki priimtino rizikingumo lygio, Paskolos davėjas Paskolos grąžinimui užtikrinti turi pareikalauti įkeisti kitą ne mažesnės vertės turtą. Pateiktas įkeisti turtas yra laikomas netinkamu Paskolos grąžinimo užtikrinimo būdu, jeigu tokio turto įkeitimas yra ekonomiškai nepagrįstas dėl mažo turto likvidumo ar vertės, pvz., turtas teisiškai gali būti įkeičiamas, tačiau faktiškai jo realizavimas priverstinio išieškojimo atveju būtų apsunkintas pernelyg mažos paklausos arba būtų galimas tik taikant esminę vertės nuolaidą, arba pajamų dalis, gautina iš turto realizavimo, tikėtina, būtų mažesnė nei įkeisto turto administravimo ir realizavimo išlaidos:</w:t>
                </w:r>
              </w:p>
              <w:p>
                <w:pPr>
                  <w:suppressAutoHyphens/>
                  <w:jc w:val="both"/>
                  <w:textAlignment w:val="center"/>
                </w:pPr>
                <w:r>
                  <w:t>9.9.1. kai Paskolos lėšomis finansuojamas turtas yra netinkamas Paskolos grąžinimo užtikrinimo būdas, o Paskolos gavėjas neturi kito turto, reikalavimas įkeisti turtą gali būti netaikomas, jei įkeistu turtu neužtikrintos Paskolos dalies rizika Paskolos davėjui yra</w:t>
                </w:r>
                <w:r>
                  <w:rPr>
                    <w:b/>
                    <w:bCs/>
                  </w:rPr>
                  <w:t> </w:t>
                </w:r>
                <w:r>
                  <w:t>priimtino rizikingumo lygio, kurio vertinimas atliekamas ILTE vidaus procedūrų nustatyta tvarka, įskaitant, bet neapsiribojant, Kredito rizikos valdymo politika, kurios išrašas viešai skelbiamas ILTE interneto svetainėje https://ilte.lt/data/public/uploads/2026/03/kredito-rizikos-valdymo-politikos-santrauka-viesinimui.pdf;</w:t>
                </w:r>
              </w:p>
              <w:p>
                <w:pPr>
                  <w:suppressAutoHyphens/>
                  <w:jc w:val="both"/>
                  <w:textAlignment w:val="center"/>
                </w:pPr>
                <w:r>
                  <w:t>9.9.2. prievolės įvykdymo užtikrinimas gali būti netaikomas, kai finansuojamas gynybos ir saugumo sektoriaus projektas (taikoma tik Projektams, finansuojamiems iš INVEGOS fondo lėšų, ir tik valstybės ir (ar) savivaldybės įmonėms arba įmonei, kurioje daugiau kaip 50 procentų įmonės akcijų, pajų ar kitokių dalyvavimą įmonės kapitale žyminčių kapitalo dalių arba daugiau kaip 50 procentų įmonės dalyvių balsų tiesiogiai ar netiesiogiai (pagal balsavimo sutartį, balsavimo teisės perleidimo sutartį, įgaliojimą ir pan.) atskirai arba kartu turi valstybė ir (ar) savivaldybė, ir (ar) finansuojant VPSP būdu įgyvendinamus gynybos ir saugumo sektoriaus projektus);</w:t>
                </w:r>
              </w:p>
              <w:p>
                <w:pPr>
                  <w:suppressAutoHyphens/>
                  <w:jc w:val="both"/>
                  <w:textAlignment w:val="center"/>
                </w:pPr>
                <w:r>
                  <w:t>9.9.3. visas išlaidas, susijusias su Paskolos užtikrinimo priemonių įforminimu, apmoka Paskolos gavėjas.</w:t>
                </w:r>
              </w:p>
              <w:p>
                <w:pPr>
                  <w:suppressAutoHyphens/>
                  <w:jc w:val="both"/>
                  <w:textAlignment w:val="center"/>
                  <w:rPr>
                    <w:color w:val="000000"/>
                  </w:rPr>
                </w:pPr>
                <w:r>
                  <w:rPr>
                    <w:color w:val="000000"/>
                  </w:rPr>
                  <w:t>9.1</w:t>
                </w:r>
                <w:r>
                  <w:rPr>
                    <w:color w:val="000000"/>
                    <w:lang w:val="en-US"/>
                  </w:rPr>
                  <w:t>0</w:t>
                </w:r>
                <w:r>
                  <w:rPr>
                    <w:color w:val="000000"/>
                  </w:rPr>
                  <w:t>. Už Paskolos panaudojimą pagal Paskolos sutartyje nurodytą tikslinę Paskolos lėšų naudojimo paskirtį yra atsakingas Paskolos gavėjas.</w:t>
                </w:r>
              </w:p>
              <w:p>
                <w:pPr>
                  <w:suppressAutoHyphens/>
                  <w:jc w:val="both"/>
                  <w:textAlignment w:val="center"/>
                  <w:rPr>
                    <w:color w:val="000000"/>
                  </w:rPr>
                </w:pPr>
                <w:r>
                  <w:t xml:space="preserve">9.11. </w:t>
                </w:r>
                <w:r>
                  <w:rPr>
                    <w:color w:val="000000"/>
                  </w:rPr>
                  <w:t>Jei Paskola Paskolos gavėjui buvo nepagrįstai išmokėta, nes Paskolos gavėjas pateikė neteisingą informaciją ir (ar) dokumentus, ir (ar) nuslėpė informaciją, turinčią reikšmės sprendimo suteikti Paskolą priėmimui, Paskolos gavėjas privalo grąžinti Paskolos davėjui visą nepagrįstai gautą Paskolą su Paskolos sutartyje nustatytomis palūkanomis (Paskolos grąžinimo dieną) ir su palūkanomis, nustatytomis Komisijos pranešime dėl dabartinių valstybės pagalbos susigrąžinimo palūkanų normų ir taikomų orientacinių bei diskonto normų, paskelbtų remiantis 2004 m. balandžio 21 d. Komisijos reglamento (EB) Nr. 794/2004, įgyvendinančio Tarybos reglamentą (ES) Nr. 2015/1589, nustatantį išsamias Sutarties dėl Europos Sąjungos veikimo 108 straipsnio taikymo taisykles, su visais pakeitimais 10 straipsniu (sprendimo dėl Paskolos suteikimo dieną), kurios skaičiuojamos nuo nepagrįstai išmokėtos Paskolos suteikimo Paskolos gavėjui dienos iki jos susigrąžinimo dienos.</w:t>
                </w:r>
              </w:p>
              <w:p>
                <w:pPr>
                  <w:suppressAutoHyphens/>
                  <w:jc w:val="both"/>
                  <w:textAlignment w:val="center"/>
                  <w:rPr>
                    <w:color w:val="000000"/>
                  </w:rPr>
                </w:pPr>
                <w:r>
                  <w:rPr>
                    <w:color w:val="000000"/>
                  </w:rPr>
                  <w:t>9.</w:t>
                </w:r>
                <w:r>
                  <w:rPr>
                    <w:color w:val="000000"/>
                    <w:lang w:val="en-US"/>
                  </w:rPr>
                  <w:t xml:space="preserve">12. </w:t>
                </w:r>
                <w:r>
                  <w:rPr>
                    <w:color w:val="000000"/>
                  </w:rPr>
                  <w:t>Jei Paskolos gavėjui buvo suteikta neteisėta pagalba arba nesuderinama pagalba, Paskolos gavėjas privalo grąžinti suteiktą neteisėtą pagalbą arba nesuderinamą pagalbą, t. y. visą suteiktą ir negrąžintą Paskolą su Paskolos sutartyje nustatytomis palūkanomis (Paskolos grąžinimo dieną) ir su palūkanomis, kaip nustatyta Reglamente (ES) 2015/1589, vadovaudamasis</w:t>
                </w:r>
                <w:r>
                  <w:t xml:space="preserve"> Finansinių priemonių įgyvendinimo taisyklėse,  patvirtintose Lietuvos Respublikos finansų ministro 2022 m. birželio 22 d. įsakymu Nr. 1K-237 „Dėl 2021–2027 metų Europos Sąjungos fondų investicijų programos ir Ekonomikos gaivinimo ir atsparumo didinimo plano „Naujos kartos Lietuva“ įgyvendinimo“, nustatyta tvarka.</w:t>
                </w:r>
                <w:r>
                  <w:rPr>
                    <w:color w:val="000000"/>
                  </w:rPr>
                  <w:t xml:space="preserve"> </w:t>
                </w:r>
              </w:p>
              <w:p>
                <w:pPr>
                  <w:suppressAutoHyphens/>
                  <w:jc w:val="both"/>
                  <w:textAlignment w:val="center"/>
                  <w:rPr>
                    <w:color w:val="000000"/>
                  </w:rPr>
                </w:pPr>
                <w:r>
                  <w:rPr>
                    <w:color w:val="000000"/>
                  </w:rPr>
                  <w:t>9.13. Išsami Priemonės įgyvendinimo tvarka ir procedūros nustatomos Priemonės aprašyme.</w:t>
                </w:r>
              </w:p>
              <w:p>
                <w:pPr>
                  <w:suppressAutoHyphens/>
                  <w:jc w:val="both"/>
                  <w:textAlignment w:val="center"/>
                  <w:rPr>
                    <w:rFonts w:eastAsia="Calibri"/>
                  </w:rPr>
                </w:pPr>
                <w:r>
                  <w:rPr>
                    <w:rFonts w:eastAsia="Calibri"/>
                  </w:rPr>
                  <w:t>9.14. Paskolos davėjas už Paskolos sutartyje nurodytų sąlygų ir (ar) įsipareigojimų nesilaikymą Paskolos gavėjui taikys poveikio priemones, nustatytas Paskolos sutartyje.</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val="en-US" w:eastAsia="lt-LT"/>
                  </w:rPr>
                </w:pPr>
                <w:r>
                  <w:rPr>
                    <w:color w:val="000000"/>
                    <w:lang w:val="en-US" w:eastAsia="lt-LT"/>
                  </w:rPr>
                  <w:t>10.</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color w:val="000000"/>
                    <w:lang w:eastAsia="lt-LT"/>
                  </w:rPr>
                </w:pPr>
                <w:r>
                  <w:rPr>
                    <w:color w:val="000000"/>
                    <w:lang w:eastAsia="lt-LT"/>
                  </w:rPr>
                  <w:t>Privataus finansuotojo dalyvavimas Projekte</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rPr>
                </w:pPr>
                <w:r>
                  <w:rPr>
                    <w:color w:val="000000"/>
                  </w:rPr>
                  <w:t xml:space="preserve">10.1. Teikiant subordinuotą paskolą, Paskola ir finansų įstaigos ir (ar) TFI suteikta paskola, kurios atžvilgiu subordinuojama Paskola, turi sudaryti ne daugiau kaip 80 procentų Projekto išlaidų (suma skaičiuojama be PVM, išskyrus tuos atvejus, kai Paskolos gavėjas yra ne PVM mokėtojas). </w:t>
                </w:r>
              </w:p>
              <w:p>
                <w:pPr>
                  <w:suppressAutoHyphens/>
                  <w:jc w:val="both"/>
                  <w:textAlignment w:val="center"/>
                  <w:rPr>
                    <w:color w:val="000000"/>
                  </w:rPr>
                </w:pPr>
                <w:r>
                  <w:rPr>
                    <w:color w:val="000000"/>
                  </w:rPr>
                  <w:t>10.2. Teikiant sindikuotą paskolą, Paskola ir finansų įstaigos ir (ar) TFI, kredituojančios Paskolos gavėją kartu su Paskolos davėju, suteikta paskola turi sudaryti ne daugiau kaip 80 procentų Projekto išlaidų (suma skaičiuojama be PVM), išskyrus tuos atvejus, kai Paskolos gavėjas yra ne PVM mokėtojas. Finansų įstaigos ir (ar) TFI, kredituojančios Paskolos gavėją kartu su Paskolos davėju, paskola turi sudaryti ne mažiau kaip 30 procentų Projekto išlaidų (suma skaičiuojama be PVM).</w:t>
                </w:r>
              </w:p>
              <w:p>
                <w:pPr>
                  <w:suppressAutoHyphens/>
                  <w:jc w:val="both"/>
                  <w:textAlignment w:val="center"/>
                  <w:rPr>
                    <w:color w:val="000000"/>
                    <w:szCs w:val="24"/>
                    <w:lang w:eastAsia="ko-KR"/>
                  </w:rPr>
                </w:pPr>
                <w:r>
                  <w:rPr>
                    <w:color w:val="000000"/>
                  </w:rPr>
                  <w:t>10.3. Teikiant tiesioginę paskolą, Paskola turi sudaryti ne daugiau kaip 80 procentų Projekto išlaidų (suma skaičiuojama be PVM).</w:t>
                </w:r>
              </w:p>
              <w:p>
                <w:pPr>
                  <w:suppressAutoHyphens/>
                  <w:jc w:val="both"/>
                  <w:textAlignment w:val="center"/>
                  <w:rPr>
                    <w:color w:val="000000"/>
                  </w:rPr>
                </w:pPr>
                <w:r>
                  <w:rPr>
                    <w:color w:val="000000"/>
                  </w:rPr>
                  <w:t>10.3</w:t>
                </w:r>
                <w:r>
                  <w:rPr>
                    <w:color w:val="000000"/>
                    <w:vertAlign w:val="superscript"/>
                  </w:rPr>
                  <w:t>1</w:t>
                </w:r>
                <w:r>
                  <w:rPr>
                    <w:color w:val="000000"/>
                  </w:rPr>
                  <w:t>. Kai finansuojamas VPSP būdu įgyvendinamas Projektas, Paskola turi sudaryti ne daugiau kaip 90 procentų Projekto išlaidų (suma skaičiuojama be PVM) (šis Schemos papunktis taikomas, kai Projektai finansuojami EGADP paskolos lėšomis).</w:t>
                </w:r>
              </w:p>
              <w:p>
                <w:pPr>
                  <w:suppressAutoHyphens/>
                  <w:jc w:val="both"/>
                  <w:textAlignment w:val="center"/>
                  <w:rPr>
                    <w:color w:val="000000"/>
                  </w:rPr>
                </w:pPr>
                <w:r>
                  <w:rPr>
                    <w:color w:val="000000"/>
                  </w:rPr>
                  <w:t>10.4. Paskolos gavėjo nuosavos lėšos turi sudaryti ne mažiau kaip 10 procentų Projekto išlaidų (suma skaičiuojama be PVM), išskyrus Schemos 10.3¹ papunktyje nustatytus atvejus, kai Paskolos gavėjo nuosavos ir (ar) skolintos lėšos turi sudaryti ne mažiau kaip 10 procentų Projekto išlaidų (suma skaičiuojama be PVM).</w:t>
                </w:r>
              </w:p>
              <w:p>
                <w:pPr>
                  <w:suppressAutoHyphens/>
                  <w:jc w:val="both"/>
                  <w:textAlignment w:val="center"/>
                  <w:rPr>
                    <w:color w:val="000000"/>
                  </w:rPr>
                </w:pPr>
                <w:r>
                  <w:rPr>
                    <w:color w:val="000000"/>
                  </w:rPr>
                  <w:t xml:space="preserve">10.5. Paskolos gavėjo nuosavos ir skolintos lėšos negali būti finansuotos ar finansuojamos iš kitų Lietuvos Respublikos valstybės biudžeto ir (arba) savivaldybių biudžetų, kitų piniginių išteklių, kuriais disponuoja valstybė ir (ar) savivaldybės, ES struktūrinių fondų, kitų ES finansinės paramos priemonių ar kitos tarptautinės paramos lėšų. </w:t>
                </w:r>
              </w:p>
              <w:p>
                <w:pPr>
                  <w:suppressAutoHyphens/>
                  <w:jc w:val="both"/>
                  <w:textAlignment w:val="center"/>
                  <w:rPr>
                    <w:color w:val="000000"/>
                  </w:rPr>
                </w:pPr>
                <w:r>
                  <w:rPr>
                    <w:color w:val="000000"/>
                  </w:rPr>
                  <w:t>10.6. Anksčiau nei 2020 m. vasario 1 d. į Projektą investuotos Paskolos gavėjo nuosavos ir skolintos lėšos nelaikomos nuosavu dalyvavimu Projekte.</w:t>
                </w:r>
              </w:p>
              <w:p>
                <w:pPr>
                  <w:suppressAutoHyphens/>
                  <w:jc w:val="both"/>
                  <w:textAlignment w:val="center"/>
                  <w:rPr>
                    <w:color w:val="000000"/>
                  </w:rPr>
                </w:pPr>
                <w:r>
                  <w:rPr>
                    <w:color w:val="000000"/>
                  </w:rPr>
                  <w:t>10.7.</w:t>
                </w:r>
                <w:r>
                  <w:rPr>
                    <w:color w:val="000000"/>
                    <w:szCs w:val="24"/>
                    <w:lang w:eastAsia="ko-KR"/>
                  </w:rPr>
                  <w:t xml:space="preserve"> </w:t>
                </w:r>
                <w:r>
                  <w:rPr>
                    <w:color w:val="000000"/>
                  </w:rPr>
                  <w:t>Projektas gali būti finansuojamas 100 procentų Projekto išlaidų (suma skaičiuojama be PVM), kai jis atitinka visas šias sąlygas:</w:t>
                </w:r>
              </w:p>
              <w:p>
                <w:pPr>
                  <w:suppressAutoHyphens/>
                  <w:jc w:val="both"/>
                  <w:textAlignment w:val="center"/>
                  <w:rPr>
                    <w:color w:val="000000"/>
                  </w:rPr>
                </w:pPr>
                <w:r>
                  <w:rPr>
                    <w:color w:val="000000"/>
                  </w:rPr>
                  <w:t xml:space="preserve">10.7.1. Projektu finansuojamas gynybos ir saugumo sektoriaus projekto įgyvendinimas; </w:t>
                </w:r>
              </w:p>
              <w:p>
                <w:pPr>
                  <w:suppressAutoHyphens/>
                  <w:jc w:val="both"/>
                  <w:textAlignment w:val="center"/>
                  <w:rPr>
                    <w:color w:val="000000"/>
                  </w:rPr>
                </w:pPr>
                <w:r>
                  <w:rPr>
                    <w:color w:val="000000"/>
                  </w:rPr>
                  <w:t xml:space="preserve">10.7.2. Paskolos gavėjas yra valstybės ir (ar) savivaldybės įmonė arba įmonė, kurioje daugiau kaip 50 procentų įmonės akcijų, pajų ar kitokių dalyvavimą įmonės kapitale žyminčių kapitalo dalių arba daugiau kaip 50 procentų ir daugiau įmonės dalyvių balsų tiesiogiai ar netiesiogiai (pagal balsavimo sutartį, balsavimo teisės perleidimo sutartį, įgaliojimą ir pan.) atskirai arba kartu turi valstybė ir (ar) savivaldybė (šis Schemos papunktis netaikomas finansuojant VPSP būdu įgyvendinamus gynybos ir saugumo sektoriaus projektus); </w:t>
                </w:r>
              </w:p>
              <w:p>
                <w:pPr>
                  <w:suppressAutoHyphens/>
                  <w:jc w:val="both"/>
                  <w:textAlignment w:val="center"/>
                  <w:rPr>
                    <w:color w:val="000000"/>
                  </w:rPr>
                </w:pPr>
                <w:r>
                  <w:rPr>
                    <w:color w:val="000000"/>
                  </w:rPr>
                  <w:t xml:space="preserve">10.7.3. Projektas finansuojamas iš INVEGOS fondo lėšų. </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val="en-US" w:eastAsia="lt-LT"/>
                  </w:rPr>
                </w:pPr>
                <w:r>
                  <w:rPr>
                    <w:color w:val="000000"/>
                    <w:szCs w:val="24"/>
                    <w:lang w:val="en-US" w:eastAsia="lt-LT"/>
                  </w:rPr>
                  <w:t>11.</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Papildomi reikalavimai Projektui</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rPr>
                </w:pPr>
                <w:r>
                  <w:rPr>
                    <w:color w:val="000000"/>
                  </w:rPr>
                  <w:t xml:space="preserve">11.1. Projektams, kurių investicijos atitiks visas Skatinamosios finansinės priemonės „Pokytis“ schemoje, patvirtintoje Lietuvos Respublikos ekonomikos ir inovacijų ministro 2024 m. balandžio </w:t>
                </w:r>
                <w:r>
                  <w:rPr>
                    <w:color w:val="000000"/>
                    <w:lang w:val="en-US"/>
                  </w:rPr>
                  <w:t>18 d.</w:t>
                </w:r>
                <w:r>
                  <w:rPr>
                    <w:color w:val="000000"/>
                  </w:rPr>
                  <w:t xml:space="preserve"> įsakymu Nr. 4-212 „Dėl Skatinamosios finansinės priemonės „Pokytis“ schemos patvirtinimo“, nustatytas sąlygas, prašomos Paskolos iš Priemonės dydis turės būti didesnis nei </w:t>
                  <w:br/>
                  <w:t>10 000 000 (dešimt milijonų) eurų.</w:t>
                </w:r>
              </w:p>
              <w:p>
                <w:pPr>
                  <w:jc w:val="both"/>
                  <w:rPr>
                    <w:szCs w:val="24"/>
                  </w:rPr>
                </w:pPr>
                <w:r>
                  <w:rPr>
                    <w:color w:val="000000"/>
                    <w:lang w:val="en-US"/>
                  </w:rPr>
                  <w:t xml:space="preserve">11.2. </w:t>
                </w:r>
                <w:r>
                  <w:rPr>
                    <w:color w:val="000000"/>
                  </w:rPr>
                  <w:t>Projektas atitinka reikšmingos žalos nedarymo principą, kaip tai apibrėžta 2020 m. birželio 18 d. Europos Parlamento ir Tarybos reglamento (ES) 2020/852 dėl sistemos tvariam investavimui palengvinti sukūrimo, kuriuo iš dalies keičiamas Reglamentas (ES) 2019/2088, 17 straipsnyje, atsižvelgiant į 2021 m. vasario 18 d. Komisijos pranešimu 2021/C 58/01 patvirtintas Reikšmingos žalos nedarymo principo taikymo pagal Ekonomikos gaivinimo ir atsparumo didinimo priemonės reglamentą technines gaires (šis Schemos papunktis netaikomas, kai Projektai finansuojami INVEGOS fondo lėšomis).</w:t>
                </w:r>
              </w:p>
              <w:p>
                <w:pPr>
                  <w:jc w:val="both"/>
                  <w:rPr>
                    <w:rFonts w:eastAsia="Calibri"/>
                  </w:rPr>
                </w:pPr>
                <w:r>
                  <w:rPr>
                    <w:rFonts w:eastAsia="Calibri"/>
                  </w:rPr>
                  <w:t>11.3. Projektas turi būti įgyvendinamas Lietuvos Respublikoje.</w:t>
                </w:r>
              </w:p>
              <w:p>
                <w:pPr>
                  <w:jc w:val="both"/>
                  <w:rPr>
                    <w:color w:val="000000"/>
                    <w:szCs w:val="24"/>
                  </w:rPr>
                </w:pPr>
                <w:r>
                  <w:rPr>
                    <w:rFonts w:eastAsia="Calibri"/>
                  </w:rPr>
                  <w:t>11.4.</w:t>
                </w:r>
                <w:r>
                  <w:rPr>
                    <w:color w:val="000000"/>
                    <w:szCs w:val="24"/>
                    <w:lang w:val="en-US"/>
                  </w:rPr>
                  <w:t xml:space="preserve"> </w:t>
                </w:r>
                <w:r>
                  <w:rPr>
                    <w:color w:val="000000"/>
                    <w:szCs w:val="24"/>
                  </w:rPr>
                  <w:t>Projektas atitinka darnaus vystymosi horizontalųjį principą bei lygių galimybių ir nediskriminavimo (dėl lyties, rasės, tautybės, pilietybės, kalbos, kilmės, socialinės padėties, tikėjimo, įsitikinimų ar pažiūrų, amžiaus, lytinės orientacijos, etninės priklausomybės, religijos, negalios ar kt.) horizontalųjį principą.</w:t>
                </w:r>
              </w:p>
              <w:p>
                <w:pPr>
                  <w:jc w:val="both"/>
                  <w:rPr>
                    <w:color w:val="000000"/>
                    <w:szCs w:val="24"/>
                  </w:rPr>
                </w:pPr>
                <w:r>
                  <w:rPr>
                    <w:color w:val="000000"/>
                    <w:szCs w:val="24"/>
                  </w:rPr>
                  <w:t>11.5. Projektas turi nepažeisti Europos Sąjungos pagrindinių teisių chartijoje nustatytų pagrindinių teisių: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asmenų su negalia teisių; vaiko teisių; gerojo administravimo, veiksmingos teisinės gynybos, teisingumo; solidarumo ir darbuotojų teisių; aplinkos apsaugos.</w:t>
                </w:r>
              </w:p>
              <w:p>
                <w:pPr>
                  <w:jc w:val="both"/>
                  <w:rPr>
                    <w:color w:val="000000"/>
                    <w:szCs w:val="24"/>
                  </w:rPr>
                </w:pPr>
                <w:r>
                  <w:rPr>
                    <w:color w:val="000000"/>
                    <w:szCs w:val="24"/>
                  </w:rPr>
                  <w:t>11.6. Projektas turi atitikti ES ir nacionalinius aplinkosauginius reikalavimus, taikytinus Projektui (šis Schemos papunktis netaikomas, kai Projektai finansuojami INVEGOS fondo lėšomis).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12.</w:t>
                </w:r>
              </w:p>
              <w:p>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 xml:space="preserve">Paskolos dydis vienam Paskolos gavėjui </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tabs>
                    <w:tab w:val="left" w:pos="321"/>
                  </w:tabs>
                  <w:jc w:val="both"/>
                  <w:rPr>
                    <w:color w:val="000000"/>
                  </w:rPr>
                </w:pPr>
                <w:r>
                  <w:rPr>
                    <w:color w:val="000000"/>
                  </w:rPr>
                  <w:t>12.1. Vienam Paskolos gavėjui ir visoms su juo susijusioms įmonėms (jei Paskolos gavėjas priklauso įmonių grupei) iš Priemonės lėšų suteikiamų Paskolų suma, įskaitant iš Priemonės lėšų turimų Paskolų likučius, subordinuotos paskolos ir tiesioginės ILTE paskolos atveju negali būti didesnė kaip 150 000 000 (šimtas penkiasdešimt milijonų) eurų, o sindikuotos paskolos atveju negali būti didesnė kaip 250 000 000 (du šimtai penkiasdešimt milijonų) eurų.</w:t>
                </w:r>
              </w:p>
              <w:p>
                <w:pPr>
                  <w:tabs>
                    <w:tab w:val="left" w:pos="321"/>
                  </w:tabs>
                  <w:jc w:val="both"/>
                  <w:rPr>
                    <w:color w:val="000000"/>
                  </w:rPr>
                </w:pPr>
                <w:r>
                  <w:rPr>
                    <w:color w:val="000000"/>
                  </w:rPr>
                  <w:t xml:space="preserve">12.2. Paskolų skaičius neribojamas. </w:t>
                </w:r>
              </w:p>
              <w:p>
                <w:pPr>
                  <w:tabs>
                    <w:tab w:val="left" w:pos="321"/>
                  </w:tabs>
                  <w:ind w:left="37"/>
                  <w:jc w:val="both"/>
                </w:pPr>
                <w:r>
                  <w:t>12.3. Jei teikiamas finansavimas sutampa su Schemos 11.1 papunktyje nurodytu reikalavimu, tokiu atveju Paskolos suma turės būti didesnė nei 10 000 000 (dešimt milijonų) eurų.</w:t>
                </w:r>
                <w:r>
                  <w:rPr>
                    <w:color w:val="000000"/>
                  </w:rPr>
                  <w:t xml:space="preserve"> </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13.</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highlight w:val="green"/>
                    <w:lang w:val="en-US"/>
                  </w:rPr>
                </w:pPr>
                <w:r>
                  <w:rPr>
                    <w:color w:val="000000"/>
                    <w:szCs w:val="24"/>
                    <w:lang w:eastAsia="lt-LT"/>
                  </w:rPr>
                  <w:t>Informacijos ir dokumentų saugojimas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tabs>
                    <w:tab w:val="left" w:pos="346"/>
                    <w:tab w:val="left" w:pos="521"/>
                  </w:tabs>
                  <w:suppressAutoHyphens/>
                  <w:jc w:val="both"/>
                  <w:textAlignment w:val="center"/>
                  <w:rPr>
                    <w:color w:val="000000"/>
                    <w:szCs w:val="24"/>
                    <w:lang w:eastAsia="lt-LT"/>
                  </w:rPr>
                </w:pPr>
                <w:r>
                  <w:rPr>
                    <w:color w:val="000000"/>
                    <w:szCs w:val="24"/>
                    <w:lang w:eastAsia="lt-LT"/>
                  </w:rPr>
                  <w:t>13.1. Paskolos davėjas visą informaciją ir dokumentus, susijusius su gautos Paskolos lėšų panaudojimu, privalo saugoti 10 metų po Paskolos sutarties galiojimo pabaigos.</w:t>
                </w:r>
              </w:p>
              <w:p>
                <w:pPr>
                  <w:tabs>
                    <w:tab w:val="left" w:pos="346"/>
                    <w:tab w:val="left" w:pos="521"/>
                  </w:tabs>
                  <w:suppressAutoHyphens/>
                  <w:jc w:val="both"/>
                  <w:textAlignment w:val="center"/>
                  <w:rPr>
                    <w:color w:val="000000"/>
                    <w:szCs w:val="24"/>
                    <w:lang w:eastAsia="lt-LT"/>
                  </w:rPr>
                </w:pPr>
                <w:r>
                  <w:rPr>
                    <w:color w:val="000000"/>
                    <w:szCs w:val="24"/>
                    <w:lang w:eastAsia="lt-LT"/>
                  </w:rPr>
                  <w:t xml:space="preserve">13.2. Įgyvendinant Schemą asmens duomenys tvarkomi Paskolų teikimo, suteiktų Paskolų administravimo tikslais. Įgyvendinant Schemą, duomenų valdytojas užtikrina, kad jo atliekamas asmens duomenų tvarkymas atitiktų 2016 m. balandžio 27 d. Europos Parlamento ir Tarybos reglamento </w:t>
                </w:r>
                <w:hyperlink r:id="rId43" w:tgtFrame="_blank" w:history="1">
                  <w:r>
                    <w:rPr>
                      <w:rStyle w:val="Hipersaitas"/>
                      <w:szCs w:val="24"/>
                      <w:lang w:eastAsia="lt-LT"/>
                    </w:rPr>
                    <w:t>(ES) 2016/679</w:t>
                  </w:r>
                </w:hyperlink>
                <w:r>
                  <w:rPr>
                    <w:color w:val="000000"/>
                    <w:szCs w:val="24"/>
                    <w:lang w:eastAsia="lt-LT"/>
                  </w:rPr>
                  <w:t xml:space="preserve"> dėl fizinių asmenų apsaugos tvarkant asmens duomenis ir dėl laisvo tokių duomenų judėjimo ir kuriuo panaikinama Direktyva </w:t>
                </w:r>
                <w:hyperlink r:id="rId44" w:tgtFrame="_blank" w:history="1">
                  <w:r>
                    <w:rPr>
                      <w:rStyle w:val="Hipersaitas"/>
                      <w:szCs w:val="24"/>
                      <w:lang w:eastAsia="lt-LT"/>
                    </w:rPr>
                    <w:t>95/46/EB</w:t>
                  </w:r>
                </w:hyperlink>
                <w:r>
                  <w:rPr>
                    <w:color w:val="000000"/>
                    <w:szCs w:val="24"/>
                    <w:lang w:eastAsia="lt-LT"/>
                  </w:rPr>
                  <w:t xml:space="preserve"> (Bendrasis duomenų apsaugos reglamentas), Lietuvos Respublikos asmens duomenų teisinės apsaugos įstatymo ir kitų teisės aktų, reguliuojančių asmens duomenų apsaugą, nuostatas. Duomenų subjektų teisės įgyvendinamos duomenų valdytojo, į kurį kreipiamasi dėl duomenų subjekto teisių įgyvendinimo, nustatyta tvarka, vadovaujantis Reglamentu </w:t>
                </w:r>
                <w:hyperlink r:id="rId45" w:tgtFrame="_blank" w:history="1">
                  <w:r>
                    <w:rPr>
                      <w:rStyle w:val="Hipersaitas"/>
                      <w:szCs w:val="24"/>
                      <w:lang w:eastAsia="lt-LT"/>
                    </w:rPr>
                    <w:t>(ES) 2016/679</w:t>
                  </w:r>
                </w:hyperlink>
                <w:r>
                  <w:rPr>
                    <w:color w:val="000000"/>
                    <w:szCs w:val="24"/>
                    <w:lang w:eastAsia="lt-LT"/>
                  </w:rPr>
                  <w:t>. Informacija apie asmens duomenų tvarkymą pateikiama duomenų valdytojo interneto svetainėje.</w:t>
                </w:r>
              </w:p>
            </w:tc>
          </w:tr>
        </w:tbl>
        <w:p>
          <w:pPr>
            <w:widowControl w:val="0"/>
            <w:jc w:val="center"/>
            <w:rPr>
              <w:color w:val="000000"/>
              <w:szCs w:val="24"/>
            </w:rPr>
          </w:pPr>
        </w:p>
        <w:sdt>
          <w:sdtPr>
            <w:alias w:val="pabaiga"/>
            <w:tag w:val="part_c631926887ae44cbad0069f7b99ab57a"/>
            <w:lock w:val="sdtLocked"/>
            <w:richText/>
          </w:sdtPr>
          <w:sdtContent>
            <w:p>
              <w:pPr>
                <w:widowControl w:val="0"/>
                <w:jc w:val="center"/>
              </w:pPr>
              <w:r>
                <w:rPr>
                  <w:color w:val="000000"/>
                </w:rP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13f160654c11efafbb8694c098bac5">
            <w:r w:rsidRPr="00532B9F">
              <w:rPr>
                <w:rFonts w:ascii="Times New Roman" w:eastAsia="MS Mincho" w:hAnsi="Times New Roman"/>
                <w:sz w:val="20"/>
                <w:i/>
                <w:iCs/>
                <w:color w:val="0000FF" w:themeColor="hyperlink"/>
                <w:u w:val="single"/>
              </w:rPr>
              <w:t>4-457</w:t>
            </w:r>
          </w:fldSimple>
          <w:r>
            <w:rPr>
              <w:rFonts w:ascii="Times New Roman" w:eastAsia="MS Mincho" w:hAnsi="Times New Roman"/>
              <w:sz w:val="20"/>
              <w:i/>
              <w:iCs/>
            </w:rPr>
            <w:t>,
2024-08-28,
paskelbta TAR 2024-08-28, i. k. 2024-14966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98fdb0613d11f0a8bbd1e98310677d">
            <w:r w:rsidRPr="00532B9F">
              <w:rPr>
                <w:rFonts w:ascii="Times New Roman" w:eastAsia="MS Mincho" w:hAnsi="Times New Roman"/>
                <w:sz w:val="20"/>
                <w:i/>
                <w:iCs/>
                <w:color w:val="0000FF" w:themeColor="hyperlink"/>
                <w:u w:val="single"/>
              </w:rPr>
              <w:t>4-334</w:t>
            </w:r>
          </w:fldSimple>
          <w:r>
            <w:rPr>
              <w:rFonts w:ascii="Times New Roman" w:eastAsia="MS Mincho" w:hAnsi="Times New Roman"/>
              <w:sz w:val="20"/>
              <w:i/>
              <w:iCs/>
            </w:rPr>
            <w:t>,
2025-07-15,
paskelbta TAR 2025-07-15, i. k. 2025-12824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57e206f6a411f0ac2aa76febda78c1">
            <w:r w:rsidRPr="00532B9F">
              <w:rPr>
                <w:rFonts w:ascii="Times New Roman" w:eastAsia="MS Mincho" w:hAnsi="Times New Roman"/>
                <w:sz w:val="20"/>
                <w:i/>
                <w:iCs/>
                <w:color w:val="0000FF" w:themeColor="hyperlink"/>
                <w:u w:val="single"/>
              </w:rPr>
              <w:t>4-27</w:t>
            </w:r>
          </w:fldSimple>
          <w:r>
            <w:rPr>
              <w:rFonts w:ascii="Times New Roman" w:eastAsia="MS Mincho" w:hAnsi="Times New Roman"/>
              <w:sz w:val="20"/>
              <w:i/>
              <w:iCs/>
            </w:rPr>
            <w:t>,
2026-01-21,
paskelbta TAR 2026-01-21, i. k. 2026-00780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9eec464a1e11f180c9c618618421ed">
            <w:r w:rsidRPr="00532B9F">
              <w:rPr>
                <w:rFonts w:ascii="Times New Roman" w:eastAsia="MS Mincho" w:hAnsi="Times New Roman"/>
                <w:sz w:val="20"/>
                <w:i/>
                <w:iCs/>
                <w:color w:val="0000FF" w:themeColor="hyperlink"/>
                <w:u w:val="single"/>
              </w:rPr>
              <w:t>4-196</w:t>
            </w:r>
          </w:fldSimple>
          <w:r>
            <w:rPr>
              <w:rFonts w:ascii="Times New Roman" w:eastAsia="MS Mincho" w:hAnsi="Times New Roman"/>
              <w:sz w:val="20"/>
              <w:i/>
              <w:iCs/>
            </w:rPr>
            <w:t>,
2026-05-07,
paskelbta TAR 2026-05-07, i. k. 2026-07750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c13f160654c11efafbb8694c098bac5">
            <w:r w:rsidRPr="00532B9F">
              <w:rPr>
                <w:rFonts w:ascii="Times New Roman" w:eastAsia="MS Mincho" w:hAnsi="Times New Roman"/>
                <w:sz w:val="20"/>
                <w:iCs/>
                <w:color w:val="0000FF" w:themeColor="hyperlink"/>
                <w:u w:val="single"/>
              </w:rPr>
              <w:t>4-457</w:t>
            </w:r>
          </w:fldSimple>
          <w:r>
            <w:rPr>
              <w:rFonts w:ascii="Times New Roman" w:eastAsia="MS Mincho" w:hAnsi="Times New Roman"/>
              <w:sz w:val="20"/>
              <w:iCs/>
            </w:rPr>
            <w:t>,
2024-08-28,
paskelbta TAR 2024-08-28, i. k. 2024-14966                </w:t>
          </w:r>
        </w:p>
        <w:p>
          <w:pPr>
            <w:jc w:val="both"/>
            <w:rPr>
              <w:rFonts w:ascii="Times New Roman" w:hAnsi="Times New Roman"/>
            </w:rPr>
          </w:pPr>
          <w:r>
            <w:rPr>
              <w:rFonts w:ascii="Times New Roman" w:hAnsi="Times New Roman"/>
              <w:sz w:val="20"/>
            </w:rPr>
            <w:t>Dėl ekonomikos ir inovacijų ministro 2024 m. balandžio 26 d. įsakymo Nr. 4-233 „Dėl Skatinamosios finansinės priemonės „Milijardas verslui“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98fdb0613d11f0a8bbd1e98310677d">
            <w:r w:rsidRPr="00532B9F">
              <w:rPr>
                <w:rFonts w:ascii="Times New Roman" w:eastAsia="MS Mincho" w:hAnsi="Times New Roman"/>
                <w:sz w:val="20"/>
                <w:iCs/>
                <w:color w:val="0000FF" w:themeColor="hyperlink"/>
                <w:u w:val="single"/>
              </w:rPr>
              <w:t>4-334</w:t>
            </w:r>
          </w:fldSimple>
          <w:r>
            <w:rPr>
              <w:rFonts w:ascii="Times New Roman" w:eastAsia="MS Mincho" w:hAnsi="Times New Roman"/>
              <w:sz w:val="20"/>
              <w:iCs/>
            </w:rPr>
            <w:t>,
2025-07-15,
paskelbta TAR 2025-07-15, i. k. 2025-12824                </w:t>
          </w:r>
        </w:p>
        <w:p>
          <w:pPr>
            <w:jc w:val="both"/>
            <w:rPr>
              <w:rFonts w:ascii="Times New Roman" w:hAnsi="Times New Roman"/>
            </w:rPr>
          </w:pPr>
          <w:r>
            <w:rPr>
              <w:rFonts w:ascii="Times New Roman" w:hAnsi="Times New Roman"/>
              <w:sz w:val="20"/>
            </w:rPr>
            <w:t>Dėl ekonomikos ir inovacijų ministro 2024 m. balandžio 26 d. įsakymo Nr. 4-233 „Dėl Skatinamosios finansinės priemonės „Milijardas verslui“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57e206f6a411f0ac2aa76febda78c1">
            <w:r w:rsidRPr="00532B9F">
              <w:rPr>
                <w:rFonts w:ascii="Times New Roman" w:eastAsia="MS Mincho" w:hAnsi="Times New Roman"/>
                <w:sz w:val="20"/>
                <w:iCs/>
                <w:color w:val="0000FF" w:themeColor="hyperlink"/>
                <w:u w:val="single"/>
              </w:rPr>
              <w:t>4-27</w:t>
            </w:r>
          </w:fldSimple>
          <w:r>
            <w:rPr>
              <w:rFonts w:ascii="Times New Roman" w:eastAsia="MS Mincho" w:hAnsi="Times New Roman"/>
              <w:sz w:val="20"/>
              <w:iCs/>
            </w:rPr>
            <w:t>,
2026-01-21,
paskelbta TAR 2026-01-21, i. k. 2026-00780                </w:t>
          </w:r>
        </w:p>
        <w:p>
          <w:pPr>
            <w:jc w:val="both"/>
            <w:rPr>
              <w:rFonts w:ascii="Times New Roman" w:hAnsi="Times New Roman"/>
            </w:rPr>
          </w:pPr>
          <w:r>
            <w:rPr>
              <w:rFonts w:ascii="Times New Roman" w:hAnsi="Times New Roman"/>
              <w:sz w:val="20"/>
            </w:rPr>
            <w:t>Dėl ekonomikos ir inovacijų ministro 2024 m. balandžio 26 d. įsakymo Nr. 4-233 „Dėl Skatinamosios finansinės priemonės „Milijardas verslui“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9eec464a1e11f180c9c618618421ed">
            <w:r w:rsidRPr="00532B9F">
              <w:rPr>
                <w:rFonts w:ascii="Times New Roman" w:eastAsia="MS Mincho" w:hAnsi="Times New Roman"/>
                <w:sz w:val="20"/>
                <w:iCs/>
                <w:color w:val="0000FF" w:themeColor="hyperlink"/>
                <w:u w:val="single"/>
              </w:rPr>
              <w:t>4-196</w:t>
            </w:r>
          </w:fldSimple>
          <w:r>
            <w:rPr>
              <w:rFonts w:ascii="Times New Roman" w:eastAsia="MS Mincho" w:hAnsi="Times New Roman"/>
              <w:sz w:val="20"/>
              <w:iCs/>
            </w:rPr>
            <w:t>,
2026-05-07,
paskelbta TAR 2026-05-07, i. k. 2026-07750                </w:t>
          </w:r>
        </w:p>
        <w:p>
          <w:pPr>
            <w:jc w:val="both"/>
            <w:rPr>
              <w:rFonts w:ascii="Times New Roman" w:hAnsi="Times New Roman"/>
            </w:rPr>
          </w:pPr>
          <w:r>
            <w:rPr>
              <w:rFonts w:ascii="Times New Roman" w:hAnsi="Times New Roman"/>
              <w:sz w:val="20"/>
            </w:rPr>
            <w:t>Dėl ekonomikos ir inovacijų ministro 2024 m. balandžio 26 d. įsakymo Nr. 4-233 „Dėl Skatinamosios finansinės priemonės „Milijardas verslui“ schemos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720" w:footer="720" w:gutter="0"/>
      <w:pgNumType w:start="1"/>
      <w:cols w:space="72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ind w:firstLine="720"/>
        <w:jc w:val="both"/>
      </w:pPr>
      <w:r>
        <w:separator/>
      </w:r>
    </w:p>
  </w:endnote>
  <w:endnote w:type="continuationSeparator" w:id="0">
    <w:p>
      <w:pPr>
        <w:ind w:firstLine="720"/>
        <w:jc w:val="both"/>
      </w:pPr>
      <w: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ind w:firstLine="720"/>
        <w:jc w:val="both"/>
      </w:pPr>
      <w:r>
        <w:separator/>
      </w:r>
    </w:p>
  </w:footnote>
  <w:footnote w:type="continuationSeparator" w:id="0">
    <w:p>
      <w:pPr>
        <w:ind w:firstLine="720"/>
        <w:jc w:val="both"/>
      </w:pPr>
      <w:r>
        <w:continuationSeparator/>
      </w:r>
    </w:p>
  </w:footnote>
  <w:footnote w:type="continuationNotice" w:id="1">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13</w:t>
    </w:r>
    <w: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13</w:t>
    </w:r>
    <w: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13</w:t>
    </w:r>
    <w: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MDY1N7Y0Njc3MgYRSjpKwanFxZn5eSAFZrUAjm8+9ywAAAA="/>
  </w:docVars>
  <w:rsids>
    <w:rsidRoot w:val="00A262F7"/>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17EADD"/>
  <w15:docId w15:val="{05605677-EF5F-41A3-B09B-6DDE616158E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nhideWhenUsed/>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95449366">
      <w:bodyDiv w:val="1"/>
      <w:marLeft w:val="0"/>
      <w:marRight w:val="0"/>
      <w:marTop w:val="0"/>
      <w:marBottom w:val="0"/>
      <w:divBdr>
        <w:top w:val="none" w:sz="0" w:space="0" w:color="auto"/>
        <w:left w:val="none" w:sz="0" w:space="0" w:color="auto"/>
        <w:bottom w:val="none" w:sz="0" w:space="0" w:color="auto"/>
        <w:right w:val="none" w:sz="0" w:space="0" w:color="auto"/>
      </w:divBdr>
    </w:div>
    <w:div w:id="120418404">
      <w:bodyDiv w:val="1"/>
      <w:marLeft w:val="0"/>
      <w:marRight w:val="0"/>
      <w:marTop w:val="0"/>
      <w:marBottom w:val="0"/>
      <w:divBdr>
        <w:top w:val="none" w:sz="0" w:space="0" w:color="auto"/>
        <w:left w:val="none" w:sz="0" w:space="0" w:color="auto"/>
        <w:bottom w:val="none" w:sz="0" w:space="0" w:color="auto"/>
        <w:right w:val="none" w:sz="0" w:space="0" w:color="auto"/>
      </w:divBdr>
    </w:div>
    <w:div w:id="146820873">
      <w:bodyDiv w:val="1"/>
      <w:marLeft w:val="0"/>
      <w:marRight w:val="0"/>
      <w:marTop w:val="0"/>
      <w:marBottom w:val="0"/>
      <w:divBdr>
        <w:top w:val="none" w:sz="0" w:space="0" w:color="auto"/>
        <w:left w:val="none" w:sz="0" w:space="0" w:color="auto"/>
        <w:bottom w:val="none" w:sz="0" w:space="0" w:color="auto"/>
        <w:right w:val="none" w:sz="0" w:space="0" w:color="auto"/>
      </w:divBdr>
      <w:divsChild>
        <w:div w:id="622155281">
          <w:marLeft w:val="0"/>
          <w:marRight w:val="0"/>
          <w:marTop w:val="0"/>
          <w:marBottom w:val="0"/>
          <w:divBdr>
            <w:top w:val="single" w:sz="2" w:space="3" w:color="B4B4B4"/>
            <w:left w:val="single" w:sz="2" w:space="12" w:color="B4B4B4"/>
            <w:bottom w:val="single" w:sz="6" w:space="3" w:color="B4B4B4"/>
            <w:right w:val="single" w:sz="2" w:space="12" w:color="B4B4B4"/>
          </w:divBdr>
        </w:div>
      </w:divsChild>
    </w:div>
    <w:div w:id="147289606">
      <w:bodyDiv w:val="1"/>
      <w:marLeft w:val="0"/>
      <w:marRight w:val="0"/>
      <w:marTop w:val="0"/>
      <w:marBottom w:val="0"/>
      <w:divBdr>
        <w:top w:val="none" w:sz="0" w:space="0" w:color="auto"/>
        <w:left w:val="none" w:sz="0" w:space="0" w:color="auto"/>
        <w:bottom w:val="none" w:sz="0" w:space="0" w:color="auto"/>
        <w:right w:val="none" w:sz="0" w:space="0" w:color="auto"/>
      </w:divBdr>
    </w:div>
    <w:div w:id="200243302">
      <w:bodyDiv w:val="1"/>
      <w:marLeft w:val="0"/>
      <w:marRight w:val="0"/>
      <w:marTop w:val="0"/>
      <w:marBottom w:val="0"/>
      <w:divBdr>
        <w:top w:val="none" w:sz="0" w:space="0" w:color="auto"/>
        <w:left w:val="none" w:sz="0" w:space="0" w:color="auto"/>
        <w:bottom w:val="none" w:sz="0" w:space="0" w:color="auto"/>
        <w:right w:val="none" w:sz="0" w:space="0" w:color="auto"/>
      </w:divBdr>
    </w:div>
    <w:div w:id="269287594">
      <w:bodyDiv w:val="1"/>
      <w:marLeft w:val="0"/>
      <w:marRight w:val="0"/>
      <w:marTop w:val="0"/>
      <w:marBottom w:val="0"/>
      <w:divBdr>
        <w:top w:val="none" w:sz="0" w:space="0" w:color="auto"/>
        <w:left w:val="none" w:sz="0" w:space="0" w:color="auto"/>
        <w:bottom w:val="none" w:sz="0" w:space="0" w:color="auto"/>
        <w:right w:val="none" w:sz="0" w:space="0" w:color="auto"/>
      </w:divBdr>
    </w:div>
    <w:div w:id="291904554">
      <w:bodyDiv w:val="1"/>
      <w:marLeft w:val="0"/>
      <w:marRight w:val="0"/>
      <w:marTop w:val="0"/>
      <w:marBottom w:val="0"/>
      <w:divBdr>
        <w:top w:val="none" w:sz="0" w:space="0" w:color="auto"/>
        <w:left w:val="none" w:sz="0" w:space="0" w:color="auto"/>
        <w:bottom w:val="none" w:sz="0" w:space="0" w:color="auto"/>
        <w:right w:val="none" w:sz="0" w:space="0" w:color="auto"/>
      </w:divBdr>
    </w:div>
    <w:div w:id="333268885">
      <w:bodyDiv w:val="1"/>
      <w:marLeft w:val="0"/>
      <w:marRight w:val="0"/>
      <w:marTop w:val="0"/>
      <w:marBottom w:val="0"/>
      <w:divBdr>
        <w:top w:val="none" w:sz="0" w:space="0" w:color="auto"/>
        <w:left w:val="none" w:sz="0" w:space="0" w:color="auto"/>
        <w:bottom w:val="none" w:sz="0" w:space="0" w:color="auto"/>
        <w:right w:val="none" w:sz="0" w:space="0" w:color="auto"/>
      </w:divBdr>
    </w:div>
    <w:div w:id="341705699">
      <w:bodyDiv w:val="1"/>
      <w:marLeft w:val="0"/>
      <w:marRight w:val="0"/>
      <w:marTop w:val="0"/>
      <w:marBottom w:val="0"/>
      <w:divBdr>
        <w:top w:val="none" w:sz="0" w:space="0" w:color="auto"/>
        <w:left w:val="none" w:sz="0" w:space="0" w:color="auto"/>
        <w:bottom w:val="none" w:sz="0" w:space="0" w:color="auto"/>
        <w:right w:val="none" w:sz="0" w:space="0" w:color="auto"/>
      </w:divBdr>
    </w:div>
    <w:div w:id="401756839">
      <w:bodyDiv w:val="1"/>
      <w:marLeft w:val="0"/>
      <w:marRight w:val="0"/>
      <w:marTop w:val="0"/>
      <w:marBottom w:val="0"/>
      <w:divBdr>
        <w:top w:val="none" w:sz="0" w:space="0" w:color="auto"/>
        <w:left w:val="none" w:sz="0" w:space="0" w:color="auto"/>
        <w:bottom w:val="none" w:sz="0" w:space="0" w:color="auto"/>
        <w:right w:val="none" w:sz="0" w:space="0" w:color="auto"/>
      </w:divBdr>
    </w:div>
    <w:div w:id="406415423">
      <w:bodyDiv w:val="1"/>
      <w:marLeft w:val="0"/>
      <w:marRight w:val="0"/>
      <w:marTop w:val="0"/>
      <w:marBottom w:val="0"/>
      <w:divBdr>
        <w:top w:val="none" w:sz="0" w:space="0" w:color="auto"/>
        <w:left w:val="none" w:sz="0" w:space="0" w:color="auto"/>
        <w:bottom w:val="none" w:sz="0" w:space="0" w:color="auto"/>
        <w:right w:val="none" w:sz="0" w:space="0" w:color="auto"/>
      </w:divBdr>
    </w:div>
    <w:div w:id="412509548">
      <w:bodyDiv w:val="1"/>
      <w:marLeft w:val="0"/>
      <w:marRight w:val="0"/>
      <w:marTop w:val="0"/>
      <w:marBottom w:val="0"/>
      <w:divBdr>
        <w:top w:val="none" w:sz="0" w:space="0" w:color="auto"/>
        <w:left w:val="none" w:sz="0" w:space="0" w:color="auto"/>
        <w:bottom w:val="none" w:sz="0" w:space="0" w:color="auto"/>
        <w:right w:val="none" w:sz="0" w:space="0" w:color="auto"/>
      </w:divBdr>
    </w:div>
    <w:div w:id="416095719">
      <w:bodyDiv w:val="1"/>
      <w:marLeft w:val="0"/>
      <w:marRight w:val="0"/>
      <w:marTop w:val="0"/>
      <w:marBottom w:val="0"/>
      <w:divBdr>
        <w:top w:val="none" w:sz="0" w:space="0" w:color="auto"/>
        <w:left w:val="none" w:sz="0" w:space="0" w:color="auto"/>
        <w:bottom w:val="none" w:sz="0" w:space="0" w:color="auto"/>
        <w:right w:val="none" w:sz="0" w:space="0" w:color="auto"/>
      </w:divBdr>
    </w:div>
    <w:div w:id="490947441">
      <w:bodyDiv w:val="1"/>
      <w:marLeft w:val="0"/>
      <w:marRight w:val="0"/>
      <w:marTop w:val="0"/>
      <w:marBottom w:val="0"/>
      <w:divBdr>
        <w:top w:val="none" w:sz="0" w:space="0" w:color="auto"/>
        <w:left w:val="none" w:sz="0" w:space="0" w:color="auto"/>
        <w:bottom w:val="none" w:sz="0" w:space="0" w:color="auto"/>
        <w:right w:val="none" w:sz="0" w:space="0" w:color="auto"/>
      </w:divBdr>
    </w:div>
    <w:div w:id="547839554">
      <w:bodyDiv w:val="1"/>
      <w:marLeft w:val="0"/>
      <w:marRight w:val="0"/>
      <w:marTop w:val="0"/>
      <w:marBottom w:val="0"/>
      <w:divBdr>
        <w:top w:val="none" w:sz="0" w:space="0" w:color="auto"/>
        <w:left w:val="none" w:sz="0" w:space="0" w:color="auto"/>
        <w:bottom w:val="none" w:sz="0" w:space="0" w:color="auto"/>
        <w:right w:val="none" w:sz="0" w:space="0" w:color="auto"/>
      </w:divBdr>
    </w:div>
    <w:div w:id="638388902">
      <w:bodyDiv w:val="1"/>
      <w:marLeft w:val="0"/>
      <w:marRight w:val="0"/>
      <w:marTop w:val="0"/>
      <w:marBottom w:val="0"/>
      <w:divBdr>
        <w:top w:val="none" w:sz="0" w:space="0" w:color="auto"/>
        <w:left w:val="none" w:sz="0" w:space="0" w:color="auto"/>
        <w:bottom w:val="none" w:sz="0" w:space="0" w:color="auto"/>
        <w:right w:val="none" w:sz="0" w:space="0" w:color="auto"/>
      </w:divBdr>
    </w:div>
    <w:div w:id="681660366">
      <w:bodyDiv w:val="1"/>
      <w:marLeft w:val="0"/>
      <w:marRight w:val="0"/>
      <w:marTop w:val="0"/>
      <w:marBottom w:val="0"/>
      <w:divBdr>
        <w:top w:val="none" w:sz="0" w:space="0" w:color="auto"/>
        <w:left w:val="none" w:sz="0" w:space="0" w:color="auto"/>
        <w:bottom w:val="none" w:sz="0" w:space="0" w:color="auto"/>
        <w:right w:val="none" w:sz="0" w:space="0" w:color="auto"/>
      </w:divBdr>
    </w:div>
    <w:div w:id="720060664">
      <w:bodyDiv w:val="1"/>
      <w:marLeft w:val="0"/>
      <w:marRight w:val="0"/>
      <w:marTop w:val="0"/>
      <w:marBottom w:val="0"/>
      <w:divBdr>
        <w:top w:val="none" w:sz="0" w:space="0" w:color="auto"/>
        <w:left w:val="none" w:sz="0" w:space="0" w:color="auto"/>
        <w:bottom w:val="none" w:sz="0" w:space="0" w:color="auto"/>
        <w:right w:val="none" w:sz="0" w:space="0" w:color="auto"/>
      </w:divBdr>
    </w:div>
    <w:div w:id="757018653">
      <w:bodyDiv w:val="1"/>
      <w:marLeft w:val="0"/>
      <w:marRight w:val="0"/>
      <w:marTop w:val="0"/>
      <w:marBottom w:val="0"/>
      <w:divBdr>
        <w:top w:val="none" w:sz="0" w:space="0" w:color="auto"/>
        <w:left w:val="none" w:sz="0" w:space="0" w:color="auto"/>
        <w:bottom w:val="none" w:sz="0" w:space="0" w:color="auto"/>
        <w:right w:val="none" w:sz="0" w:space="0" w:color="auto"/>
      </w:divBdr>
    </w:div>
    <w:div w:id="810025669">
      <w:bodyDiv w:val="1"/>
      <w:marLeft w:val="0"/>
      <w:marRight w:val="0"/>
      <w:marTop w:val="0"/>
      <w:marBottom w:val="0"/>
      <w:divBdr>
        <w:top w:val="none" w:sz="0" w:space="0" w:color="auto"/>
        <w:left w:val="none" w:sz="0" w:space="0" w:color="auto"/>
        <w:bottom w:val="none" w:sz="0" w:space="0" w:color="auto"/>
        <w:right w:val="none" w:sz="0" w:space="0" w:color="auto"/>
      </w:divBdr>
    </w:div>
    <w:div w:id="837765622">
      <w:bodyDiv w:val="1"/>
      <w:marLeft w:val="0"/>
      <w:marRight w:val="0"/>
      <w:marTop w:val="0"/>
      <w:marBottom w:val="0"/>
      <w:divBdr>
        <w:top w:val="none" w:sz="0" w:space="0" w:color="auto"/>
        <w:left w:val="none" w:sz="0" w:space="0" w:color="auto"/>
        <w:bottom w:val="none" w:sz="0" w:space="0" w:color="auto"/>
        <w:right w:val="none" w:sz="0" w:space="0" w:color="auto"/>
      </w:divBdr>
    </w:div>
    <w:div w:id="841969895">
      <w:bodyDiv w:val="1"/>
      <w:marLeft w:val="0"/>
      <w:marRight w:val="0"/>
      <w:marTop w:val="0"/>
      <w:marBottom w:val="0"/>
      <w:divBdr>
        <w:top w:val="none" w:sz="0" w:space="0" w:color="auto"/>
        <w:left w:val="none" w:sz="0" w:space="0" w:color="auto"/>
        <w:bottom w:val="none" w:sz="0" w:space="0" w:color="auto"/>
        <w:right w:val="none" w:sz="0" w:space="0" w:color="auto"/>
      </w:divBdr>
      <w:divsChild>
        <w:div w:id="133908216">
          <w:marLeft w:val="0"/>
          <w:marRight w:val="0"/>
          <w:marTop w:val="0"/>
          <w:marBottom w:val="0"/>
          <w:divBdr>
            <w:top w:val="none" w:sz="0" w:space="0" w:color="auto"/>
            <w:left w:val="none" w:sz="0" w:space="0" w:color="auto"/>
            <w:bottom w:val="none" w:sz="0" w:space="0" w:color="auto"/>
            <w:right w:val="none" w:sz="0" w:space="0" w:color="auto"/>
          </w:divBdr>
        </w:div>
      </w:divsChild>
    </w:div>
    <w:div w:id="854147931">
      <w:bodyDiv w:val="1"/>
      <w:marLeft w:val="0"/>
      <w:marRight w:val="0"/>
      <w:marTop w:val="0"/>
      <w:marBottom w:val="0"/>
      <w:divBdr>
        <w:top w:val="none" w:sz="0" w:space="0" w:color="auto"/>
        <w:left w:val="none" w:sz="0" w:space="0" w:color="auto"/>
        <w:bottom w:val="none" w:sz="0" w:space="0" w:color="auto"/>
        <w:right w:val="none" w:sz="0" w:space="0" w:color="auto"/>
      </w:divBdr>
    </w:div>
    <w:div w:id="876698543">
      <w:bodyDiv w:val="1"/>
      <w:marLeft w:val="0"/>
      <w:marRight w:val="0"/>
      <w:marTop w:val="0"/>
      <w:marBottom w:val="0"/>
      <w:divBdr>
        <w:top w:val="none" w:sz="0" w:space="0" w:color="auto"/>
        <w:left w:val="none" w:sz="0" w:space="0" w:color="auto"/>
        <w:bottom w:val="none" w:sz="0" w:space="0" w:color="auto"/>
        <w:right w:val="none" w:sz="0" w:space="0" w:color="auto"/>
      </w:divBdr>
    </w:div>
    <w:div w:id="894774372">
      <w:bodyDiv w:val="1"/>
      <w:marLeft w:val="0"/>
      <w:marRight w:val="0"/>
      <w:marTop w:val="0"/>
      <w:marBottom w:val="0"/>
      <w:divBdr>
        <w:top w:val="none" w:sz="0" w:space="0" w:color="auto"/>
        <w:left w:val="none" w:sz="0" w:space="0" w:color="auto"/>
        <w:bottom w:val="none" w:sz="0" w:space="0" w:color="auto"/>
        <w:right w:val="none" w:sz="0" w:space="0" w:color="auto"/>
      </w:divBdr>
    </w:div>
    <w:div w:id="914782924">
      <w:bodyDiv w:val="1"/>
      <w:marLeft w:val="0"/>
      <w:marRight w:val="0"/>
      <w:marTop w:val="0"/>
      <w:marBottom w:val="0"/>
      <w:divBdr>
        <w:top w:val="none" w:sz="0" w:space="0" w:color="auto"/>
        <w:left w:val="none" w:sz="0" w:space="0" w:color="auto"/>
        <w:bottom w:val="none" w:sz="0" w:space="0" w:color="auto"/>
        <w:right w:val="none" w:sz="0" w:space="0" w:color="auto"/>
      </w:divBdr>
    </w:div>
    <w:div w:id="935863085">
      <w:bodyDiv w:val="1"/>
      <w:marLeft w:val="0"/>
      <w:marRight w:val="0"/>
      <w:marTop w:val="0"/>
      <w:marBottom w:val="0"/>
      <w:divBdr>
        <w:top w:val="none" w:sz="0" w:space="0" w:color="auto"/>
        <w:left w:val="none" w:sz="0" w:space="0" w:color="auto"/>
        <w:bottom w:val="none" w:sz="0" w:space="0" w:color="auto"/>
        <w:right w:val="none" w:sz="0" w:space="0" w:color="auto"/>
      </w:divBdr>
    </w:div>
    <w:div w:id="1065681179">
      <w:bodyDiv w:val="1"/>
      <w:marLeft w:val="0"/>
      <w:marRight w:val="0"/>
      <w:marTop w:val="0"/>
      <w:marBottom w:val="0"/>
      <w:divBdr>
        <w:top w:val="none" w:sz="0" w:space="0" w:color="auto"/>
        <w:left w:val="none" w:sz="0" w:space="0" w:color="auto"/>
        <w:bottom w:val="none" w:sz="0" w:space="0" w:color="auto"/>
        <w:right w:val="none" w:sz="0" w:space="0" w:color="auto"/>
      </w:divBdr>
    </w:div>
    <w:div w:id="1068382377">
      <w:bodyDiv w:val="1"/>
      <w:marLeft w:val="0"/>
      <w:marRight w:val="0"/>
      <w:marTop w:val="0"/>
      <w:marBottom w:val="0"/>
      <w:divBdr>
        <w:top w:val="none" w:sz="0" w:space="0" w:color="auto"/>
        <w:left w:val="none" w:sz="0" w:space="0" w:color="auto"/>
        <w:bottom w:val="none" w:sz="0" w:space="0" w:color="auto"/>
        <w:right w:val="none" w:sz="0" w:space="0" w:color="auto"/>
      </w:divBdr>
      <w:divsChild>
        <w:div w:id="2071422284">
          <w:marLeft w:val="0"/>
          <w:marRight w:val="0"/>
          <w:marTop w:val="0"/>
          <w:marBottom w:val="0"/>
          <w:divBdr>
            <w:top w:val="none" w:sz="0" w:space="0" w:color="auto"/>
            <w:left w:val="none" w:sz="0" w:space="0" w:color="auto"/>
            <w:bottom w:val="none" w:sz="0" w:space="0" w:color="auto"/>
            <w:right w:val="none" w:sz="0" w:space="0" w:color="auto"/>
          </w:divBdr>
          <w:divsChild>
            <w:div w:id="450512684">
              <w:marLeft w:val="0"/>
              <w:marRight w:val="0"/>
              <w:marTop w:val="0"/>
              <w:marBottom w:val="0"/>
              <w:divBdr>
                <w:top w:val="none" w:sz="0" w:space="0" w:color="auto"/>
                <w:left w:val="none" w:sz="0" w:space="0" w:color="auto"/>
                <w:bottom w:val="none" w:sz="0" w:space="0" w:color="auto"/>
                <w:right w:val="none" w:sz="0" w:space="0" w:color="auto"/>
              </w:divBdr>
              <w:divsChild>
                <w:div w:id="123736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3968742">
      <w:bodyDiv w:val="1"/>
      <w:marLeft w:val="0"/>
      <w:marRight w:val="0"/>
      <w:marTop w:val="0"/>
      <w:marBottom w:val="0"/>
      <w:divBdr>
        <w:top w:val="none" w:sz="0" w:space="0" w:color="auto"/>
        <w:left w:val="none" w:sz="0" w:space="0" w:color="auto"/>
        <w:bottom w:val="none" w:sz="0" w:space="0" w:color="auto"/>
        <w:right w:val="none" w:sz="0" w:space="0" w:color="auto"/>
      </w:divBdr>
    </w:div>
    <w:div w:id="1210611403">
      <w:bodyDiv w:val="1"/>
      <w:marLeft w:val="0"/>
      <w:marRight w:val="0"/>
      <w:marTop w:val="0"/>
      <w:marBottom w:val="0"/>
      <w:divBdr>
        <w:top w:val="none" w:sz="0" w:space="0" w:color="auto"/>
        <w:left w:val="none" w:sz="0" w:space="0" w:color="auto"/>
        <w:bottom w:val="none" w:sz="0" w:space="0" w:color="auto"/>
        <w:right w:val="none" w:sz="0" w:space="0" w:color="auto"/>
      </w:divBdr>
      <w:divsChild>
        <w:div w:id="1016344351">
          <w:marLeft w:val="0"/>
          <w:marRight w:val="0"/>
          <w:marTop w:val="0"/>
          <w:marBottom w:val="0"/>
          <w:divBdr>
            <w:top w:val="none" w:sz="0" w:space="0" w:color="auto"/>
            <w:left w:val="none" w:sz="0" w:space="0" w:color="auto"/>
            <w:bottom w:val="none" w:sz="0" w:space="0" w:color="auto"/>
            <w:right w:val="none" w:sz="0" w:space="0" w:color="auto"/>
          </w:divBdr>
        </w:div>
      </w:divsChild>
    </w:div>
    <w:div w:id="1227572221">
      <w:bodyDiv w:val="1"/>
      <w:marLeft w:val="0"/>
      <w:marRight w:val="0"/>
      <w:marTop w:val="0"/>
      <w:marBottom w:val="0"/>
      <w:divBdr>
        <w:top w:val="none" w:sz="0" w:space="0" w:color="auto"/>
        <w:left w:val="none" w:sz="0" w:space="0" w:color="auto"/>
        <w:bottom w:val="none" w:sz="0" w:space="0" w:color="auto"/>
        <w:right w:val="none" w:sz="0" w:space="0" w:color="auto"/>
      </w:divBdr>
      <w:divsChild>
        <w:div w:id="667757573">
          <w:marLeft w:val="0"/>
          <w:marRight w:val="0"/>
          <w:marTop w:val="0"/>
          <w:marBottom w:val="0"/>
          <w:divBdr>
            <w:top w:val="none" w:sz="0" w:space="0" w:color="auto"/>
            <w:left w:val="none" w:sz="0" w:space="0" w:color="auto"/>
            <w:bottom w:val="none" w:sz="0" w:space="0" w:color="auto"/>
            <w:right w:val="none" w:sz="0" w:space="0" w:color="auto"/>
          </w:divBdr>
          <w:divsChild>
            <w:div w:id="333069003">
              <w:marLeft w:val="0"/>
              <w:marRight w:val="0"/>
              <w:marTop w:val="0"/>
              <w:marBottom w:val="0"/>
              <w:divBdr>
                <w:top w:val="none" w:sz="0" w:space="0" w:color="auto"/>
                <w:left w:val="none" w:sz="0" w:space="0" w:color="auto"/>
                <w:bottom w:val="none" w:sz="0" w:space="0" w:color="auto"/>
                <w:right w:val="none" w:sz="0" w:space="0" w:color="auto"/>
              </w:divBdr>
              <w:divsChild>
                <w:div w:id="530610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7495442">
      <w:bodyDiv w:val="1"/>
      <w:marLeft w:val="0"/>
      <w:marRight w:val="0"/>
      <w:marTop w:val="0"/>
      <w:marBottom w:val="0"/>
      <w:divBdr>
        <w:top w:val="none" w:sz="0" w:space="0" w:color="auto"/>
        <w:left w:val="none" w:sz="0" w:space="0" w:color="auto"/>
        <w:bottom w:val="none" w:sz="0" w:space="0" w:color="auto"/>
        <w:right w:val="none" w:sz="0" w:space="0" w:color="auto"/>
      </w:divBdr>
    </w:div>
    <w:div w:id="1296567428">
      <w:bodyDiv w:val="1"/>
      <w:marLeft w:val="0"/>
      <w:marRight w:val="0"/>
      <w:marTop w:val="0"/>
      <w:marBottom w:val="0"/>
      <w:divBdr>
        <w:top w:val="none" w:sz="0" w:space="0" w:color="auto"/>
        <w:left w:val="none" w:sz="0" w:space="0" w:color="auto"/>
        <w:bottom w:val="none" w:sz="0" w:space="0" w:color="auto"/>
        <w:right w:val="none" w:sz="0" w:space="0" w:color="auto"/>
      </w:divBdr>
    </w:div>
    <w:div w:id="1363675783">
      <w:bodyDiv w:val="1"/>
      <w:marLeft w:val="0"/>
      <w:marRight w:val="0"/>
      <w:marTop w:val="0"/>
      <w:marBottom w:val="0"/>
      <w:divBdr>
        <w:top w:val="none" w:sz="0" w:space="0" w:color="auto"/>
        <w:left w:val="none" w:sz="0" w:space="0" w:color="auto"/>
        <w:bottom w:val="none" w:sz="0" w:space="0" w:color="auto"/>
        <w:right w:val="none" w:sz="0" w:space="0" w:color="auto"/>
      </w:divBdr>
    </w:div>
    <w:div w:id="1409307200">
      <w:bodyDiv w:val="1"/>
      <w:marLeft w:val="0"/>
      <w:marRight w:val="0"/>
      <w:marTop w:val="0"/>
      <w:marBottom w:val="0"/>
      <w:divBdr>
        <w:top w:val="none" w:sz="0" w:space="0" w:color="auto"/>
        <w:left w:val="none" w:sz="0" w:space="0" w:color="auto"/>
        <w:bottom w:val="none" w:sz="0" w:space="0" w:color="auto"/>
        <w:right w:val="none" w:sz="0" w:space="0" w:color="auto"/>
      </w:divBdr>
    </w:div>
    <w:div w:id="1420180208">
      <w:bodyDiv w:val="1"/>
      <w:marLeft w:val="0"/>
      <w:marRight w:val="0"/>
      <w:marTop w:val="0"/>
      <w:marBottom w:val="0"/>
      <w:divBdr>
        <w:top w:val="none" w:sz="0" w:space="0" w:color="auto"/>
        <w:left w:val="none" w:sz="0" w:space="0" w:color="auto"/>
        <w:bottom w:val="none" w:sz="0" w:space="0" w:color="auto"/>
        <w:right w:val="none" w:sz="0" w:space="0" w:color="auto"/>
      </w:divBdr>
    </w:div>
    <w:div w:id="1421945439">
      <w:bodyDiv w:val="1"/>
      <w:marLeft w:val="0"/>
      <w:marRight w:val="0"/>
      <w:marTop w:val="0"/>
      <w:marBottom w:val="0"/>
      <w:divBdr>
        <w:top w:val="none" w:sz="0" w:space="0" w:color="auto"/>
        <w:left w:val="none" w:sz="0" w:space="0" w:color="auto"/>
        <w:bottom w:val="none" w:sz="0" w:space="0" w:color="auto"/>
        <w:right w:val="none" w:sz="0" w:space="0" w:color="auto"/>
      </w:divBdr>
      <w:divsChild>
        <w:div w:id="1086075279">
          <w:marLeft w:val="0"/>
          <w:marRight w:val="0"/>
          <w:marTop w:val="0"/>
          <w:marBottom w:val="0"/>
          <w:divBdr>
            <w:top w:val="none" w:sz="0" w:space="0" w:color="auto"/>
            <w:left w:val="none" w:sz="0" w:space="0" w:color="auto"/>
            <w:bottom w:val="none" w:sz="0" w:space="0" w:color="auto"/>
            <w:right w:val="none" w:sz="0" w:space="0" w:color="auto"/>
          </w:divBdr>
        </w:div>
        <w:div w:id="1591503574">
          <w:marLeft w:val="0"/>
          <w:marRight w:val="0"/>
          <w:marTop w:val="0"/>
          <w:marBottom w:val="0"/>
          <w:divBdr>
            <w:top w:val="none" w:sz="0" w:space="0" w:color="auto"/>
            <w:left w:val="none" w:sz="0" w:space="0" w:color="auto"/>
            <w:bottom w:val="none" w:sz="0" w:space="0" w:color="auto"/>
            <w:right w:val="none" w:sz="0" w:space="0" w:color="auto"/>
          </w:divBdr>
        </w:div>
      </w:divsChild>
    </w:div>
    <w:div w:id="1486892275">
      <w:bodyDiv w:val="1"/>
      <w:marLeft w:val="0"/>
      <w:marRight w:val="0"/>
      <w:marTop w:val="0"/>
      <w:marBottom w:val="0"/>
      <w:divBdr>
        <w:top w:val="none" w:sz="0" w:space="0" w:color="auto"/>
        <w:left w:val="none" w:sz="0" w:space="0" w:color="auto"/>
        <w:bottom w:val="none" w:sz="0" w:space="0" w:color="auto"/>
        <w:right w:val="none" w:sz="0" w:space="0" w:color="auto"/>
      </w:divBdr>
    </w:div>
    <w:div w:id="1505902497">
      <w:bodyDiv w:val="1"/>
      <w:marLeft w:val="0"/>
      <w:marRight w:val="0"/>
      <w:marTop w:val="0"/>
      <w:marBottom w:val="0"/>
      <w:divBdr>
        <w:top w:val="none" w:sz="0" w:space="0" w:color="auto"/>
        <w:left w:val="none" w:sz="0" w:space="0" w:color="auto"/>
        <w:bottom w:val="none" w:sz="0" w:space="0" w:color="auto"/>
        <w:right w:val="none" w:sz="0" w:space="0" w:color="auto"/>
      </w:divBdr>
    </w:div>
    <w:div w:id="1536114207">
      <w:bodyDiv w:val="1"/>
      <w:marLeft w:val="0"/>
      <w:marRight w:val="0"/>
      <w:marTop w:val="0"/>
      <w:marBottom w:val="0"/>
      <w:divBdr>
        <w:top w:val="none" w:sz="0" w:space="0" w:color="auto"/>
        <w:left w:val="none" w:sz="0" w:space="0" w:color="auto"/>
        <w:bottom w:val="none" w:sz="0" w:space="0" w:color="auto"/>
        <w:right w:val="none" w:sz="0" w:space="0" w:color="auto"/>
      </w:divBdr>
    </w:div>
    <w:div w:id="1611663201">
      <w:bodyDiv w:val="1"/>
      <w:marLeft w:val="0"/>
      <w:marRight w:val="0"/>
      <w:marTop w:val="0"/>
      <w:marBottom w:val="0"/>
      <w:divBdr>
        <w:top w:val="none" w:sz="0" w:space="0" w:color="auto"/>
        <w:left w:val="none" w:sz="0" w:space="0" w:color="auto"/>
        <w:bottom w:val="none" w:sz="0" w:space="0" w:color="auto"/>
        <w:right w:val="none" w:sz="0" w:space="0" w:color="auto"/>
      </w:divBdr>
    </w:div>
    <w:div w:id="1650792862">
      <w:bodyDiv w:val="1"/>
      <w:marLeft w:val="0"/>
      <w:marRight w:val="0"/>
      <w:marTop w:val="0"/>
      <w:marBottom w:val="0"/>
      <w:divBdr>
        <w:top w:val="none" w:sz="0" w:space="0" w:color="auto"/>
        <w:left w:val="none" w:sz="0" w:space="0" w:color="auto"/>
        <w:bottom w:val="none" w:sz="0" w:space="0" w:color="auto"/>
        <w:right w:val="none" w:sz="0" w:space="0" w:color="auto"/>
      </w:divBdr>
    </w:div>
    <w:div w:id="1742867922">
      <w:bodyDiv w:val="1"/>
      <w:marLeft w:val="0"/>
      <w:marRight w:val="0"/>
      <w:marTop w:val="0"/>
      <w:marBottom w:val="0"/>
      <w:divBdr>
        <w:top w:val="none" w:sz="0" w:space="0" w:color="auto"/>
        <w:left w:val="none" w:sz="0" w:space="0" w:color="auto"/>
        <w:bottom w:val="none" w:sz="0" w:space="0" w:color="auto"/>
        <w:right w:val="none" w:sz="0" w:space="0" w:color="auto"/>
      </w:divBdr>
    </w:div>
    <w:div w:id="1745833769">
      <w:bodyDiv w:val="1"/>
      <w:marLeft w:val="0"/>
      <w:marRight w:val="0"/>
      <w:marTop w:val="0"/>
      <w:marBottom w:val="0"/>
      <w:divBdr>
        <w:top w:val="none" w:sz="0" w:space="0" w:color="auto"/>
        <w:left w:val="none" w:sz="0" w:space="0" w:color="auto"/>
        <w:bottom w:val="none" w:sz="0" w:space="0" w:color="auto"/>
        <w:right w:val="none" w:sz="0" w:space="0" w:color="auto"/>
      </w:divBdr>
      <w:divsChild>
        <w:div w:id="212620744">
          <w:marLeft w:val="0"/>
          <w:marRight w:val="0"/>
          <w:marTop w:val="0"/>
          <w:marBottom w:val="0"/>
          <w:divBdr>
            <w:top w:val="none" w:sz="0" w:space="0" w:color="auto"/>
            <w:left w:val="none" w:sz="0" w:space="0" w:color="auto"/>
            <w:bottom w:val="none" w:sz="0" w:space="0" w:color="auto"/>
            <w:right w:val="none" w:sz="0" w:space="0" w:color="auto"/>
          </w:divBdr>
        </w:div>
        <w:div w:id="1927877576">
          <w:marLeft w:val="0"/>
          <w:marRight w:val="0"/>
          <w:marTop w:val="0"/>
          <w:marBottom w:val="0"/>
          <w:divBdr>
            <w:top w:val="none" w:sz="0" w:space="0" w:color="auto"/>
            <w:left w:val="none" w:sz="0" w:space="0" w:color="auto"/>
            <w:bottom w:val="none" w:sz="0" w:space="0" w:color="auto"/>
            <w:right w:val="none" w:sz="0" w:space="0" w:color="auto"/>
          </w:divBdr>
        </w:div>
        <w:div w:id="2105101347">
          <w:marLeft w:val="0"/>
          <w:marRight w:val="0"/>
          <w:marTop w:val="0"/>
          <w:marBottom w:val="0"/>
          <w:divBdr>
            <w:top w:val="none" w:sz="0" w:space="0" w:color="auto"/>
            <w:left w:val="none" w:sz="0" w:space="0" w:color="auto"/>
            <w:bottom w:val="none" w:sz="0" w:space="0" w:color="auto"/>
            <w:right w:val="none" w:sz="0" w:space="0" w:color="auto"/>
          </w:divBdr>
        </w:div>
      </w:divsChild>
    </w:div>
    <w:div w:id="1768689403">
      <w:bodyDiv w:val="1"/>
      <w:marLeft w:val="0"/>
      <w:marRight w:val="0"/>
      <w:marTop w:val="0"/>
      <w:marBottom w:val="0"/>
      <w:divBdr>
        <w:top w:val="none" w:sz="0" w:space="0" w:color="auto"/>
        <w:left w:val="none" w:sz="0" w:space="0" w:color="auto"/>
        <w:bottom w:val="none" w:sz="0" w:space="0" w:color="auto"/>
        <w:right w:val="none" w:sz="0" w:space="0" w:color="auto"/>
      </w:divBdr>
    </w:div>
    <w:div w:id="1787888787">
      <w:bodyDiv w:val="1"/>
      <w:marLeft w:val="0"/>
      <w:marRight w:val="0"/>
      <w:marTop w:val="0"/>
      <w:marBottom w:val="0"/>
      <w:divBdr>
        <w:top w:val="none" w:sz="0" w:space="0" w:color="auto"/>
        <w:left w:val="none" w:sz="0" w:space="0" w:color="auto"/>
        <w:bottom w:val="none" w:sz="0" w:space="0" w:color="auto"/>
        <w:right w:val="none" w:sz="0" w:space="0" w:color="auto"/>
      </w:divBdr>
    </w:div>
    <w:div w:id="1819109027">
      <w:bodyDiv w:val="1"/>
      <w:marLeft w:val="0"/>
      <w:marRight w:val="0"/>
      <w:marTop w:val="0"/>
      <w:marBottom w:val="0"/>
      <w:divBdr>
        <w:top w:val="none" w:sz="0" w:space="0" w:color="auto"/>
        <w:left w:val="none" w:sz="0" w:space="0" w:color="auto"/>
        <w:bottom w:val="none" w:sz="0" w:space="0" w:color="auto"/>
        <w:right w:val="none" w:sz="0" w:space="0" w:color="auto"/>
      </w:divBdr>
    </w:div>
    <w:div w:id="1821923011">
      <w:bodyDiv w:val="1"/>
      <w:marLeft w:val="0"/>
      <w:marRight w:val="0"/>
      <w:marTop w:val="0"/>
      <w:marBottom w:val="0"/>
      <w:divBdr>
        <w:top w:val="none" w:sz="0" w:space="0" w:color="auto"/>
        <w:left w:val="none" w:sz="0" w:space="0" w:color="auto"/>
        <w:bottom w:val="none" w:sz="0" w:space="0" w:color="auto"/>
        <w:right w:val="none" w:sz="0" w:space="0" w:color="auto"/>
      </w:divBdr>
    </w:div>
    <w:div w:id="1834179907">
      <w:bodyDiv w:val="1"/>
      <w:marLeft w:val="0"/>
      <w:marRight w:val="0"/>
      <w:marTop w:val="0"/>
      <w:marBottom w:val="0"/>
      <w:divBdr>
        <w:top w:val="none" w:sz="0" w:space="0" w:color="auto"/>
        <w:left w:val="none" w:sz="0" w:space="0" w:color="auto"/>
        <w:bottom w:val="none" w:sz="0" w:space="0" w:color="auto"/>
        <w:right w:val="none" w:sz="0" w:space="0" w:color="auto"/>
      </w:divBdr>
    </w:div>
    <w:div w:id="1932159428">
      <w:bodyDiv w:val="1"/>
      <w:marLeft w:val="0"/>
      <w:marRight w:val="0"/>
      <w:marTop w:val="0"/>
      <w:marBottom w:val="0"/>
      <w:divBdr>
        <w:top w:val="none" w:sz="0" w:space="0" w:color="auto"/>
        <w:left w:val="none" w:sz="0" w:space="0" w:color="auto"/>
        <w:bottom w:val="none" w:sz="0" w:space="0" w:color="auto"/>
        <w:right w:val="none" w:sz="0" w:space="0" w:color="auto"/>
      </w:divBdr>
      <w:divsChild>
        <w:div w:id="1470319864">
          <w:marLeft w:val="0"/>
          <w:marRight w:val="0"/>
          <w:marTop w:val="0"/>
          <w:marBottom w:val="0"/>
          <w:divBdr>
            <w:top w:val="none" w:sz="0" w:space="0" w:color="auto"/>
            <w:left w:val="none" w:sz="0" w:space="0" w:color="auto"/>
            <w:bottom w:val="none" w:sz="0" w:space="0" w:color="auto"/>
            <w:right w:val="none" w:sz="0" w:space="0" w:color="auto"/>
          </w:divBdr>
          <w:divsChild>
            <w:div w:id="919216039">
              <w:marLeft w:val="0"/>
              <w:marRight w:val="0"/>
              <w:marTop w:val="0"/>
              <w:marBottom w:val="0"/>
              <w:divBdr>
                <w:top w:val="none" w:sz="0" w:space="0" w:color="auto"/>
                <w:left w:val="none" w:sz="0" w:space="0" w:color="auto"/>
                <w:bottom w:val="none" w:sz="0" w:space="0" w:color="auto"/>
                <w:right w:val="none" w:sz="0" w:space="0" w:color="auto"/>
              </w:divBdr>
            </w:div>
            <w:div w:id="1011642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4679595">
      <w:bodyDiv w:val="1"/>
      <w:marLeft w:val="0"/>
      <w:marRight w:val="0"/>
      <w:marTop w:val="0"/>
      <w:marBottom w:val="0"/>
      <w:divBdr>
        <w:top w:val="none" w:sz="0" w:space="0" w:color="auto"/>
        <w:left w:val="none" w:sz="0" w:space="0" w:color="auto"/>
        <w:bottom w:val="none" w:sz="0" w:space="0" w:color="auto"/>
        <w:right w:val="none" w:sz="0" w:space="0" w:color="auto"/>
      </w:divBdr>
    </w:div>
    <w:div w:id="1986933887">
      <w:bodyDiv w:val="1"/>
      <w:marLeft w:val="0"/>
      <w:marRight w:val="0"/>
      <w:marTop w:val="0"/>
      <w:marBottom w:val="0"/>
      <w:divBdr>
        <w:top w:val="none" w:sz="0" w:space="0" w:color="auto"/>
        <w:left w:val="none" w:sz="0" w:space="0" w:color="auto"/>
        <w:bottom w:val="none" w:sz="0" w:space="0" w:color="auto"/>
        <w:right w:val="none" w:sz="0" w:space="0" w:color="auto"/>
      </w:divBdr>
      <w:divsChild>
        <w:div w:id="476343834">
          <w:marLeft w:val="446"/>
          <w:marRight w:val="0"/>
          <w:marTop w:val="0"/>
          <w:marBottom w:val="0"/>
          <w:divBdr>
            <w:top w:val="none" w:sz="0" w:space="0" w:color="auto"/>
            <w:left w:val="none" w:sz="0" w:space="0" w:color="auto"/>
            <w:bottom w:val="none" w:sz="0" w:space="0" w:color="auto"/>
            <w:right w:val="none" w:sz="0" w:space="0" w:color="auto"/>
          </w:divBdr>
        </w:div>
        <w:div w:id="691809454">
          <w:marLeft w:val="446"/>
          <w:marRight w:val="0"/>
          <w:marTop w:val="0"/>
          <w:marBottom w:val="0"/>
          <w:divBdr>
            <w:top w:val="none" w:sz="0" w:space="0" w:color="auto"/>
            <w:left w:val="none" w:sz="0" w:space="0" w:color="auto"/>
            <w:bottom w:val="none" w:sz="0" w:space="0" w:color="auto"/>
            <w:right w:val="none" w:sz="0" w:space="0" w:color="auto"/>
          </w:divBdr>
        </w:div>
        <w:div w:id="881132701">
          <w:marLeft w:val="446"/>
          <w:marRight w:val="0"/>
          <w:marTop w:val="0"/>
          <w:marBottom w:val="0"/>
          <w:divBdr>
            <w:top w:val="none" w:sz="0" w:space="0" w:color="auto"/>
            <w:left w:val="none" w:sz="0" w:space="0" w:color="auto"/>
            <w:bottom w:val="none" w:sz="0" w:space="0" w:color="auto"/>
            <w:right w:val="none" w:sz="0" w:space="0" w:color="auto"/>
          </w:divBdr>
        </w:div>
        <w:div w:id="1504274527">
          <w:marLeft w:val="446"/>
          <w:marRight w:val="0"/>
          <w:marTop w:val="0"/>
          <w:marBottom w:val="0"/>
          <w:divBdr>
            <w:top w:val="none" w:sz="0" w:space="0" w:color="auto"/>
            <w:left w:val="none" w:sz="0" w:space="0" w:color="auto"/>
            <w:bottom w:val="none" w:sz="0" w:space="0" w:color="auto"/>
            <w:right w:val="none" w:sz="0" w:space="0" w:color="auto"/>
          </w:divBdr>
        </w:div>
        <w:div w:id="1645350804">
          <w:marLeft w:val="446"/>
          <w:marRight w:val="0"/>
          <w:marTop w:val="0"/>
          <w:marBottom w:val="0"/>
          <w:divBdr>
            <w:top w:val="none" w:sz="0" w:space="0" w:color="auto"/>
            <w:left w:val="none" w:sz="0" w:space="0" w:color="auto"/>
            <w:bottom w:val="none" w:sz="0" w:space="0" w:color="auto"/>
            <w:right w:val="none" w:sz="0" w:space="0" w:color="auto"/>
          </w:divBdr>
        </w:div>
        <w:div w:id="1972974573">
          <w:marLeft w:val="446"/>
          <w:marRight w:val="0"/>
          <w:marTop w:val="0"/>
          <w:marBottom w:val="0"/>
          <w:divBdr>
            <w:top w:val="none" w:sz="0" w:space="0" w:color="auto"/>
            <w:left w:val="none" w:sz="0" w:space="0" w:color="auto"/>
            <w:bottom w:val="none" w:sz="0" w:space="0" w:color="auto"/>
            <w:right w:val="none" w:sz="0" w:space="0" w:color="auto"/>
          </w:divBdr>
        </w:div>
        <w:div w:id="1991639931">
          <w:marLeft w:val="446"/>
          <w:marRight w:val="0"/>
          <w:marTop w:val="0"/>
          <w:marBottom w:val="0"/>
          <w:divBdr>
            <w:top w:val="none" w:sz="0" w:space="0" w:color="auto"/>
            <w:left w:val="none" w:sz="0" w:space="0" w:color="auto"/>
            <w:bottom w:val="none" w:sz="0" w:space="0" w:color="auto"/>
            <w:right w:val="none" w:sz="0" w:space="0" w:color="auto"/>
          </w:divBdr>
        </w:div>
      </w:divsChild>
    </w:div>
    <w:div w:id="1998145054">
      <w:bodyDiv w:val="1"/>
      <w:marLeft w:val="0"/>
      <w:marRight w:val="0"/>
      <w:marTop w:val="0"/>
      <w:marBottom w:val="0"/>
      <w:divBdr>
        <w:top w:val="none" w:sz="0" w:space="0" w:color="auto"/>
        <w:left w:val="none" w:sz="0" w:space="0" w:color="auto"/>
        <w:bottom w:val="none" w:sz="0" w:space="0" w:color="auto"/>
        <w:right w:val="none" w:sz="0" w:space="0" w:color="auto"/>
      </w:divBdr>
    </w:div>
    <w:div w:id="2018537409">
      <w:bodyDiv w:val="1"/>
      <w:marLeft w:val="0"/>
      <w:marRight w:val="0"/>
      <w:marTop w:val="0"/>
      <w:marBottom w:val="0"/>
      <w:divBdr>
        <w:top w:val="none" w:sz="0" w:space="0" w:color="auto"/>
        <w:left w:val="none" w:sz="0" w:space="0" w:color="auto"/>
        <w:bottom w:val="none" w:sz="0" w:space="0" w:color="auto"/>
        <w:right w:val="none" w:sz="0" w:space="0" w:color="auto"/>
      </w:divBdr>
    </w:div>
    <w:div w:id="2043049244">
      <w:bodyDiv w:val="1"/>
      <w:marLeft w:val="0"/>
      <w:marRight w:val="0"/>
      <w:marTop w:val="0"/>
      <w:marBottom w:val="0"/>
      <w:divBdr>
        <w:top w:val="none" w:sz="0" w:space="0" w:color="auto"/>
        <w:left w:val="none" w:sz="0" w:space="0" w:color="auto"/>
        <w:bottom w:val="none" w:sz="0" w:space="0" w:color="auto"/>
        <w:right w:val="none" w:sz="0" w:space="0" w:color="auto"/>
      </w:divBdr>
      <w:divsChild>
        <w:div w:id="1487625449">
          <w:marLeft w:val="0"/>
          <w:marRight w:val="0"/>
          <w:marTop w:val="0"/>
          <w:marBottom w:val="0"/>
          <w:divBdr>
            <w:top w:val="none" w:sz="0" w:space="0" w:color="auto"/>
            <w:left w:val="none" w:sz="0" w:space="0" w:color="auto"/>
            <w:bottom w:val="none" w:sz="0" w:space="0" w:color="auto"/>
            <w:right w:val="none" w:sz="0" w:space="0" w:color="auto"/>
          </w:divBdr>
          <w:divsChild>
            <w:div w:id="245960870">
              <w:marLeft w:val="0"/>
              <w:marRight w:val="0"/>
              <w:marTop w:val="0"/>
              <w:marBottom w:val="0"/>
              <w:divBdr>
                <w:top w:val="none" w:sz="0" w:space="0" w:color="auto"/>
                <w:left w:val="none" w:sz="0" w:space="0" w:color="auto"/>
                <w:bottom w:val="none" w:sz="0" w:space="0" w:color="auto"/>
                <w:right w:val="none" w:sz="0" w:space="0" w:color="auto"/>
              </w:divBdr>
            </w:div>
            <w:div w:id="412972503">
              <w:marLeft w:val="0"/>
              <w:marRight w:val="0"/>
              <w:marTop w:val="0"/>
              <w:marBottom w:val="0"/>
              <w:divBdr>
                <w:top w:val="none" w:sz="0" w:space="0" w:color="auto"/>
                <w:left w:val="none" w:sz="0" w:space="0" w:color="auto"/>
                <w:bottom w:val="none" w:sz="0" w:space="0" w:color="auto"/>
                <w:right w:val="none" w:sz="0" w:space="0" w:color="auto"/>
              </w:divBdr>
            </w:div>
            <w:div w:id="480930455">
              <w:marLeft w:val="0"/>
              <w:marRight w:val="0"/>
              <w:marTop w:val="0"/>
              <w:marBottom w:val="0"/>
              <w:divBdr>
                <w:top w:val="none" w:sz="0" w:space="0" w:color="auto"/>
                <w:left w:val="none" w:sz="0" w:space="0" w:color="auto"/>
                <w:bottom w:val="none" w:sz="0" w:space="0" w:color="auto"/>
                <w:right w:val="none" w:sz="0" w:space="0" w:color="auto"/>
              </w:divBdr>
            </w:div>
            <w:div w:id="1010448987">
              <w:marLeft w:val="0"/>
              <w:marRight w:val="0"/>
              <w:marTop w:val="0"/>
              <w:marBottom w:val="0"/>
              <w:divBdr>
                <w:top w:val="none" w:sz="0" w:space="0" w:color="auto"/>
                <w:left w:val="none" w:sz="0" w:space="0" w:color="auto"/>
                <w:bottom w:val="none" w:sz="0" w:space="0" w:color="auto"/>
                <w:right w:val="none" w:sz="0" w:space="0" w:color="auto"/>
              </w:divBdr>
            </w:div>
            <w:div w:id="1070546102">
              <w:marLeft w:val="0"/>
              <w:marRight w:val="0"/>
              <w:marTop w:val="0"/>
              <w:marBottom w:val="0"/>
              <w:divBdr>
                <w:top w:val="none" w:sz="0" w:space="0" w:color="auto"/>
                <w:left w:val="none" w:sz="0" w:space="0" w:color="auto"/>
                <w:bottom w:val="none" w:sz="0" w:space="0" w:color="auto"/>
                <w:right w:val="none" w:sz="0" w:space="0" w:color="auto"/>
              </w:divBdr>
            </w:div>
            <w:div w:id="1240209585">
              <w:marLeft w:val="0"/>
              <w:marRight w:val="0"/>
              <w:marTop w:val="0"/>
              <w:marBottom w:val="0"/>
              <w:divBdr>
                <w:top w:val="none" w:sz="0" w:space="0" w:color="auto"/>
                <w:left w:val="none" w:sz="0" w:space="0" w:color="auto"/>
                <w:bottom w:val="none" w:sz="0" w:space="0" w:color="auto"/>
                <w:right w:val="none" w:sz="0" w:space="0" w:color="auto"/>
              </w:divBdr>
            </w:div>
            <w:div w:id="1243442670">
              <w:marLeft w:val="0"/>
              <w:marRight w:val="0"/>
              <w:marTop w:val="0"/>
              <w:marBottom w:val="0"/>
              <w:divBdr>
                <w:top w:val="none" w:sz="0" w:space="0" w:color="auto"/>
                <w:left w:val="none" w:sz="0" w:space="0" w:color="auto"/>
                <w:bottom w:val="none" w:sz="0" w:space="0" w:color="auto"/>
                <w:right w:val="none" w:sz="0" w:space="0" w:color="auto"/>
              </w:divBdr>
            </w:div>
            <w:div w:id="1856116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notes" Target="foot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header" Target="header3.xml"/>
  <Relationship Id="rId14" Type="http://schemas.openxmlformats.org/officeDocument/2006/relationships/hyperlink" TargetMode="External" Target="http://eur-lex.europa.eu/legal-content/LIT/TXT/?uri=CELEX:31995L0046&amp;locale=lt"/>
  <Relationship Id="rId15" Type="http://schemas.openxmlformats.org/officeDocument/2006/relationships/hyperlink" TargetMode="External" Target="http://eur-lex.europa.eu/legal-content/LIT/TXT/?uri=CELEX:31995R2988&amp;locale=lt"/>
  <Relationship Id="rId16" Type="http://schemas.openxmlformats.org/officeDocument/2006/relationships/hyperlink" TargetMode="External" Target="http://eur-lex.europa.eu/legal-content/LIT/TXT/?uri=CELEX:32010R0912&amp;locale=lt"/>
  <Relationship Id="rId17" Type="http://schemas.openxmlformats.org/officeDocument/2006/relationships/hyperlink" TargetMode="External" Target="http://eur-lex.europa.eu/legal-content/LIT/TXT/?uri=CELEX:32013R1285&amp;locale=lt"/>
  <Relationship Id="rId18" Type="http://schemas.openxmlformats.org/officeDocument/2006/relationships/hyperlink" TargetMode="External" Target="http://eur-lex.europa.eu/legal-content/LIT/TXT/?uri=CELEX:32014D0541&amp;locale=lt"/>
  <Relationship Id="rId19" Type="http://schemas.openxmlformats.org/officeDocument/2006/relationships/hyperlink" TargetMode="External" Target="http://eur-lex.europa.eu/legal-content/LIT/TXT/?uri=CELEX:32014R0377&amp;locale=lt"/>
  <Relationship Id="rId2" Type="http://schemas.openxmlformats.org/officeDocument/2006/relationships/customXml" Target="../customXml/item2.xml"/>
  <Relationship Id="rId20" Type="http://schemas.openxmlformats.org/officeDocument/2006/relationships/hyperlink" TargetMode="External" Target="http://eur-lex.europa.eu/legal-content/LIT/TXT/?uri=CELEX:32016R0679&amp;locale=lt"/>
  <Relationship Id="rId21" Type="http://schemas.openxmlformats.org/officeDocument/2006/relationships/hyperlink" TargetMode="External" Target="http://eur-lex.europa.eu/legal-content/LIT/TXT/?uri=CELEX:32018R1092&amp;locale=lt"/>
  <Relationship Id="rId22" Type="http://schemas.openxmlformats.org/officeDocument/2006/relationships/hyperlink" TargetMode="External" Target="http://eur-lex.europa.eu/legal-content/LIT/TXT/?uri=CELEX:32021R0696&amp;locale=lt"/>
  <Relationship Id="rId23" Type="http://schemas.openxmlformats.org/officeDocument/2006/relationships/hyperlink" TargetMode="External" Target="http://eur-lex.europa.eu/legal-content/LIT/TXT/?uri=CELEX:32021R0697&amp;locale=lt"/>
  <Relationship Id="rId24" Type="http://schemas.openxmlformats.org/officeDocument/2006/relationships/settings" Target="settings.xml"/>
  <Relationship Id="rId25" Type="http://schemas.openxmlformats.org/officeDocument/2006/relationships/styles" Target="styles.xml"/>
  <Relationship Id="rId26" Type="http://schemas.openxmlformats.org/officeDocument/2006/relationships/theme" Target="theme/theme1.xml"/>
  <Relationship Id="rId27" Type="http://schemas.openxmlformats.org/officeDocument/2006/relationships/webSettings" Target="webSettings.xml"/>
  <Relationship Id="rId28" Type="http://schemas.openxmlformats.org/officeDocument/2006/relationships/image" Target="media/image1.png"/>
  <Relationship Id="rId29" Type="http://schemas.openxmlformats.org/officeDocument/2006/relationships/header" Target="header16.xml"/>
  <Relationship Id="rId3" Type="http://schemas.openxmlformats.org/officeDocument/2006/relationships/customXml" Target="../customXml/item3.xml"/>
  <Relationship Id="rId30" Type="http://schemas.openxmlformats.org/officeDocument/2006/relationships/header" Target="header17.xml"/>
  <Relationship Id="rId31" Type="http://schemas.openxmlformats.org/officeDocument/2006/relationships/footer" Target="footer16.xml"/>
  <Relationship Id="rId32" Type="http://schemas.openxmlformats.org/officeDocument/2006/relationships/footer" Target="footer17.xml"/>
  <Relationship Id="rId33" Type="http://schemas.openxmlformats.org/officeDocument/2006/relationships/header" Target="header18.xml"/>
  <Relationship Id="rId34" Type="http://schemas.openxmlformats.org/officeDocument/2006/relationships/footer" Target="footer18.xml"/>
  <Relationship Id="rId35" Type="http://schemas.openxmlformats.org/officeDocument/2006/relationships/hyperlink" TargetMode="External" Target="http://eur-lex.europa.eu/legal-content/LIT/TXT/?uri=CELEX:31995R2988&amp;locale=lt"/>
  <Relationship Id="rId36" Type="http://schemas.openxmlformats.org/officeDocument/2006/relationships/hyperlink" TargetMode="External" Target="http://eur-lex.europa.eu/legal-content/LIT/TXT/?uri=CELEX:32021R0697&amp;locale=lt"/>
  <Relationship Id="rId37" Type="http://schemas.openxmlformats.org/officeDocument/2006/relationships/hyperlink" TargetMode="External" Target="http://eur-lex.europa.eu/legal-content/LIT/TXT/?uri=CELEX:32018R1092&amp;locale=lt"/>
  <Relationship Id="rId38" Type="http://schemas.openxmlformats.org/officeDocument/2006/relationships/hyperlink" TargetMode="External" Target="http://eur-lex.europa.eu/legal-content/LIT/TXT/?uri=CELEX:32021R0696&amp;locale=lt"/>
  <Relationship Id="rId39" Type="http://schemas.openxmlformats.org/officeDocument/2006/relationships/hyperlink" TargetMode="External" Target="http://eur-lex.europa.eu/legal-content/LIT/TXT/?uri=CELEX:32010R0912&amp;locale=lt"/>
  <Relationship Id="rId4" Type="http://schemas.openxmlformats.org/officeDocument/2006/relationships/customXml" Target="../customXml/item4.xml"/>
  <Relationship Id="rId40" Type="http://schemas.openxmlformats.org/officeDocument/2006/relationships/hyperlink" TargetMode="External" Target="http://eur-lex.europa.eu/legal-content/LIT/TXT/?uri=CELEX:32013R1285&amp;locale=lt"/>
  <Relationship Id="rId41" Type="http://schemas.openxmlformats.org/officeDocument/2006/relationships/hyperlink" TargetMode="External" Target="http://eur-lex.europa.eu/legal-content/LIT/TXT/?uri=CELEX:32014R0377&amp;locale=lt"/>
  <Relationship Id="rId42" Type="http://schemas.openxmlformats.org/officeDocument/2006/relationships/hyperlink" TargetMode="External" Target="http://eur-lex.europa.eu/legal-content/LIT/TXT/?uri=CELEX:32014D0541&amp;locale=lt"/>
  <Relationship Id="rId43" Type="http://schemas.openxmlformats.org/officeDocument/2006/relationships/hyperlink" TargetMode="External" Target="http://eur-lex.europa.eu/legal-content/LIT/TXT/?uri=CELEX:32016R0679&amp;locale=lt"/>
  <Relationship Id="rId44" Type="http://schemas.openxmlformats.org/officeDocument/2006/relationships/hyperlink" TargetMode="External" Target="http://eur-lex.europa.eu/legal-content/LIT/TXT/?uri=CELEX:31995L0046&amp;locale=lt"/>
  <Relationship Id="rId45" Type="http://schemas.openxmlformats.org/officeDocument/2006/relationships/hyperlink" TargetMode="External" Target="http://eur-lex.europa.eu/legal-content/LIT/TXT/?uri=CELEX:32016R0679&amp;locale=lt"/>
  <Relationship Id="rId46" Type="http://schemas.openxmlformats.org/officeDocument/2006/relationships/customXml" Target="../customXml/item5.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footer" Target="footer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CD445A46-BD0F-42E5-BBD9-CB6430D5E137}"/>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Segoe UI">
    <w:panose1 w:val="020B0502040204020203"/>
    <w:charset w:val="BA"/>
    <w:family w:val="swiss"/>
    <w:pitch w:val="variable"/>
    <w:sig w:usb0="E4002EFF" w:usb1="C000E47F"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44E5"/>
    <w:rsid w:val="006A44E5"/>
    <w:rsid w:val="00ED32F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A44E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_activity xmlns="93450c72-af26-4b93-beb7-39063a758afb" xmlns:xsi="http://www.w3.org/2001/XMLSchema-instance"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kumentas" ma:contentTypeID="0x0101003B9E11C85C35DE4A888BB78DEFE0E631" ma:contentTypeVersion="13" ma:contentTypeDescription="Kurkite naują dokumentą." ma:contentTypeScope="" ma:versionID="d303908024ec36aa66345472cb7afd9b">
  <xsd:schema xmlns:xsd="http://www.w3.org/2001/XMLSchema" xmlns:ns3="93450c72-af26-4b93-beb7-39063a758afb" targetNamespace="http://schemas.microsoft.com/office/2006/metadata/properties" ma:root="true" ma:fieldsID="8b6a182a27061ac714fd6e3a11f6f946" ns3:_="">
    <xsd:import namespace="93450c72-af26-4b93-beb7-39063a758afb"/>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_activity" minOccurs="0"/>
                <xsd:element ref="ns3:MediaServiceLocation"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targetNamespace="93450c72-af26-4b93-beb7-39063a758af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_activity" ma:index="16" nillable="true" ma:displayName="_activity" ma:hidden="true" ma:internalName="_activity">
      <xsd:simpleType>
        <xsd:restriction base="dms:Note"/>
      </xsd:simpleType>
    </xsd:element>
    <xsd:element name="MediaServiceLocation" ma:index="17" nillable="true" ma:displayName="Location" ma:indexed="true" ma:internalName="MediaServiceLocation"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ystemTags" ma:index="19" nillable="true" ma:displayName="MediaServiceSystemTags" ma:hidden="true" ma:internalName="MediaServiceSystemTags" ma:readOnly="true">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arts xmlns="http://lrs.lt/TAIS/DocParts">
  <Part Type="pagrindine" DocPartId="97f78576f97d49e7bac229626f684e71" PartId="cf9339e1fcdd4600bd575a794d380849">
    <Part Type="preambule" DocPartId="cc6c0a0157064fa6a390c06af021da23" PartId="f3ee1628b38f47d4a0a9c26e37f198f2"/>
    <Part Type="pastraipa" DocPartId="452e85f74ec64e0b8562ed0d1f4f5435" PartId="4a18155f871e4fbc8801ec7827b9b16d"/>
    <Part Type="signatura" DocPartId="bad849bd97c24eb2aa6950c592be1782" PartId="a00874524f75410f8791a74f9032e582"/>
  </Part>
  <Part Type="patvirtinta" Title="SKATINAMOSIOS FINANSINĖS PRIEMONĖS „MILIJARDAS VERSLUI“ SCHEMA" DocPartId="6d312216d1d04033915c239d5dde1be7" PartId="23e3d235b5cf4d308f05d8c621b2f040">
    <Part Type="pabaiga" DocPartId="28653e7123b94ad9be92f00aa7041497" PartId="c631926887ae44cbad0069f7b99ab57a"/>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C033EC02-D462-492B-AF4C-254B769F96B7}">
  <ds:schemaRefs>
    <ds:schemaRef ds:uri="http://schemas.microsoft.com/office/2006/metadata/properties"/>
    <ds:schemaRef ds:uri="93450c72-af26-4b93-beb7-39063a758afb"/>
  </ds:schemaRefs>
</ds:datastoreItem>
</file>

<file path=customXml/itemProps2.xml><?xml version="1.0" encoding="utf-8"?>
<ds:datastoreItem xmlns:ds="http://schemas.openxmlformats.org/officeDocument/2006/customXml" ds:itemID="{77F42E27-4BC3-40FC-9052-773C7468AF69}">
  <ds:schemaRefs>
    <ds:schemaRef ds:uri="http://schemas.microsoft.com/sharepoint/v3/contenttype/forms"/>
  </ds:schemaRefs>
</ds:datastoreItem>
</file>

<file path=customXml/itemProps3.xml><?xml version="1.0" encoding="utf-8"?>
<ds:datastoreItem xmlns:ds="http://schemas.openxmlformats.org/officeDocument/2006/customXml" ds:itemID="{696E4287-91A7-4ED9-9C20-2FF336A04640}">
  <ds:schemaRefs>
    <ds:schemaRef ds:uri="http://schemas.openxmlformats.org/officeDocument/2006/bibliography"/>
  </ds:schemaRefs>
</ds:datastoreItem>
</file>

<file path=customXml/itemProps4.xml><?xml version="1.0" encoding="utf-8"?>
<ds:datastoreItem xmlns:ds="http://schemas.openxmlformats.org/officeDocument/2006/customXml" ds:itemID="{ECFE8C5C-3C27-498A-8283-F86A6375FF35}">
  <ds:schemaRefs>
    <ds:schemaRef ds:uri="http://schemas.microsoft.com/office/2006/metadata/contentType"/>
    <ds:schemaRef ds:uri="http://schemas.microsoft.com/office/2006/metadata/properties/metaAttributes"/>
    <ds:schemaRef ds:uri="http://www.w3.org/2001/XMLSchema"/>
    <ds:schemaRef ds:uri="93450c72-af26-4b93-beb7-39063a758afb"/>
  </ds:schemaRefs>
</ds:datastoreItem>
</file>

<file path=customXml/itemProps5.xml><?xml version="1.0" encoding="utf-8"?>
<ds:datastoreItem xmlns:ds="http://schemas.openxmlformats.org/officeDocument/2006/customXml" ds:itemID="{3B66EB72-3F6E-45B1-A860-815B48731C2F}">
  <ds:schemaRefs>
    <ds:schemaRef ds:uri="http://lrs.lt/TAIS/DocParts"/>
  </ds:schemaRefs>
</ds:datastoreItem>
</file>

<file path=customXml/itemProps6.xml><?xml version="1.0" encoding="utf-8"?>
<ds:datastoreItem xmlns:ds="http://schemas.openxmlformats.org/officeDocument/2006/customXml" ds:itemID="{ECF8D06E-FCC2-45C9-9D21-91CDB3556239}">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59</TotalTime>
  <Pages>28</Pages>
  <Words>51615</Words>
  <Characters>29422</Characters>
  <Application>Microsoft Office Word</Application>
  <DocSecurity>0</DocSecurity>
  <Lines>245</Lines>
  <Paragraphs>161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KPC</Company>
  <LinksUpToDate>false</LinksUpToDate>
  <CharactersWithSpaces>80876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2024-04-26T07:53:00Z</dcterms:created>
  <dc:creator>Maciulyte Rasa</dc:creator>
  <lastModifiedBy>GUMBYTĖ Danguolė</lastModifiedBy>
  <lastPrinted>2024-01-31T08:46:00Z</lastPrinted>
  <dcterms:modified xsi:type="dcterms:W3CDTF">2026-05-08T06:28:00Z</dcterms:modified>
  <revision>16</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0x0101003B9E11C85C35DE4A888BB78DEFE0E631</vt:lpwstr>
  </property>
  <property fmtid="{D5CDD505-2E9C-101B-9397-08002B2CF9AE}" pid="3" name="MediaServiceImageTags">
    <vt:lpwstr xmlns:vt="http://schemas.openxmlformats.org/officeDocument/2006/docPropsVTypes"/>
  </property>
</Properties>
</file>