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f364810f1b14418b37c482c90c17830"/>
        <w:lock w:val="sdtLocked"/>
        <w:richText/>
      </w:sdtPr>
      <w:sdtContent>
        <w:p>
          <w:pPr>
            <w:jc w:val="both"/>
            <w:rPr>
              <w:rFonts w:ascii="Times New Roman" w:hAnsi="Times New Roman"/>
            </w:rPr>
          </w:pPr>
          <w:r>
            <w:rPr>
              <w:rFonts w:ascii="Times New Roman" w:hAnsi="Times New Roman"/>
              <w:b/>
              <w:i/>
            </w:rPr>
            <w:t>Suvestinė redakcija nuo 2024-01-24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2017-04-07, i. k. 2017-06015</w:t>
          </w:r>
        </w:p>
        <w:p>
          <w:pPr>
            <w:jc w:val="both"/>
            <w:rPr>
              <w:rFonts w:ascii="Times New Roman" w:hAnsi="Times New Roman"/>
              <w:sz w:val="20"/>
            </w:rPr>
          </w:pPr>
        </w:p>
        <w:p>
          <w:pPr>
            <w:tabs>
              <w:tab w:val="center" w:pos="4819"/>
              <w:tab w:val="right" w:pos="9638"/>
            </w:tabs>
            <w:jc w:val="center"/>
          </w:pPr>
        </w:p>
        <w:p>
          <w:pPr>
            <w:tabs>
              <w:tab w:val="center" w:pos="4819"/>
              <w:tab w:val="right" w:pos="9638"/>
            </w:tabs>
            <w:jc w:val="center"/>
          </w:pPr>
        </w:p>
        <w:p>
          <w:pPr>
            <w:tabs>
              <w:tab w:val="center" w:pos="4819"/>
              <w:tab w:val="right" w:pos="9638"/>
            </w:tabs>
            <w:jc w:val="center"/>
            <w:rPr>
              <w:rFonts w:ascii="TimesLT" w:hAnsi="TimesLT"/>
              <w:sz w:val="20"/>
              <w:lang w:val="pt-BR"/>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rPr>
              <w:szCs w:val="24"/>
            </w:rPr>
          </w:pPr>
          <w:r>
            <w:rPr>
              <w:b/>
              <w:szCs w:val="24"/>
              <w:lang w:val="pt-BR"/>
            </w:rPr>
            <w:t xml:space="preserve">LIETUVOS RESPUBLIKOS </w:t>
          </w: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SOCIALINIŲ PASLAUGŲ SRITIES DARBUOTOJŲ VEIKLOS VERTINIMO TVARKOS APRAŠO PATVIRTINIMO</w:t>
          </w:r>
        </w:p>
        <w:p>
          <w:pPr>
            <w:jc w:val="center"/>
            <w:rPr>
              <w:b/>
              <w:caps/>
              <w:szCs w:val="24"/>
            </w:rPr>
          </w:pPr>
        </w:p>
        <w:p>
          <w:pPr>
            <w:jc w:val="center"/>
            <w:rPr>
              <w:szCs w:val="24"/>
            </w:rPr>
          </w:pPr>
          <w:r>
            <w:rPr>
              <w:szCs w:val="24"/>
            </w:rPr>
            <w:t>2017 m. kovo 29 d. Nr. A1-158</w:t>
          </w:r>
        </w:p>
        <w:p>
          <w:pPr>
            <w:jc w:val="center"/>
            <w:rPr>
              <w:szCs w:val="24"/>
            </w:rPr>
          </w:pPr>
          <w:r>
            <w:rPr>
              <w:szCs w:val="24"/>
            </w:rPr>
            <w:t>Vilnius</w:t>
          </w:r>
        </w:p>
        <w:p>
          <w:pPr>
            <w:rPr>
              <w:szCs w:val="24"/>
            </w:rPr>
          </w:pPr>
        </w:p>
        <w:p>
          <w:pPr>
            <w:rPr>
              <w:szCs w:val="24"/>
            </w:rPr>
          </w:pPr>
        </w:p>
        <w:sdt>
          <w:sdtPr>
            <w:alias w:val="preambule"/>
            <w:tag w:val="part_9f6520b130eb4fefa06c75f1c1ef81ba"/>
            <w:lock w:val="sdtLocked"/>
            <w:richText/>
          </w:sdtPr>
          <w:sdtContent>
            <w:p>
              <w:pPr>
                <w:spacing w:line="360" w:lineRule="atLeast"/>
                <w:ind w:firstLine="1276"/>
                <w:jc w:val="both"/>
                <w:rPr>
                  <w:szCs w:val="24"/>
                </w:rPr>
              </w:pPr>
              <w:r>
                <w:rPr>
                  <w:color w:val="000000"/>
                  <w:szCs w:val="24"/>
                  <w:lang w:eastAsia="lt-LT"/>
                </w:rPr>
                <w:t>Vadovaudamasis Lietuvos Respublikos biudžetinių įstaigų darbuotojų darbo apmokėjimo ir komisijų narių atlygio už darbą įstatymo 9 straipsnio 2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798ef0d73e11ec8d9390588bf2de65">
                <w:r w:rsidRPr="00532B9F">
                  <w:rPr>
                    <w:rFonts w:ascii="Times New Roman" w:eastAsia="MS Mincho" w:hAnsi="Times New Roman"/>
                    <w:sz w:val="20"/>
                    <w:i/>
                    <w:iCs/>
                    <w:color w:val="0000FF" w:themeColor="hyperlink"/>
                    <w:u w:val="single"/>
                  </w:rPr>
                  <w:t>A1-358</w:t>
                </w:r>
              </w:fldSimple>
              <w:r>
                <w:rPr>
                  <w:rFonts w:ascii="Times New Roman" w:eastAsia="MS Mincho" w:hAnsi="Times New Roman"/>
                  <w:sz w:val="20"/>
                  <w:i/>
                  <w:iCs/>
                </w:rPr>
                <w:t>,
2022-05-19,
paskelbta TAR 2022-05-19, i. k. 2022-10548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78adb0b9d211eea5a28c81c82193a8">
                <w:r w:rsidRPr="00532B9F">
                  <w:rPr>
                    <w:rFonts w:ascii="Times New Roman" w:eastAsia="MS Mincho" w:hAnsi="Times New Roman"/>
                    <w:sz w:val="20"/>
                    <w:i/>
                    <w:iCs/>
                    <w:color w:val="0000FF" w:themeColor="hyperlink"/>
                    <w:u w:val="single"/>
                  </w:rPr>
                  <w:t>A1-62</w:t>
                </w:r>
              </w:fldSimple>
              <w:r>
                <w:rPr>
                  <w:rFonts w:ascii="Times New Roman" w:eastAsia="MS Mincho" w:hAnsi="Times New Roman"/>
                  <w:sz w:val="20"/>
                  <w:i/>
                  <w:iCs/>
                </w:rPr>
                <w:t>,
2024-01-23,
paskelbta TAR 2024-01-23, i. k. 2024-01041            </w:t>
              </w:r>
            </w:p>
            <w:p/>
          </w:sdtContent>
        </w:sdt>
        <w:sdt>
          <w:sdtPr>
            <w:alias w:val="pastraipa"/>
            <w:tag w:val="part_21bdfa43b58e40ea9c9b3d64dff7f1bb"/>
            <w:lock w:val="sdtLocked"/>
            <w:richText/>
          </w:sdtPr>
          <w:sdtContent>
            <w:p>
              <w:pPr>
                <w:tabs>
                  <w:tab w:val="left" w:pos="1701"/>
                </w:tabs>
                <w:ind w:firstLine="1296"/>
                <w:jc w:val="both"/>
                <w:rPr>
                  <w:szCs w:val="24"/>
                </w:rPr>
              </w:pPr>
              <w:r>
                <w:rPr>
                  <w:szCs w:val="24"/>
                </w:rPr>
                <w:t>t v i r t i n u Socialinių paslaugų srities darbuotojų veiklos vertinimo tvarkos aprašą (pridedama).</w:t>
              </w:r>
            </w:p>
          </w:sdtContent>
        </w:sdt>
        <w:sdt>
          <w:sdtPr>
            <w:alias w:val="preambule"/>
            <w:tag w:val="part_c37cff1594594c66a86c76abcf653eb0"/>
            <w:lock w:val="sdtLocked"/>
            <w:richText/>
          </w:sdtPr>
          <w:sdtContent>
            <w:p>
              <w:pPr>
                <w:tabs>
                  <w:tab w:val="left" w:pos="7088"/>
                </w:tabs>
              </w:pPr>
            </w:p>
            <w:p>
              <w:pPr>
                <w:tabs>
                  <w:tab w:val="left" w:pos="7088"/>
                </w:tabs>
              </w:pPr>
            </w:p>
            <w:p>
              <w:pPr>
                <w:tabs>
                  <w:tab w:val="left" w:pos="7088"/>
                </w:tabs>
              </w:pPr>
            </w:p>
            <w:p>
              <w:pPr>
                <w:tabs>
                  <w:tab w:val="left" w:pos="7088"/>
                </w:tabs>
              </w:pPr>
              <w:r>
                <w:rPr>
                  <w:szCs w:val="24"/>
                  <w:lang w:eastAsia="lt-LT"/>
                </w:rPr>
                <w:t>Socialinės apsaugos ir darbo ministras</w:t>
                <w:tab/>
                <w:t>Linas Kukuraitis</w:t>
              </w:r>
            </w:p>
          </w:sdtContent>
        </w:sdt>
      </w:sdtContent>
    </w:sdt>
    <w:sdt>
      <w:sdtPr>
        <w:alias w:val="patvirtinta"/>
        <w:tag w:val="part_d024d7da3833417284c4c27aa0b9b3e0"/>
        <w:lock w:val="sdtLocked"/>
        <w:richText/>
      </w:sdtPr>
      <w:sdtContent>
        <w:p>
          <w:pPr>
            <w:ind w:left="5670"/>
            <w:jc w:val="both"/>
            <w:sectPr>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720" w:footer="720" w:gutter="0"/>
              <w:pgNumType w:start="1"/>
              <w:cols w:space="720"/>
              <w:titlePg/>
              <w:docGrid w:linePitch="360"/>
            </w:sectPr>
          </w:pPr>
        </w:p>
        <w:p>
          <w:pPr>
            <w:ind w:left="5670"/>
            <w:jc w:val="both"/>
            <w:rPr>
              <w:rFonts w:eastAsia="Calibri"/>
              <w:szCs w:val="24"/>
            </w:rPr>
          </w:pPr>
          <w:r>
            <w:rPr>
              <w:rFonts w:eastAsia="Calibri"/>
              <w:szCs w:val="24"/>
            </w:rPr>
            <w:t>PATVIRTINTA</w:t>
          </w:r>
        </w:p>
        <w:p>
          <w:pPr>
            <w:ind w:left="5670"/>
            <w:jc w:val="both"/>
            <w:rPr>
              <w:rFonts w:eastAsia="Calibri"/>
              <w:szCs w:val="24"/>
            </w:rPr>
          </w:pPr>
          <w:r>
            <w:rPr>
              <w:rFonts w:eastAsia="Calibri"/>
              <w:szCs w:val="24"/>
            </w:rPr>
            <w:t xml:space="preserve">Lietuvos Respublikos socialinės </w:t>
          </w:r>
        </w:p>
        <w:p>
          <w:pPr>
            <w:ind w:left="5670"/>
            <w:jc w:val="both"/>
            <w:rPr>
              <w:rFonts w:eastAsia="Calibri"/>
              <w:szCs w:val="24"/>
            </w:rPr>
          </w:pPr>
          <w:r>
            <w:rPr>
              <w:rFonts w:eastAsia="Calibri"/>
              <w:szCs w:val="24"/>
            </w:rPr>
            <w:t xml:space="preserve">apsaugos ir darbo ministro </w:t>
          </w:r>
        </w:p>
        <w:p>
          <w:pPr>
            <w:ind w:left="5670"/>
            <w:jc w:val="both"/>
            <w:rPr>
              <w:rFonts w:eastAsia="Calibri"/>
              <w:szCs w:val="24"/>
            </w:rPr>
          </w:pPr>
          <w:r>
            <w:rPr>
              <w:rFonts w:eastAsia="Calibri"/>
              <w:szCs w:val="24"/>
            </w:rPr>
            <w:t>2017 m. kovo 29 d. įsakymu Nr. A1-158</w:t>
          </w:r>
        </w:p>
        <w:p>
          <w:pPr>
            <w:ind w:left="5670"/>
            <w:rPr>
              <w:rFonts w:eastAsia="Calibri"/>
              <w:szCs w:val="24"/>
            </w:rPr>
          </w:pPr>
          <w:r>
            <w:rPr>
              <w:rFonts w:eastAsia="Calibri"/>
              <w:szCs w:val="24"/>
            </w:rPr>
            <w:t xml:space="preserve">(Lietuvos Respublikos socialinės apsaugos ir darbo ministro   </w:t>
          </w:r>
        </w:p>
        <w:p>
          <w:pPr>
            <w:ind w:left="5670"/>
            <w:jc w:val="both"/>
            <w:rPr>
              <w:rFonts w:eastAsia="Calibri"/>
              <w:szCs w:val="24"/>
            </w:rPr>
          </w:pPr>
          <w:r>
            <w:rPr>
              <w:rFonts w:eastAsia="Calibri"/>
              <w:szCs w:val="24"/>
            </w:rPr>
            <w:t xml:space="preserve">2024 m. sausio 23 d. įsakymo Nr. </w:t>
          </w:r>
          <w:r>
            <w:rPr>
              <w:color w:val="000000"/>
              <w:szCs w:val="24"/>
              <w:lang w:eastAsia="lt-LT"/>
            </w:rPr>
            <w:t>A1-62</w:t>
          </w:r>
        </w:p>
        <w:p>
          <w:pPr>
            <w:ind w:left="5670"/>
            <w:jc w:val="both"/>
            <w:rPr>
              <w:rFonts w:eastAsia="Calibri"/>
              <w:szCs w:val="24"/>
            </w:rPr>
          </w:pPr>
          <w:r>
            <w:rPr>
              <w:rFonts w:eastAsia="Calibri"/>
              <w:szCs w:val="24"/>
            </w:rPr>
            <w:t>redakcija)</w:t>
          </w:r>
        </w:p>
        <w:p>
          <w:pPr>
            <w:jc w:val="both"/>
            <w:rPr>
              <w:rFonts w:eastAsia="Calibri"/>
              <w:szCs w:val="24"/>
            </w:rPr>
          </w:pPr>
        </w:p>
        <w:p>
          <w:pPr>
            <w:jc w:val="both"/>
            <w:rPr>
              <w:rFonts w:eastAsia="Calibri"/>
              <w:szCs w:val="24"/>
            </w:rPr>
          </w:pPr>
        </w:p>
        <w:p>
          <w:pPr>
            <w:jc w:val="both"/>
            <w:rPr>
              <w:rFonts w:eastAsia="Calibri"/>
              <w:szCs w:val="24"/>
            </w:rPr>
          </w:pPr>
        </w:p>
        <w:p>
          <w:pPr>
            <w:jc w:val="center"/>
            <w:rPr>
              <w:rFonts w:eastAsia="Calibri"/>
              <w:b/>
              <w:szCs w:val="24"/>
            </w:rPr>
          </w:pPr>
          <w:sdt>
            <w:sdtPr>
              <w:alias w:val="Pavadinimas"/>
              <w:tag w:val="title_d024d7da3833417284c4c27aa0b9b3e0"/>
              <w:lock w:val="sdtLocked"/>
              <w:richText/>
            </w:sdtPr>
            <w:sdtContent>
              <w:r>
                <w:rPr>
                  <w:rFonts w:eastAsia="Calibri"/>
                  <w:b/>
                  <w:szCs w:val="24"/>
                </w:rPr>
                <w:t>SOCIALINIŲ PASLAUGŲ SRITIES DARBUOTOJŲ VEIKLOS VERTINIMO TVARKOS APRAŠAS</w:t>
              </w:r>
            </w:sdtContent>
          </w:sdt>
        </w:p>
        <w:p>
          <w:pPr>
            <w:rPr>
              <w:szCs w:val="24"/>
            </w:rPr>
          </w:pPr>
        </w:p>
        <w:sdt>
          <w:sdtPr>
            <w:alias w:val="skyrius"/>
            <w:tag w:val="part_460b0013daaf4dc9bfa91a22812fe201"/>
            <w:lock w:val="sdtLocked"/>
            <w:richText/>
          </w:sdtPr>
          <w:sdtContent>
            <w:p>
              <w:pPr>
                <w:jc w:val="center"/>
                <w:rPr>
                  <w:rFonts w:eastAsia="Calibri"/>
                  <w:b/>
                  <w:szCs w:val="24"/>
                </w:rPr>
              </w:pPr>
              <w:sdt>
                <w:sdtPr>
                  <w:alias w:val="Numeris"/>
                  <w:tag w:val="nr_460b0013daaf4dc9bfa91a22812fe201"/>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460b0013daaf4dc9bfa91a22812fe201"/>
                  <w:lock w:val="sdtLocked"/>
                  <w:richText/>
                </w:sdtPr>
                <w:sdtContent>
                  <w:r>
                    <w:rPr>
                      <w:rFonts w:eastAsia="Calibri"/>
                      <w:b/>
                      <w:szCs w:val="24"/>
                    </w:rPr>
                    <w:t>BENDROSIOS NUOSTATOS</w:t>
                  </w:r>
                </w:sdtContent>
              </w:sdt>
            </w:p>
            <w:p>
              <w:pPr>
                <w:jc w:val="center"/>
                <w:rPr>
                  <w:rFonts w:eastAsia="Calibri"/>
                  <w:b/>
                  <w:szCs w:val="24"/>
                </w:rPr>
              </w:pPr>
            </w:p>
            <w:sdt>
              <w:sdtPr>
                <w:alias w:val="1 p."/>
                <w:tag w:val="part_ae39d84c1234450ea3d25aaaab127fa8"/>
                <w:lock w:val="sdtLocked"/>
                <w:richText/>
              </w:sdtPr>
              <w:sdtContent>
                <w:p>
                  <w:pPr>
                    <w:ind w:firstLine="720"/>
                    <w:jc w:val="both"/>
                    <w:rPr>
                      <w:rFonts w:eastAsia="Calibri"/>
                      <w:szCs w:val="24"/>
                    </w:rPr>
                  </w:pPr>
                  <w:sdt>
                    <w:sdtPr>
                      <w:alias w:val="Numeris"/>
                      <w:tag w:val="nr_ae39d84c1234450ea3d25aaaab127fa8"/>
                      <w:lock w:val="sdtLocked"/>
                      <w:richText/>
                    </w:sdtPr>
                    <w:sdtContent>
                      <w:r>
                        <w:rPr>
                          <w:rFonts w:eastAsia="Calibri"/>
                          <w:szCs w:val="24"/>
                        </w:rPr>
                        <w:t>1</w:t>
                      </w:r>
                    </w:sdtContent>
                  </w:sdt>
                  <w:r>
                    <w:rPr>
                      <w:rFonts w:eastAsia="Calibri"/>
                      <w:szCs w:val="24"/>
                    </w:rPr>
                    <w:t>. Socialinių paslaugų srities darbuotojų veiklos vertinimo tvarkos aprašas (toliau – Aprašas) nustato valstybės ir savivaldybių biudžetinių įstaigų, finansuojamų iš Lietuvos Respublikos valstybės biudžeto, savivaldybių biudžetų ir Valstybinio socialinio draudimo fondo biudžeto bei kitų valstybės įsteigtų pinigų fondų lėšų (toliau – biudžetinės įstaigos), pagal darbo sutartis dirbančių darbuotojų, kurių pareigybių sąrašas patvirtintas Lietuvos Respublikos socialinės apsaugos ir darbo ministro 2014 m. spalio 13 d. įsakymu Nr. A1-487 „Dėl Socialinių paslaugų srities darbuotojų pareigybių sąrašo patvirtinimo“ (toliau – darbuotojai), kasmetinio veiklos vertinimo (toliau – veiklos vertinimas) tvarką.</w:t>
                  </w:r>
                </w:p>
              </w:sdtContent>
            </w:sdt>
            <w:sdt>
              <w:sdtPr>
                <w:alias w:val="2 p."/>
                <w:tag w:val="part_ccc88e2c3c7d4fa19eb440b9b747f019"/>
                <w:lock w:val="sdtLocked"/>
                <w:richText/>
              </w:sdtPr>
              <w:sdtContent>
                <w:p>
                  <w:pPr>
                    <w:ind w:firstLine="720"/>
                    <w:jc w:val="both"/>
                    <w:rPr>
                      <w:rFonts w:eastAsia="Calibri"/>
                      <w:szCs w:val="24"/>
                    </w:rPr>
                  </w:pPr>
                  <w:sdt>
                    <w:sdtPr>
                      <w:alias w:val="Numeris"/>
                      <w:tag w:val="nr_ccc88e2c3c7d4fa19eb440b9b747f019"/>
                      <w:lock w:val="sdtLocked"/>
                      <w:richText/>
                    </w:sdtPr>
                    <w:sdtContent>
                      <w:r>
                        <w:rPr>
                          <w:szCs w:val="24"/>
                        </w:rPr>
                        <w:t>2</w:t>
                      </w:r>
                    </w:sdtContent>
                  </w:sdt>
                  <w:r>
                    <w:rPr>
                      <w:szCs w:val="24"/>
                    </w:rPr>
                    <w:t xml:space="preserve">. Veiklos vertinimo tikslas – nustatyta tvarka įvertinti darbuotojo kompetenciją (įgūdžius, žinias, gebėjimus) ir pasiektus veiklos rezultatus. </w:t>
                  </w:r>
                </w:p>
              </w:sdtContent>
            </w:sdt>
            <w:sdt>
              <w:sdtPr>
                <w:alias w:val="3 p."/>
                <w:tag w:val="part_9b90e55cff5b4bc2a29a167081b4c903"/>
                <w:lock w:val="sdtLocked"/>
                <w:richText/>
              </w:sdtPr>
              <w:sdtContent>
                <w:p>
                  <w:pPr>
                    <w:ind w:firstLine="720"/>
                    <w:jc w:val="both"/>
                    <w:rPr>
                      <w:rFonts w:eastAsia="Calibri"/>
                      <w:szCs w:val="24"/>
                    </w:rPr>
                  </w:pPr>
                  <w:sdt>
                    <w:sdtPr>
                      <w:alias w:val="Numeris"/>
                      <w:tag w:val="nr_9b90e55cff5b4bc2a29a167081b4c903"/>
                      <w:lock w:val="sdtLocked"/>
                      <w:richText/>
                    </w:sdtPr>
                    <w:sdtContent>
                      <w:r>
                        <w:rPr>
                          <w:rFonts w:eastAsia="Calibri"/>
                          <w:szCs w:val="24"/>
                        </w:rPr>
                        <w:t>3</w:t>
                      </w:r>
                    </w:sdtContent>
                  </w:sdt>
                  <w:r>
                    <w:rPr>
                      <w:rFonts w:eastAsia="Calibri"/>
                      <w:szCs w:val="24"/>
                    </w:rPr>
                    <w:t>. Apraše vartojamos sąvokos suprantamos taip, kaip jos apibrėžtos Lietuvos Respublikos biudžetinių įstaigų darbuotojų darbo apmokėjimo ir komisijų narių atlygio už darbą įstatyme (toliau – Įstatymas), Lietuvos Respublikos biudžetinių įstaigų įstatyme ir Lietuvos Respublikos socialinių paslaugų įstatyme.</w:t>
                  </w:r>
                </w:p>
                <w:p>
                  <w:pPr>
                    <w:ind w:left="720"/>
                    <w:jc w:val="both"/>
                    <w:rPr>
                      <w:rFonts w:eastAsia="Calibri"/>
                      <w:szCs w:val="24"/>
                    </w:rPr>
                  </w:pPr>
                </w:p>
              </w:sdtContent>
            </w:sdt>
          </w:sdtContent>
        </w:sdt>
        <w:sdt>
          <w:sdtPr>
            <w:alias w:val="skyrius"/>
            <w:tag w:val="part_7ff42bd86b974b73ae2350dd7e59a0aa"/>
            <w:lock w:val="sdtLocked"/>
            <w:richText/>
          </w:sdtPr>
          <w:sdtContent>
            <w:p>
              <w:pPr>
                <w:jc w:val="center"/>
                <w:rPr>
                  <w:rFonts w:eastAsia="Calibri"/>
                  <w:b/>
                  <w:szCs w:val="24"/>
                </w:rPr>
              </w:pPr>
              <w:sdt>
                <w:sdtPr>
                  <w:alias w:val="Numeris"/>
                  <w:tag w:val="nr_7ff42bd86b974b73ae2350dd7e59a0aa"/>
                  <w:lock w:val="sdtLocked"/>
                  <w:richText/>
                </w:sdtPr>
                <w:sdtContent>
                  <w:r>
                    <w:rPr>
                      <w:rFonts w:eastAsia="Calibri"/>
                      <w:b/>
                      <w:szCs w:val="24"/>
                    </w:rPr>
                    <w:t>II</w:t>
                  </w:r>
                </w:sdtContent>
              </w:sdt>
              <w:r>
                <w:rPr>
                  <w:rFonts w:eastAsia="Calibri"/>
                  <w:b/>
                  <w:szCs w:val="24"/>
                </w:rPr>
                <w:t xml:space="preserve"> SKYRIUS</w:t>
              </w:r>
            </w:p>
            <w:p>
              <w:pPr>
                <w:jc w:val="center"/>
                <w:rPr>
                  <w:rFonts w:eastAsia="Calibri"/>
                  <w:b/>
                  <w:szCs w:val="24"/>
                </w:rPr>
              </w:pPr>
              <w:sdt>
                <w:sdtPr>
                  <w:alias w:val="Pavadinimas"/>
                  <w:tag w:val="title_7ff42bd86b974b73ae2350dd7e59a0aa"/>
                  <w:lock w:val="sdtLocked"/>
                  <w:richText/>
                </w:sdtPr>
                <w:sdtContent>
                  <w:r>
                    <w:rPr>
                      <w:rFonts w:eastAsia="Calibri"/>
                      <w:b/>
                      <w:szCs w:val="24"/>
                    </w:rPr>
                    <w:t xml:space="preserve">SOCIALINIŲ PASLAUGŲ SRITIES DARBUOTOJŲ VEIKLOS VERTINIMO PROCEDŪRA </w:t>
                  </w:r>
                </w:sdtContent>
              </w:sdt>
            </w:p>
            <w:p>
              <w:pPr>
                <w:ind w:left="720"/>
                <w:jc w:val="both"/>
                <w:rPr>
                  <w:rFonts w:eastAsia="Calibri"/>
                  <w:szCs w:val="24"/>
                </w:rPr>
              </w:pPr>
            </w:p>
            <w:sdt>
              <w:sdtPr>
                <w:alias w:val="4 p."/>
                <w:tag w:val="part_19805d5b42c94f0b851aa04e85edc248"/>
                <w:lock w:val="sdtLocked"/>
                <w:richText/>
              </w:sdtPr>
              <w:sdtContent>
                <w:p>
                  <w:pPr>
                    <w:ind w:firstLine="720"/>
                    <w:jc w:val="both"/>
                    <w:rPr>
                      <w:color w:val="000000"/>
                      <w:szCs w:val="24"/>
                      <w:lang w:eastAsia="lt-LT"/>
                    </w:rPr>
                  </w:pPr>
                  <w:sdt>
                    <w:sdtPr>
                      <w:alias w:val="Numeris"/>
                      <w:tag w:val="nr_19805d5b42c94f0b851aa04e85edc248"/>
                      <w:lock w:val="sdtLocked"/>
                      <w:richText/>
                    </w:sdtPr>
                    <w:sdtContent>
                      <w:r>
                        <w:rPr>
                          <w:rFonts w:eastAsia="Calibri"/>
                          <w:szCs w:val="24"/>
                        </w:rPr>
                        <w:t>4</w:t>
                      </w:r>
                    </w:sdtContent>
                  </w:sdt>
                  <w:r>
                    <w:rPr>
                      <w:rFonts w:eastAsia="Calibri"/>
                      <w:szCs w:val="24"/>
                    </w:rPr>
                    <w:t xml:space="preserve">. Darbuotojų praėjusių kalendorinių metų veikla vertinama kiekvienais metais iki kovo 1 dienos. Darbuotojo </w:t>
                  </w:r>
                  <w:r>
                    <w:rPr>
                      <w:color w:val="000000"/>
                      <w:szCs w:val="24"/>
                      <w:lang w:eastAsia="lt-LT"/>
                    </w:rPr>
                    <w:t>veikla vertinama, jeigu jis ne trumpiau kaip 6 mėnesius per kalendorinius metus, kurių veikla vertinama, eina darbuotojo pareigas toje biudžetinėje įstaigoje, kurioje vertinama jo veikla.</w:t>
                  </w:r>
                  <w:r>
                    <w:rPr>
                      <w:rFonts w:eastAsia="Calibri"/>
                      <w:szCs w:val="24"/>
                    </w:rPr>
                    <w:t xml:space="preserve"> Darbuotojo, išskyrus biudžetinės įstaigos vadovą, veiklą vertina jo tiesioginis vadovas, o biudžetinės įstaigos vadovo veiklą vertina jį į pareigas priimantis asmuo ar jo įgaliotas asmuo (toliau – vertinantysis asmuo).</w:t>
                  </w:r>
                </w:p>
              </w:sdtContent>
            </w:sdt>
            <w:sdt>
              <w:sdtPr>
                <w:alias w:val="5 p."/>
                <w:tag w:val="part_dc6c47c703564cc590d303fb84ca904e"/>
                <w:lock w:val="sdtLocked"/>
                <w:richText/>
              </w:sdtPr>
              <w:sdtContent>
                <w:p>
                  <w:pPr>
                    <w:ind w:firstLine="709"/>
                    <w:jc w:val="both"/>
                    <w:rPr>
                      <w:szCs w:val="24"/>
                      <w:lang w:eastAsia="lt-LT"/>
                    </w:rPr>
                  </w:pPr>
                  <w:sdt>
                    <w:sdtPr>
                      <w:alias w:val="Numeris"/>
                      <w:tag w:val="nr_dc6c47c703564cc590d303fb84ca904e"/>
                      <w:lock w:val="sdtLocked"/>
                      <w:richText/>
                    </w:sdtPr>
                    <w:sdtContent>
                      <w:r>
                        <w:rPr>
                          <w:szCs w:val="24"/>
                          <w:lang w:eastAsia="lt-LT"/>
                        </w:rPr>
                        <w:t>5</w:t>
                      </w:r>
                    </w:sdtContent>
                  </w:sdt>
                  <w:r>
                    <w:rPr>
                      <w:szCs w:val="24"/>
                      <w:lang w:eastAsia="lt-LT"/>
                    </w:rPr>
                    <w:t xml:space="preserve">. </w:t>
                  </w:r>
                  <w:r>
                    <w:rPr>
                      <w:rFonts w:eastAsia="Calibri"/>
                      <w:bCs/>
                      <w:szCs w:val="24"/>
                    </w:rPr>
                    <w:t>Veiklos vertinimo procedūrą sudaro:</w:t>
                  </w:r>
                </w:p>
                <w:sdt>
                  <w:sdtPr>
                    <w:alias w:val="5.1 pp."/>
                    <w:tag w:val="part_1d2d62deae2240639af183c531c53256"/>
                    <w:lock w:val="sdtLocked"/>
                    <w:richText/>
                  </w:sdtPr>
                  <w:sdtContent>
                    <w:p>
                      <w:pPr>
                        <w:ind w:firstLine="709"/>
                        <w:jc w:val="both"/>
                        <w:rPr>
                          <w:szCs w:val="24"/>
                          <w:lang w:eastAsia="lt-LT"/>
                        </w:rPr>
                      </w:pPr>
                      <w:sdt>
                        <w:sdtPr>
                          <w:alias w:val="Numeris"/>
                          <w:tag w:val="nr_1d2d62deae2240639af183c531c53256"/>
                          <w:lock w:val="sdtLocked"/>
                          <w:richText/>
                        </w:sdtPr>
                        <w:sdtContent>
                          <w:r>
                            <w:rPr>
                              <w:szCs w:val="24"/>
                              <w:lang w:eastAsia="lt-LT"/>
                            </w:rPr>
                            <w:t>5.1</w:t>
                          </w:r>
                        </w:sdtContent>
                      </w:sdt>
                      <w:r>
                        <w:rPr>
                          <w:szCs w:val="24"/>
                          <w:lang w:eastAsia="lt-LT"/>
                        </w:rPr>
                        <w:t xml:space="preserve">. </w:t>
                      </w:r>
                      <w:r>
                        <w:rPr>
                          <w:rFonts w:eastAsia="Calibri"/>
                          <w:bCs/>
                          <w:szCs w:val="24"/>
                        </w:rPr>
                        <w:t>darbuotojo veiklos nagrinėjimas;</w:t>
                      </w:r>
                    </w:p>
                  </w:sdtContent>
                </w:sdt>
                <w:sdt>
                  <w:sdtPr>
                    <w:alias w:val="5.2 pp."/>
                    <w:tag w:val="part_a68333cc33314378af1f64017fa34165"/>
                    <w:lock w:val="sdtLocked"/>
                    <w:richText/>
                  </w:sdtPr>
                  <w:sdtContent>
                    <w:p>
                      <w:pPr>
                        <w:ind w:firstLine="709"/>
                        <w:jc w:val="both"/>
                        <w:rPr>
                          <w:szCs w:val="24"/>
                          <w:lang w:eastAsia="lt-LT"/>
                        </w:rPr>
                      </w:pPr>
                      <w:sdt>
                        <w:sdtPr>
                          <w:alias w:val="Numeris"/>
                          <w:tag w:val="nr_a68333cc33314378af1f64017fa34165"/>
                          <w:lock w:val="sdtLocked"/>
                          <w:richText/>
                        </w:sdtPr>
                        <w:sdtContent>
                          <w:r>
                            <w:rPr>
                              <w:szCs w:val="24"/>
                              <w:lang w:eastAsia="lt-LT"/>
                            </w:rPr>
                            <w:t>5.2</w:t>
                          </w:r>
                        </w:sdtContent>
                      </w:sdt>
                      <w:r>
                        <w:rPr>
                          <w:szCs w:val="24"/>
                          <w:lang w:eastAsia="lt-LT"/>
                        </w:rPr>
                        <w:t xml:space="preserve">. </w:t>
                      </w:r>
                      <w:r>
                        <w:rPr>
                          <w:rFonts w:eastAsia="Calibri"/>
                          <w:bCs/>
                          <w:szCs w:val="24"/>
                        </w:rPr>
                        <w:t>darbuotojo veiklos įvertinimas;</w:t>
                      </w:r>
                    </w:p>
                  </w:sdtContent>
                </w:sdt>
                <w:sdt>
                  <w:sdtPr>
                    <w:alias w:val="5.3 pp."/>
                    <w:tag w:val="part_997682efcf054229b1b436266364824e"/>
                    <w:lock w:val="sdtLocked"/>
                    <w:richText/>
                  </w:sdtPr>
                  <w:sdtContent>
                    <w:p>
                      <w:pPr>
                        <w:ind w:firstLine="709"/>
                        <w:jc w:val="both"/>
                        <w:rPr>
                          <w:szCs w:val="24"/>
                          <w:lang w:eastAsia="lt-LT"/>
                        </w:rPr>
                      </w:pPr>
                      <w:sdt>
                        <w:sdtPr>
                          <w:alias w:val="Numeris"/>
                          <w:tag w:val="nr_997682efcf054229b1b436266364824e"/>
                          <w:lock w:val="sdtLocked"/>
                          <w:richText/>
                        </w:sdtPr>
                        <w:sdtContent>
                          <w:r>
                            <w:rPr>
                              <w:szCs w:val="24"/>
                              <w:lang w:eastAsia="lt-LT"/>
                            </w:rPr>
                            <w:t>5.3</w:t>
                          </w:r>
                        </w:sdtContent>
                      </w:sdt>
                      <w:r>
                        <w:rPr>
                          <w:szCs w:val="24"/>
                          <w:lang w:eastAsia="lt-LT"/>
                        </w:rPr>
                        <w:t xml:space="preserve">. veiklos </w:t>
                      </w:r>
                      <w:r>
                        <w:rPr>
                          <w:rFonts w:eastAsia="Calibri"/>
                          <w:bCs/>
                          <w:szCs w:val="24"/>
                        </w:rPr>
                        <w:t>vertinimo išvados surašymas.</w:t>
                      </w:r>
                    </w:p>
                  </w:sdtContent>
                </w:sdt>
              </w:sdtContent>
            </w:sdt>
            <w:sdt>
              <w:sdtPr>
                <w:alias w:val="6 p."/>
                <w:tag w:val="part_a5b92d27e432486f9b85205a5d169508"/>
                <w:lock w:val="sdtLocked"/>
                <w:richText/>
              </w:sdtPr>
              <w:sdtContent>
                <w:p>
                  <w:pPr>
                    <w:ind w:firstLine="709"/>
                    <w:jc w:val="both"/>
                    <w:rPr>
                      <w:rFonts w:eastAsia="Calibri"/>
                      <w:szCs w:val="24"/>
                    </w:rPr>
                  </w:pPr>
                  <w:sdt>
                    <w:sdtPr>
                      <w:alias w:val="Numeris"/>
                      <w:tag w:val="nr_a5b92d27e432486f9b85205a5d169508"/>
                      <w:lock w:val="sdtLocked"/>
                      <w:richText/>
                    </w:sdtPr>
                    <w:sdtContent>
                      <w:r>
                        <w:rPr>
                          <w:rFonts w:eastAsia="Calibri"/>
                          <w:szCs w:val="24"/>
                        </w:rPr>
                        <w:t>6</w:t>
                      </w:r>
                    </w:sdtContent>
                  </w:sdt>
                  <w:r>
                    <w:rPr>
                      <w:rFonts w:eastAsia="Calibri"/>
                      <w:szCs w:val="24"/>
                    </w:rPr>
                    <w:t xml:space="preserve">. Darbuotojo veiklos nagrinėjimas – išvados formos I ir II skyrių užpildymas ir pokalbis su darbuotoju (toliau – pokalbis). </w:t>
                  </w:r>
                </w:p>
              </w:sdtContent>
            </w:sdt>
            <w:sdt>
              <w:sdtPr>
                <w:alias w:val="7 p."/>
                <w:tag w:val="part_7005dc33f5a14427b669cc5ab4a7005e"/>
                <w:lock w:val="sdtLocked"/>
                <w:richText/>
              </w:sdtPr>
              <w:sdtContent>
                <w:p>
                  <w:pPr>
                    <w:ind w:firstLine="709"/>
                    <w:jc w:val="both"/>
                    <w:rPr>
                      <w:rFonts w:eastAsia="Calibri"/>
                      <w:szCs w:val="24"/>
                    </w:rPr>
                  </w:pPr>
                  <w:sdt>
                    <w:sdtPr>
                      <w:alias w:val="Numeris"/>
                      <w:tag w:val="nr_7005dc33f5a14427b669cc5ab4a7005e"/>
                      <w:lock w:val="sdtLocked"/>
                      <w:richText/>
                    </w:sdtPr>
                    <w:sdtContent>
                      <w:r>
                        <w:rPr>
                          <w:rFonts w:eastAsia="Calibri"/>
                          <w:szCs w:val="24"/>
                        </w:rPr>
                        <w:t>7</w:t>
                      </w:r>
                    </w:sdtContent>
                  </w:sdt>
                  <w:r>
                    <w:rPr>
                      <w:rFonts w:eastAsia="Calibri"/>
                      <w:szCs w:val="24"/>
                    </w:rPr>
                    <w:t xml:space="preserve">. Vertinantysis asmuo ne vėliau kaip iki einamųjų metų vasario 10 dienos tiesiogiai, raštu ar elektroniniu paštu </w:t>
                  </w:r>
                  <w:r>
                    <w:rPr>
                      <w:rFonts w:eastAsia="Calibri"/>
                      <w:bCs/>
                      <w:szCs w:val="24"/>
                    </w:rPr>
                    <w:t xml:space="preserve">pateikia darbuotojui išvados formą. </w:t>
                  </w:r>
                  <w:r>
                    <w:rPr>
                      <w:rFonts w:eastAsia="Calibri"/>
                      <w:szCs w:val="24"/>
                    </w:rPr>
                    <w:t>Darbuotojas, įsivertinęs praėjusių kalendorinių metų nustatytų metinių užduočių įvykdymo rezultatus ir užpildęs išvados formos 1 punktą, ją tiesiogiai, raštu ar elektroniniu paštu ne vėliau nei per 5 darbo dienas nuo jos gavimo dienos grąžina vertinančiajam asmeniui.</w:t>
                  </w:r>
                  <w:r>
                    <w:rPr>
                      <w:rFonts w:eastAsia="Calibri"/>
                      <w:bCs/>
                      <w:szCs w:val="24"/>
                    </w:rPr>
                    <w:t xml:space="preserve"> </w:t>
                  </w:r>
                  <w:r>
                    <w:rPr>
                      <w:rFonts w:eastAsia="Calibri"/>
                      <w:szCs w:val="24"/>
                    </w:rPr>
                    <w:t>Darbuotojas ir vertinantysis asmuo susitaria dėl pokalbio datos.</w:t>
                  </w:r>
                  <w:r>
                    <w:rPr>
                      <w:rFonts w:eastAsia="Calibri"/>
                      <w:bCs/>
                      <w:szCs w:val="24"/>
                    </w:rPr>
                    <w:t xml:space="preserve"> </w:t>
                  </w:r>
                </w:p>
              </w:sdtContent>
            </w:sdt>
            <w:sdt>
              <w:sdtPr>
                <w:alias w:val="8 p."/>
                <w:tag w:val="part_086ab6398ffa4e39937797e19dd48d07"/>
                <w:lock w:val="sdtLocked"/>
                <w:richText/>
              </w:sdtPr>
              <w:sdtContent>
                <w:p>
                  <w:pPr>
                    <w:ind w:firstLine="709"/>
                    <w:jc w:val="both"/>
                    <w:rPr>
                      <w:rFonts w:eastAsia="Calibri"/>
                      <w:szCs w:val="24"/>
                    </w:rPr>
                  </w:pPr>
                  <w:sdt>
                    <w:sdtPr>
                      <w:alias w:val="Numeris"/>
                      <w:tag w:val="nr_086ab6398ffa4e39937797e19dd48d07"/>
                      <w:lock w:val="sdtLocked"/>
                      <w:richText/>
                    </w:sdtPr>
                    <w:sdtContent>
                      <w:r>
                        <w:rPr>
                          <w:rFonts w:eastAsia="Calibri"/>
                          <w:szCs w:val="24"/>
                        </w:rPr>
                        <w:t>8</w:t>
                      </w:r>
                    </w:sdtContent>
                  </w:sdt>
                  <w:r>
                    <w:rPr>
                      <w:rFonts w:eastAsia="Calibri"/>
                      <w:szCs w:val="24"/>
                    </w:rPr>
                    <w:t xml:space="preserve">. Vertinantysis asmuo iki pokalbio susipažįsta su darbuotojo užpildytos išvados formos 1 punktu.  </w:t>
                  </w:r>
                </w:p>
              </w:sdtContent>
            </w:sdt>
            <w:sdt>
              <w:sdtPr>
                <w:alias w:val="9 p."/>
                <w:tag w:val="part_a2cec3f51429475a89d9c8f926dea30f"/>
                <w:lock w:val="sdtLocked"/>
                <w:richText/>
              </w:sdtPr>
              <w:sdtContent>
                <w:p>
                  <w:pPr>
                    <w:ind w:firstLine="709"/>
                    <w:jc w:val="both"/>
                    <w:rPr>
                      <w:rFonts w:eastAsia="Calibri"/>
                      <w:szCs w:val="24"/>
                    </w:rPr>
                  </w:pPr>
                  <w:sdt>
                    <w:sdtPr>
                      <w:alias w:val="Numeris"/>
                      <w:tag w:val="nr_a2cec3f51429475a89d9c8f926dea30f"/>
                      <w:lock w:val="sdtLocked"/>
                      <w:richText/>
                    </w:sdtPr>
                    <w:sdtContent>
                      <w:r>
                        <w:rPr>
                          <w:rFonts w:eastAsia="Calibri"/>
                          <w:szCs w:val="24"/>
                        </w:rPr>
                        <w:t>9</w:t>
                      </w:r>
                    </w:sdtContent>
                  </w:sdt>
                  <w:r>
                    <w:rPr>
                      <w:rFonts w:eastAsia="Calibri"/>
                      <w:szCs w:val="24"/>
                    </w:rPr>
                    <w:t xml:space="preserve">. Darbuotojui įsivertinant praėjusių kalendorinių metų nustatytų metinių užduočių įvykdymo rezultatus ir ruošiantis pokalbiui, siūlytina atlikti darbinės veiklos analizę, įvardyti ir išanalizuoti priežastis, prielaidas, lėmusias pasiektus ir (ar) nepasiektus nustatytų metinių užduočių įvykdymo rezultatus. </w:t>
                  </w:r>
                </w:p>
              </w:sdtContent>
            </w:sdt>
            <w:sdt>
              <w:sdtPr>
                <w:alias w:val="10 p."/>
                <w:tag w:val="part_b49dfa04731f44b2ad49ade8595061fd"/>
                <w:lock w:val="sdtLocked"/>
                <w:richText/>
              </w:sdtPr>
              <w:sdtContent>
                <w:p>
                  <w:pPr>
                    <w:ind w:firstLine="709"/>
                    <w:jc w:val="both"/>
                    <w:rPr>
                      <w:szCs w:val="24"/>
                    </w:rPr>
                  </w:pPr>
                  <w:sdt>
                    <w:sdtPr>
                      <w:alias w:val="Numeris"/>
                      <w:tag w:val="nr_b49dfa04731f44b2ad49ade8595061fd"/>
                      <w:lock w:val="sdtLocked"/>
                      <w:richText/>
                    </w:sdtPr>
                    <w:sdtContent>
                      <w:r>
                        <w:rPr>
                          <w:rFonts w:eastAsia="Calibri"/>
                          <w:szCs w:val="24"/>
                        </w:rPr>
                        <w:t>10</w:t>
                      </w:r>
                    </w:sdtContent>
                  </w:sdt>
                  <w:r>
                    <w:rPr>
                      <w:rFonts w:eastAsia="Calibri"/>
                      <w:szCs w:val="24"/>
                    </w:rPr>
                    <w:t xml:space="preserve">. </w:t>
                  </w:r>
                  <w:r>
                    <w:rPr>
                      <w:szCs w:val="24"/>
                    </w:rPr>
                    <w:t>Į pokalbį ir į pakartotinai atliekamą darbuotojo vertinimo procedūrą darbuotojas turi teisę kviesti biudžetinės įstaigos darbuotojų atstovą, kuris Lietuvos Respublikos darbo kodekso nustatytais atvejais ir tvarka įgyvendina darbuotojų atstovavimą (informavimą, konsultavimą ir dalyvavimą darbdaviui priimant sprendimus) biudžetinėje įstaigoje (toliau – darbuotojų atstovavimą įgyvendinantis asmuo) ir kuris veiklos vertinimo pokalbyje gali dalyvauti stebėtojo teisėmis. Vertinantysis asmuo su darbuotoju pokalbio metu:</w:t>
                  </w:r>
                </w:p>
                <w:sdt>
                  <w:sdtPr>
                    <w:alias w:val="10.1 pp."/>
                    <w:tag w:val="part_f42130b8b63e48b084c2aef3244121b4"/>
                    <w:lock w:val="sdtLocked"/>
                    <w:richText/>
                  </w:sdtPr>
                  <w:sdtContent>
                    <w:p>
                      <w:pPr>
                        <w:ind w:firstLine="709"/>
                        <w:jc w:val="both"/>
                        <w:rPr>
                          <w:szCs w:val="24"/>
                        </w:rPr>
                      </w:pPr>
                      <w:sdt>
                        <w:sdtPr>
                          <w:alias w:val="Numeris"/>
                          <w:tag w:val="nr_f42130b8b63e48b084c2aef3244121b4"/>
                          <w:lock w:val="sdtLocked"/>
                          <w:richText/>
                        </w:sdtPr>
                        <w:sdtContent>
                          <w:r>
                            <w:rPr>
                              <w:szCs w:val="24"/>
                            </w:rPr>
                            <w:t>10.1</w:t>
                          </w:r>
                        </w:sdtContent>
                      </w:sdt>
                      <w:r>
                        <w:rPr>
                          <w:szCs w:val="24"/>
                        </w:rPr>
                        <w:t>. aptaria darbuotojo pasiektus</w:t>
                      </w:r>
                      <w:r>
                        <w:t xml:space="preserve"> </w:t>
                      </w:r>
                      <w:r>
                        <w:rPr>
                          <w:szCs w:val="24"/>
                        </w:rPr>
                        <w:t xml:space="preserve">nustatytų metinių užduočių </w:t>
                      </w:r>
                      <w:r>
                        <w:rPr>
                          <w:rFonts w:eastAsia="Calibri"/>
                          <w:szCs w:val="24"/>
                        </w:rPr>
                        <w:t>įvykdymo</w:t>
                      </w:r>
                      <w:r>
                        <w:rPr>
                          <w:szCs w:val="24"/>
                        </w:rPr>
                        <w:t xml:space="preserve"> rezultatus, veiklos lūkesčius, jo veiklą per praėjusius kalendorinius metus ir prireikus patikslina išvados formos 1 punktą, užpildo jos 4 punktą;</w:t>
                      </w:r>
                    </w:p>
                  </w:sdtContent>
                </w:sdt>
                <w:sdt>
                  <w:sdtPr>
                    <w:alias w:val="10.2 pp."/>
                    <w:tag w:val="part_539c71d7aa9e4101bd827d346e7828de"/>
                    <w:lock w:val="sdtLocked"/>
                    <w:richText/>
                  </w:sdtPr>
                  <w:sdtContent>
                    <w:p>
                      <w:pPr>
                        <w:tabs>
                          <w:tab w:val="left" w:pos="1418"/>
                        </w:tabs>
                        <w:ind w:firstLine="709"/>
                        <w:jc w:val="both"/>
                        <w:rPr>
                          <w:szCs w:val="24"/>
                        </w:rPr>
                      </w:pPr>
                      <w:sdt>
                        <w:sdtPr>
                          <w:alias w:val="Numeris"/>
                          <w:tag w:val="nr_539c71d7aa9e4101bd827d346e7828de"/>
                          <w:lock w:val="sdtLocked"/>
                          <w:richText/>
                        </w:sdtPr>
                        <w:sdtContent>
                          <w:r>
                            <w:rPr>
                              <w:szCs w:val="24"/>
                            </w:rPr>
                            <w:t>10.2</w:t>
                          </w:r>
                        </w:sdtContent>
                      </w:sdt>
                      <w:r>
                        <w:rPr>
                          <w:szCs w:val="24"/>
                        </w:rPr>
                        <w:t>. aptaria darbuotojo</w:t>
                      </w:r>
                      <w:r>
                        <w:rPr>
                          <w:rFonts w:ascii="TimesLT" w:hAnsi="TimesLT"/>
                          <w:sz w:val="20"/>
                        </w:rPr>
                        <w:t xml:space="preserve"> </w:t>
                      </w:r>
                      <w:r>
                        <w:rPr>
                          <w:szCs w:val="24"/>
                        </w:rPr>
                        <w:t>gebėjimus atlikti pareigybės aprašyme nustatytas funkcijas ir užpildo išvados formos 5 punktą;</w:t>
                      </w:r>
                    </w:p>
                  </w:sdtContent>
                </w:sdt>
                <w:sdt>
                  <w:sdtPr>
                    <w:alias w:val="10.3 pp."/>
                    <w:tag w:val="part_f5c898a349c24142b9d243bab0949043"/>
                    <w:lock w:val="sdtLocked"/>
                    <w:richText/>
                  </w:sdtPr>
                  <w:sdtContent>
                    <w:p>
                      <w:pPr>
                        <w:ind w:firstLine="709"/>
                        <w:jc w:val="both"/>
                        <w:rPr>
                          <w:szCs w:val="24"/>
                        </w:rPr>
                      </w:pPr>
                      <w:sdt>
                        <w:sdtPr>
                          <w:alias w:val="Numeris"/>
                          <w:tag w:val="nr_f5c898a349c24142b9d243bab0949043"/>
                          <w:lock w:val="sdtLocked"/>
                          <w:richText/>
                        </w:sdtPr>
                        <w:sdtContent>
                          <w:r>
                            <w:rPr>
                              <w:szCs w:val="24"/>
                            </w:rPr>
                            <w:t>10.3</w:t>
                          </w:r>
                        </w:sdtContent>
                      </w:sdt>
                      <w:r>
                        <w:rPr>
                          <w:szCs w:val="24"/>
                        </w:rPr>
                        <w:t xml:space="preserve">. suformuluoja darbuotojo einamųjų metų užduotis, nustato veiklos lūkesčius ir numato siektinus rezultatus, jų vertinimo rodiklius, riziką, kuriai esant nustatytos einamųjų metų užduotys gali būti neįvykdytos, ir užpildo išvados formos 2 ir 3 punktus; </w:t>
                      </w:r>
                    </w:p>
                  </w:sdtContent>
                </w:sdt>
                <w:sdt>
                  <w:sdtPr>
                    <w:alias w:val="10.4 pp."/>
                    <w:tag w:val="part_461c75b2f4324028825ca30f7a9847bd"/>
                    <w:lock w:val="sdtLocked"/>
                    <w:richText/>
                  </w:sdtPr>
                  <w:sdtContent>
                    <w:p>
                      <w:pPr>
                        <w:ind w:firstLine="709"/>
                        <w:jc w:val="both"/>
                        <w:rPr>
                          <w:rFonts w:eastAsia="Calibri"/>
                          <w:szCs w:val="24"/>
                        </w:rPr>
                      </w:pPr>
                      <w:sdt>
                        <w:sdtPr>
                          <w:alias w:val="Numeris"/>
                          <w:tag w:val="nr_461c75b2f4324028825ca30f7a9847bd"/>
                          <w:lock w:val="sdtLocked"/>
                          <w:richText/>
                        </w:sdtPr>
                        <w:sdtContent>
                          <w:r>
                            <w:rPr>
                              <w:szCs w:val="24"/>
                            </w:rPr>
                            <w:t>10.4</w:t>
                          </w:r>
                        </w:sdtContent>
                      </w:sdt>
                      <w:r>
                        <w:rPr>
                          <w:szCs w:val="24"/>
                        </w:rPr>
                        <w:t>. aptaria profesinės kompetencijos tobulinimo poreikius ir užpildo išvados formos 6 punktą.</w:t>
                      </w:r>
                    </w:p>
                  </w:sdtContent>
                </w:sdt>
              </w:sdtContent>
            </w:sdt>
            <w:sdt>
              <w:sdtPr>
                <w:alias w:val="11 p."/>
                <w:tag w:val="part_1f2242951c9c456faa5929f0d96a88be"/>
                <w:lock w:val="sdtLocked"/>
                <w:richText/>
              </w:sdtPr>
              <w:sdtContent>
                <w:p>
                  <w:pPr>
                    <w:tabs>
                      <w:tab w:val="left" w:pos="993"/>
                    </w:tabs>
                    <w:ind w:firstLine="709"/>
                    <w:jc w:val="both"/>
                    <w:rPr>
                      <w:rFonts w:eastAsia="Calibri"/>
                      <w:b/>
                      <w:szCs w:val="24"/>
                    </w:rPr>
                  </w:pPr>
                  <w:sdt>
                    <w:sdtPr>
                      <w:alias w:val="Numeris"/>
                      <w:tag w:val="nr_1f2242951c9c456faa5929f0d96a88be"/>
                      <w:lock w:val="sdtLocked"/>
                      <w:richText/>
                    </w:sdtPr>
                    <w:sdtContent>
                      <w:r>
                        <w:rPr>
                          <w:rFonts w:eastAsia="Calibri"/>
                          <w:szCs w:val="24"/>
                        </w:rPr>
                        <w:t>11</w:t>
                      </w:r>
                    </w:sdtContent>
                  </w:sdt>
                  <w:r>
                    <w:rPr>
                      <w:rFonts w:eastAsia="Calibri"/>
                      <w:szCs w:val="24"/>
                    </w:rPr>
                    <w:t xml:space="preserve">. Po pokalbio vertinantysis asmuo užpildo </w:t>
                  </w:r>
                  <w:r>
                    <w:rPr>
                      <w:rFonts w:eastAsia="Calibri"/>
                      <w:bCs/>
                      <w:szCs w:val="24"/>
                    </w:rPr>
                    <w:t xml:space="preserve">išvados formos 7 ir 8 punktus, įrašydamas darbuotojo </w:t>
                  </w:r>
                  <w:r>
                    <w:rPr>
                      <w:rFonts w:eastAsia="Calibri"/>
                      <w:szCs w:val="24"/>
                    </w:rPr>
                    <w:t xml:space="preserve">bendrą veiklos vertinimą </w:t>
                  </w:r>
                  <w:r>
                    <w:rPr>
                      <w:szCs w:val="24"/>
                    </w:rPr>
                    <w:t xml:space="preserve">(viršija lūkesčius, atitinka lūkesčius, iš dalies atitinka lūkesčius, neatitinka lūkesčių), </w:t>
                  </w:r>
                  <w:r>
                    <w:rPr>
                      <w:rFonts w:eastAsia="Calibri"/>
                      <w:szCs w:val="24"/>
                    </w:rPr>
                    <w:t xml:space="preserve">ir, </w:t>
                  </w:r>
                  <w:r>
                    <w:rPr>
                      <w:szCs w:val="24"/>
                    </w:rPr>
                    <w:t>atsižvelgęs į įvertinimą, vadovaudamasis Įstatymo 9 straipsnio 9, 10 ar 11 dalies nuostatomis,</w:t>
                  </w:r>
                  <w:r>
                    <w:rPr>
                      <w:rFonts w:eastAsia="Calibri"/>
                      <w:szCs w:val="24"/>
                    </w:rPr>
                    <w:t xml:space="preserve"> įrašo siūlymą</w:t>
                  </w:r>
                  <w:r>
                    <w:rPr>
                      <w:szCs w:val="24"/>
                    </w:rPr>
                    <w:t xml:space="preserve"> (arba sprendimą, jeigu veiklos vertinimo išvadą pildo į pareigas priimantis asmuo). </w:t>
                  </w:r>
                  <w:r>
                    <w:rPr>
                      <w:bCs/>
                      <w:szCs w:val="24"/>
                    </w:rPr>
                    <w:t>Bendras veiklos vertinimas įrašomas išvedus vertinimų vidurkį, jei skiriasi vykdant užduotis pasiektų rezultatų ir gebėjimų atlikti pareigybės aprašyme nustatytas funkcijas vertinimai.</w:t>
                  </w:r>
                  <w:r>
                    <w:rPr>
                      <w:b/>
                      <w:szCs w:val="24"/>
                    </w:rPr>
                    <w:t xml:space="preserve"> </w:t>
                  </w:r>
                </w:p>
              </w:sdtContent>
            </w:sdt>
            <w:sdt>
              <w:sdtPr>
                <w:alias w:val="12 p."/>
                <w:tag w:val="part_b0b23d599739411aac96ac1501910b27"/>
                <w:lock w:val="sdtLocked"/>
                <w:richText/>
              </w:sdtPr>
              <w:sdtContent>
                <w:p>
                  <w:pPr>
                    <w:ind w:firstLine="709"/>
                    <w:jc w:val="both"/>
                    <w:rPr>
                      <w:rFonts w:eastAsia="Calibri"/>
                      <w:bCs/>
                      <w:szCs w:val="24"/>
                    </w:rPr>
                  </w:pPr>
                  <w:sdt>
                    <w:sdtPr>
                      <w:alias w:val="Numeris"/>
                      <w:tag w:val="nr_b0b23d599739411aac96ac1501910b27"/>
                      <w:lock w:val="sdtLocked"/>
                      <w:richText/>
                    </w:sdtPr>
                    <w:sdtContent>
                      <w:r>
                        <w:rPr>
                          <w:rFonts w:eastAsia="Calibri"/>
                          <w:bCs/>
                          <w:szCs w:val="24"/>
                        </w:rPr>
                        <w:t>12</w:t>
                      </w:r>
                    </w:sdtContent>
                  </w:sdt>
                  <w:r>
                    <w:rPr>
                      <w:rFonts w:eastAsia="Calibri"/>
                      <w:bCs/>
                      <w:szCs w:val="24"/>
                    </w:rPr>
                    <w:t xml:space="preserve">. Darbuotojo praėjusių kalendorinių metų veikla vertinama pagal </w:t>
                  </w:r>
                  <w:r>
                    <w:t>nustatytas metines užduotis, veiklos lūkesčius, siektinus rezultatus, jų vertinimo rodiklius ir gebėjimus atlikti pareigybės aprašyme nustatytas funkcijas</w:t>
                  </w:r>
                  <w:r>
                    <w:rPr>
                      <w:rFonts w:eastAsia="Calibri"/>
                      <w:bCs/>
                      <w:szCs w:val="24"/>
                    </w:rPr>
                    <w:t>. Kiekvienas vertinimo rodiklis turi kiekybinius, kokybinius, laiko ir kitus rodiklius, kuriais vadovaudamasis vertinantysis asmuo vertina, ar nustatytos metinės užduotys įvykdytos.</w:t>
                  </w:r>
                </w:p>
              </w:sdtContent>
            </w:sdt>
            <w:sdt>
              <w:sdtPr>
                <w:alias w:val="13 p."/>
                <w:tag w:val="part_011e99267db84cccb4f68c9ea9d32e94"/>
                <w:lock w:val="sdtLocked"/>
                <w:richText/>
              </w:sdtPr>
              <w:sdtContent>
                <w:p>
                  <w:pPr>
                    <w:ind w:firstLine="709"/>
                    <w:jc w:val="both"/>
                    <w:rPr>
                      <w:rFonts w:eastAsia="Calibri"/>
                      <w:bCs/>
                      <w:szCs w:val="24"/>
                    </w:rPr>
                  </w:pPr>
                  <w:sdt>
                    <w:sdtPr>
                      <w:alias w:val="Numeris"/>
                      <w:tag w:val="nr_011e99267db84cccb4f68c9ea9d32e94"/>
                      <w:lock w:val="sdtLocked"/>
                      <w:richText/>
                    </w:sdtPr>
                    <w:sdtContent>
                      <w:r>
                        <w:rPr>
                          <w:rFonts w:eastAsia="Calibri"/>
                          <w:bCs/>
                          <w:szCs w:val="24"/>
                        </w:rPr>
                        <w:t>13</w:t>
                      </w:r>
                    </w:sdtContent>
                  </w:sdt>
                  <w:r>
                    <w:rPr>
                      <w:rFonts w:eastAsia="Calibri"/>
                      <w:bCs/>
                      <w:szCs w:val="24"/>
                    </w:rPr>
                    <w:t xml:space="preserve">. Darbuotojo, kuris biudžetinėje įstaigoje dirba trumpiau nei 6 mėnesius per kalendorinius metus, veikla nevertinama, </w:t>
                  </w:r>
                  <w:r>
                    <w:t xml:space="preserve">o per pokalbį aptariami pasiekti rezultatai pagal suformuluotus veiklos lūkesčius ir atliekami Aprašo 10.3 papunktyje nurodyti veiksmai. </w:t>
                  </w:r>
                </w:p>
              </w:sdtContent>
            </w:sdt>
            <w:sdt>
              <w:sdtPr>
                <w:alias w:val="14 p."/>
                <w:tag w:val="part_445472768a104ea1b799f923c01928bd"/>
                <w:lock w:val="sdtLocked"/>
                <w:richText/>
              </w:sdtPr>
              <w:sdtContent>
                <w:p>
                  <w:pPr>
                    <w:ind w:firstLine="709"/>
                    <w:jc w:val="both"/>
                    <w:rPr>
                      <w:rFonts w:eastAsia="Calibri"/>
                      <w:strike/>
                      <w:szCs w:val="24"/>
                    </w:rPr>
                  </w:pPr>
                  <w:sdt>
                    <w:sdtPr>
                      <w:alias w:val="Numeris"/>
                      <w:tag w:val="nr_445472768a104ea1b799f923c01928bd"/>
                      <w:lock w:val="sdtLocked"/>
                      <w:richText/>
                    </w:sdtPr>
                    <w:sdtContent>
                      <w:r>
                        <w:rPr>
                          <w:rFonts w:eastAsia="Calibri"/>
                          <w:szCs w:val="24"/>
                        </w:rPr>
                        <w:t>14</w:t>
                      </w:r>
                    </w:sdtContent>
                  </w:sdt>
                  <w:r>
                    <w:rPr>
                      <w:rFonts w:eastAsia="Calibri"/>
                      <w:szCs w:val="24"/>
                    </w:rPr>
                    <w:t>. Darbuotojų vykdant užduotis pasiekti rezultatai ir gebėjimai</w:t>
                  </w:r>
                  <w:r>
                    <w:rPr>
                      <w:szCs w:val="24"/>
                    </w:rPr>
                    <w:t xml:space="preserve"> atlikti pareigybės aprašyme nustatytas funkcijas</w:t>
                  </w:r>
                  <w:r>
                    <w:rPr>
                      <w:rFonts w:eastAsia="Calibri"/>
                      <w:szCs w:val="24"/>
                    </w:rPr>
                    <w:t xml:space="preserve"> gali būti įvertinami taip: </w:t>
                  </w:r>
                  <w:r>
                    <w:rPr>
                      <w:szCs w:val="24"/>
                    </w:rPr>
                    <w:t>viršija lūkesčius, atitinka lūkesčius, iš dalies atitinka lūkesčius, neatitinka lūkesčių</w:t>
                  </w:r>
                  <w:r>
                    <w:rPr>
                      <w:rFonts w:eastAsia="Calibri"/>
                      <w:szCs w:val="24"/>
                    </w:rPr>
                    <w:t>.</w:t>
                  </w:r>
                  <w:r>
                    <w:rPr>
                      <w:rFonts w:eastAsia="Calibri"/>
                      <w:b/>
                      <w:bCs/>
                      <w:szCs w:val="24"/>
                    </w:rPr>
                    <w:t xml:space="preserve"> </w:t>
                  </w:r>
                </w:p>
              </w:sdtContent>
            </w:sdt>
            <w:sdt>
              <w:sdtPr>
                <w:alias w:val="15 p."/>
                <w:tag w:val="part_f72915daca024d288bcaf94ccf829d4b"/>
                <w:lock w:val="sdtLocked"/>
                <w:richText/>
              </w:sdtPr>
              <w:sdtContent>
                <w:p>
                  <w:pPr>
                    <w:ind w:firstLine="709"/>
                    <w:jc w:val="both"/>
                    <w:rPr>
                      <w:szCs w:val="24"/>
                    </w:rPr>
                  </w:pPr>
                  <w:sdt>
                    <w:sdtPr>
                      <w:alias w:val="Numeris"/>
                      <w:tag w:val="nr_f72915daca024d288bcaf94ccf829d4b"/>
                      <w:lock w:val="sdtLocked"/>
                      <w:richText/>
                    </w:sdtPr>
                    <w:sdtContent>
                      <w:r>
                        <w:rPr>
                          <w:szCs w:val="24"/>
                          <w:lang w:eastAsia="lt-LT"/>
                        </w:rPr>
                        <w:t>15</w:t>
                      </w:r>
                    </w:sdtContent>
                  </w:sdt>
                  <w:r>
                    <w:rPr>
                      <w:szCs w:val="24"/>
                      <w:lang w:eastAsia="lt-LT"/>
                    </w:rPr>
                    <w:t>. Vertinantysis asmuo p</w:t>
                  </w:r>
                  <w:r>
                    <w:rPr>
                      <w:color w:val="000000"/>
                    </w:rPr>
                    <w:t>ateikia užpildytą veiklos vertinimo išvadą darbuotojui pasirašytinai susipažinti ne vėliau kaip per 5 darbo dienas nuo išvados parengimo dienos.</w:t>
                  </w:r>
                  <w:r>
                    <w:rPr>
                      <w:szCs w:val="24"/>
                      <w:lang w:eastAsia="lt-LT"/>
                    </w:rPr>
                    <w:t xml:space="preserve"> Darbuotojas pasirašytinai susipažįsta su užpildyta veiklos vertinimo išvada ne vėliau kaip per 5 darbo dienas nuo jos gavimo dienos. Jei </w:t>
                  </w:r>
                  <w:r>
                    <w:rPr>
                      <w:szCs w:val="24"/>
                    </w:rPr>
                    <w:t>darbuotojas nesutinka su bent vienu užpildytos veiklos vertinimo išvados punktu, tai pažymima darbuotojui ją pasirašant. Darbuotojui atsisakius pasirašyti užpildytą veiklos vertinimo išvadą, vertinantysis asmuo surašo aktą, kuriame nurodo darbuotojo pareigas, vardą, pavardę, atsisakymo susipažinti su užpildyta veiklos vertinimo išvada faktą, datą, ir jį pasirašo.</w:t>
                  </w:r>
                </w:p>
                <w:p>
                  <w:pPr>
                    <w:ind w:firstLine="709"/>
                    <w:jc w:val="both"/>
                    <w:rPr>
                      <w:szCs w:val="24"/>
                    </w:rPr>
                  </w:pPr>
                  <w:r>
                    <w:rPr>
                      <w:szCs w:val="24"/>
                    </w:rPr>
                    <w:t>Biudžetinės įstaigos vadovas ar darbuotojas, nesutinkantis su tiesioginio vadovo atliktu veiklos vertinimu, per 5 darbo dienas nuo susipažinimo su veiklos vertinimo išvada dienos biudžetinės įstaigos vadovą ar darbuotoją į pareigas priimančiam asmeniui gali pateikti rašytinį kreipimąsi, prašydamas įvertinti veiklos vertinimo objektyvumą ir pagrįstumą.</w:t>
                  </w:r>
                </w:p>
                <w:p>
                  <w:pPr>
                    <w:ind w:firstLine="709"/>
                    <w:jc w:val="both"/>
                    <w:rPr>
                      <w:szCs w:val="24"/>
                    </w:rPr>
                  </w:pPr>
                  <w:r>
                    <w:rPr>
                      <w:szCs w:val="24"/>
                    </w:rPr>
                    <w:t>Nagrinėjant rašytinį kreipimąsi dėl veiklos vertinimo objektyvumo ir pagrįstumo įvertinimo, biudžetinės įstaigos vadovo ar darbuotojo, nesutinkančio su tiesioginio vadovo atliktu veiklos vertinimu, pageidavimu gali dalyvauti įstaigos darbuotojams atstovaujančių subjektų (profesinės sąjungos, darbo tarybos) atstovai / darbuotojų patikėtiniai, kurie pokalbyje gali dalyvauti stebėtojų teisėmis.</w:t>
                  </w:r>
                </w:p>
              </w:sdtContent>
            </w:sdt>
            <w:sdt>
              <w:sdtPr>
                <w:alias w:val="16 p."/>
                <w:tag w:val="part_e94def79c9ba4a8b832f4f6c46bb5679"/>
                <w:lock w:val="sdtLocked"/>
                <w:richText/>
              </w:sdtPr>
              <w:sdtContent>
                <w:p>
                  <w:pPr>
                    <w:ind w:firstLine="709"/>
                    <w:jc w:val="both"/>
                    <w:rPr>
                      <w:rFonts w:eastAsia="Calibri"/>
                      <w:szCs w:val="24"/>
                    </w:rPr>
                  </w:pPr>
                  <w:sdt>
                    <w:sdtPr>
                      <w:alias w:val="Numeris"/>
                      <w:tag w:val="nr_e94def79c9ba4a8b832f4f6c46bb5679"/>
                      <w:lock w:val="sdtLocked"/>
                      <w:richText/>
                    </w:sdtPr>
                    <w:sdtContent>
                      <w:r>
                        <w:rPr>
                          <w:rFonts w:eastAsia="Calibri"/>
                          <w:szCs w:val="24"/>
                        </w:rPr>
                        <w:t>16</w:t>
                      </w:r>
                    </w:sdtContent>
                  </w:sdt>
                  <w:r>
                    <w:rPr>
                      <w:rFonts w:eastAsia="Calibri"/>
                      <w:szCs w:val="24"/>
                    </w:rPr>
                    <w:t>. Biudžetinės įstaigos vadovui metinės užduotys, veiklos lūkesčiai,</w:t>
                  </w:r>
                  <w:r>
                    <w:rPr>
                      <w:color w:val="000000"/>
                    </w:rPr>
                    <w:t xml:space="preserve"> susiję su biudžetinės įstaigos metinio veiklos plano priemonėmis arba su metinio veiklos plano priemonėmis ir su biudžetinės įstaigos vidaus administravimu bei veiklos efektyvumo didinimu, siektini rezultatai ir jų vertinimo rodikliai turi būti nustatyti kiekvienais metais iki kovo 1 dienos. Priėmus į pareigas </w:t>
                  </w:r>
                  <w:r>
                    <w:rPr>
                      <w:rFonts w:eastAsia="Calibri"/>
                      <w:szCs w:val="24"/>
                    </w:rPr>
                    <w:t>biudžetinės</w:t>
                  </w:r>
                  <w:r>
                    <w:rPr>
                      <w:color w:val="000000"/>
                    </w:rPr>
                    <w:t xml:space="preserve"> įstaigos vadovą, metinės užduotys, veiklos lūkesčiai ir jų vertinimo rodikliai nustatomi per vieną mėnesį nuo jo darbo biudžetinėje įstaigoje pradžios datos. Jeigu </w:t>
                  </w:r>
                  <w:r>
                    <w:rPr>
                      <w:rFonts w:eastAsia="Calibri"/>
                      <w:szCs w:val="24"/>
                    </w:rPr>
                    <w:t>biudžetinės</w:t>
                  </w:r>
                  <w:r>
                    <w:rPr>
                      <w:color w:val="000000"/>
                    </w:rPr>
                    <w:t xml:space="preserve"> įstaigos vadovo darbo biudžetinėje įstaigoje pradžios data yra vėlesnė negu spalio 1 diena, jam metinės užduotys, veiklos lūkesčiai ir jų vertinimo rodikliai einamiesiems kalendoriniams metams nenustatomi. Prireikus nustatytos metinės užduotys, veiklos lūkesčiai ir jų vertinimo rodikliai einamaisiais metais gali būti pakeisti arba papildyti, bet ne vėliau kaip iki spalio 1 dienos. </w:t>
                  </w:r>
                  <w:r>
                    <w:rPr>
                      <w:rFonts w:eastAsia="Calibri"/>
                      <w:szCs w:val="24"/>
                    </w:rPr>
                    <w:t>Biudžetinių į</w:t>
                  </w:r>
                  <w:r>
                    <w:rPr>
                      <w:color w:val="000000"/>
                    </w:rPr>
                    <w:t>staigų vadovams nustatytos metinės užduotys, veiklos lūkesčiai ir jų vertinimo rodikliai turi būti skelbiami vadovus į pareigas priimančių asmenų ir biudžetinių įstaigų, kuriose vadovai eina pareigas, interneto svetainėse.</w:t>
                  </w:r>
                </w:p>
              </w:sdtContent>
            </w:sdt>
            <w:sdt>
              <w:sdtPr>
                <w:alias w:val="17 p."/>
                <w:tag w:val="part_f84deae5efe64a1facc777eabc10d285"/>
                <w:lock w:val="sdtLocked"/>
                <w:richText/>
              </w:sdtPr>
              <w:sdtContent>
                <w:p>
                  <w:pPr>
                    <w:ind w:firstLine="709"/>
                    <w:jc w:val="both"/>
                    <w:rPr>
                      <w:rFonts w:eastAsia="Calibri"/>
                      <w:szCs w:val="24"/>
                    </w:rPr>
                  </w:pPr>
                  <w:sdt>
                    <w:sdtPr>
                      <w:alias w:val="Numeris"/>
                      <w:tag w:val="nr_f84deae5efe64a1facc777eabc10d285"/>
                      <w:lock w:val="sdtLocked"/>
                      <w:richText/>
                    </w:sdtPr>
                    <w:sdtContent>
                      <w:r>
                        <w:rPr>
                          <w:color w:val="000000"/>
                        </w:rPr>
                        <w:t>17</w:t>
                      </w:r>
                    </w:sdtContent>
                  </w:sdt>
                  <w:r>
                    <w:rPr>
                      <w:color w:val="000000"/>
                    </w:rPr>
                    <w:t xml:space="preserve">. Darbuotojui metinės užduotys, veiklos lūkesčiai, susiję su jo funkcijomis, siektini rezultatai ir jų vertinimo rodikliai (išskyrus </w:t>
                  </w:r>
                  <w:r>
                    <w:rPr>
                      <w:rFonts w:eastAsia="Calibri"/>
                      <w:szCs w:val="24"/>
                    </w:rPr>
                    <w:t xml:space="preserve">biudžetinės </w:t>
                  </w:r>
                  <w:r>
                    <w:rPr>
                      <w:color w:val="000000"/>
                    </w:rPr>
                    <w:t>įstaigos vadovą) turi būti nustatyti kiekvienais metais iki kovo 1 dienos, o darbuotojui, kurio darbo biudžetinėje įstaigoje pradžios data ar perkėlimo į kitas pareigas data, ar grįžimo iš atostogų vaikui prižiūrėti data yra ne vėlesnė negu spalio 1 diena, – einamaisiais metais per vieną mėnesį nuo darbo biudžetinėje įstaigoje pradžios dienos, perkėlimo ar grįžimo į pareigas dienos. Darbuotojui, kuris grįžo iš atostogų vaikui prižiūrėti vėliau negu spalio 1 dieną ar kurio darbo biudžetinėje įstaigoje pradžios ar perkėlimo į kitas pareigas data yra vėlesnė negu spalio 1 diena, metinės užduotys, veiklos lūkesčiai ir jų vertinimo rodikliai einamiesiems metams nenustatomi. Prireikus nustatytos metinės užduotys, veiklos lūkesčiai ir jų vertinimo rodikliai einamaisiais metais gali būti pakeisti arba papildyti, bet ne vėliau kaip iki spalio 1 dienos. Jeigu dėl darbuotojo laikinojo nedarbingumo, komandiruotės, atostogų ar kitų svarbių priežasčių praleidžiami Aprašo 7, 16 ir šiame punkte nurodyti terminai, darbuotojo veikla įvertinama per 5 darbo dienas nuo šių priežasčių išnykimo dienos.</w:t>
                  </w:r>
                </w:p>
              </w:sdtContent>
            </w:sdt>
            <w:sdt>
              <w:sdtPr>
                <w:alias w:val="18 p."/>
                <w:tag w:val="part_ecd7d2f9fffd46aa9eafc0da94d12a48"/>
                <w:lock w:val="sdtLocked"/>
                <w:richText/>
              </w:sdtPr>
              <w:sdtContent>
                <w:p>
                  <w:pPr>
                    <w:ind w:firstLine="709"/>
                    <w:jc w:val="both"/>
                    <w:rPr>
                      <w:rFonts w:eastAsia="Calibri"/>
                      <w:szCs w:val="24"/>
                    </w:rPr>
                  </w:pPr>
                  <w:sdt>
                    <w:sdtPr>
                      <w:alias w:val="Numeris"/>
                      <w:tag w:val="nr_ecd7d2f9fffd46aa9eafc0da94d12a48"/>
                      <w:lock w:val="sdtLocked"/>
                      <w:richText/>
                    </w:sdtPr>
                    <w:sdtContent>
                      <w:r>
                        <w:rPr>
                          <w:rFonts w:eastAsia="Calibri"/>
                          <w:szCs w:val="24"/>
                        </w:rPr>
                        <w:t>18</w:t>
                      </w:r>
                    </w:sdtContent>
                  </w:sdt>
                  <w:r>
                    <w:rPr>
                      <w:rFonts w:eastAsia="Calibri"/>
                      <w:szCs w:val="24"/>
                    </w:rPr>
                    <w:t>. Darbuotojų, išskyrus biudžetinių įstaigų vadovus, veiklos vertinimas siejamas su jų veiklos krūviais, veiklos kokybe, gebėjimais panaudoti turimas žinias ir įgūdžius vykdant pareigybės aprašyme nustatytas funkcijas.</w:t>
                  </w:r>
                </w:p>
              </w:sdtContent>
            </w:sdt>
            <w:sdt>
              <w:sdtPr>
                <w:alias w:val="19 p."/>
                <w:tag w:val="part_186da6cb4c49404ebba8ec79c5d44509"/>
                <w:lock w:val="sdtLocked"/>
                <w:richText/>
              </w:sdtPr>
              <w:sdtContent>
                <w:p>
                  <w:pPr>
                    <w:ind w:firstLine="709"/>
                    <w:jc w:val="both"/>
                    <w:rPr>
                      <w:szCs w:val="24"/>
                      <w:lang w:eastAsia="lt-LT"/>
                    </w:rPr>
                  </w:pPr>
                  <w:sdt>
                    <w:sdtPr>
                      <w:alias w:val="Numeris"/>
                      <w:tag w:val="nr_186da6cb4c49404ebba8ec79c5d44509"/>
                      <w:lock w:val="sdtLocked"/>
                      <w:richText/>
                    </w:sdtPr>
                    <w:sdtContent>
                      <w:r>
                        <w:rPr>
                          <w:rFonts w:eastAsia="Calibri"/>
                          <w:szCs w:val="24"/>
                        </w:rPr>
                        <w:t>19</w:t>
                      </w:r>
                    </w:sdtContent>
                  </w:sdt>
                  <w:r>
                    <w:rPr>
                      <w:rFonts w:eastAsia="Calibri"/>
                      <w:szCs w:val="24"/>
                    </w:rPr>
                    <w:t xml:space="preserve">. </w:t>
                  </w:r>
                  <w:r>
                    <w:rPr>
                      <w:rFonts w:eastAsia="Calibri"/>
                      <w:bCs/>
                      <w:szCs w:val="24"/>
                    </w:rPr>
                    <w:t xml:space="preserve">Nustatomos ne mažiau kaip 2 ir ne daugiau kaip 4 metinės užduotys. Kiekviena užduotis gali turėti daugiau nei vieną, bet ne daugiau kaip 3 rezultatų vertinimo rodiklius. Užpildytoje darbuotojų veiklos vertinimo išvadoje nustatytos metinės užduotys turi būti aiškios, įvykdomos, turėti nustatytą įvykdymo terminą. </w:t>
                  </w:r>
                  <w:r>
                    <w:rPr>
                      <w:szCs w:val="24"/>
                      <w:lang w:eastAsia="lt-LT"/>
                    </w:rPr>
                    <w:t xml:space="preserve">Nustatant metines užduotis, nustatomi siektinų rezultatų vertinimo rodikliai ir rizika, kuriai esant nustatytos einamųjų metų užduotys gali būti neįvykdytos. Siektinų rezultatų vertinimo rodikliai turi būti aiškūs ir leidžiantys įvertinti, ar pasiekti konkretūs rezultatai, o jų reikšmės – pamatuojamos ir apskaičiuojamos, nesunkiai patikrinamos. </w:t>
                  </w:r>
                </w:p>
              </w:sdtContent>
            </w:sdt>
            <w:sdt>
              <w:sdtPr>
                <w:alias w:val="20 p."/>
                <w:tag w:val="part_2ad62a77a9fa417b8d4f4cbc766374e9"/>
                <w:lock w:val="sdtLocked"/>
                <w:richText/>
              </w:sdtPr>
              <w:sdtContent>
                <w:p>
                  <w:pPr>
                    <w:ind w:firstLine="709"/>
                    <w:jc w:val="both"/>
                    <w:rPr>
                      <w:rFonts w:eastAsia="Calibri"/>
                      <w:szCs w:val="24"/>
                    </w:rPr>
                  </w:pPr>
                  <w:sdt>
                    <w:sdtPr>
                      <w:alias w:val="Numeris"/>
                      <w:tag w:val="nr_2ad62a77a9fa417b8d4f4cbc766374e9"/>
                      <w:lock w:val="sdtLocked"/>
                      <w:richText/>
                    </w:sdtPr>
                    <w:sdtContent>
                      <w:r>
                        <w:rPr>
                          <w:rFonts w:eastAsia="Calibri"/>
                          <w:szCs w:val="24"/>
                        </w:rPr>
                        <w:t>20</w:t>
                      </w:r>
                    </w:sdtContent>
                  </w:sdt>
                  <w:r>
                    <w:rPr>
                      <w:rFonts w:eastAsia="Calibri"/>
                      <w:szCs w:val="24"/>
                    </w:rPr>
                    <w:t xml:space="preserve">. Vertinantysis asmuo per 5 darbo dienas nuo užpildytos veiklos vertinimo išvados pasirašymo dienos ar užpildytos veiklos vertinimo išvados ir akto surašymo dienos (jeigu jis buvo surašytas) pateikia pasirašytą veiklos vertinimo išvadą ar pasirašytą veiklos vertinimo išvadą ir aktą (jeigu jis buvo surašytas) darbuotojų atstovavimą įgyvendinančiam asmeniui. </w:t>
                  </w:r>
                </w:p>
              </w:sdtContent>
            </w:sdt>
            <w:sdt>
              <w:sdtPr>
                <w:alias w:val="21 p."/>
                <w:tag w:val="part_4b56f22b88f24701a25b569cd561423c"/>
                <w:lock w:val="sdtLocked"/>
                <w:richText/>
              </w:sdtPr>
              <w:sdtContent>
                <w:p>
                  <w:pPr>
                    <w:ind w:firstLine="709"/>
                    <w:jc w:val="both"/>
                    <w:rPr>
                      <w:rFonts w:eastAsia="Calibri"/>
                      <w:szCs w:val="24"/>
                    </w:rPr>
                  </w:pPr>
                  <w:sdt>
                    <w:sdtPr>
                      <w:alias w:val="Numeris"/>
                      <w:tag w:val="nr_4b56f22b88f24701a25b569cd561423c"/>
                      <w:lock w:val="sdtLocked"/>
                      <w:richText/>
                    </w:sdtPr>
                    <w:sdtContent>
                      <w:r>
                        <w:rPr>
                          <w:rFonts w:eastAsia="Calibri"/>
                          <w:szCs w:val="24"/>
                        </w:rPr>
                        <w:t>21</w:t>
                      </w:r>
                    </w:sdtContent>
                  </w:sdt>
                  <w:r>
                    <w:rPr>
                      <w:rFonts w:eastAsia="Calibri"/>
                      <w:szCs w:val="24"/>
                    </w:rPr>
                    <w:t>. Darbuotojų atstovavimą įgyvendinantis asmuo sutinka arba nesutinka su užpildyta veiklos vertinimo išvada, tai pažymėdamas veiklos vertinimo išvadoje, pasirašo ją ir tiesiogiai, raštu ar elektroniniu paštu grąžina vertinančiajam asmeniui ne vėliau kaip per 5 darbo dienas nuo jos gavimo dienos:</w:t>
                  </w:r>
                </w:p>
                <w:sdt>
                  <w:sdtPr>
                    <w:alias w:val="21.1 pp."/>
                    <w:tag w:val="part_e8285db084db4f1584e0325e9d62a5ba"/>
                    <w:lock w:val="sdtLocked"/>
                    <w:richText/>
                  </w:sdtPr>
                  <w:sdtContent>
                    <w:p>
                      <w:pPr>
                        <w:ind w:firstLine="709"/>
                        <w:jc w:val="both"/>
                        <w:rPr>
                          <w:rFonts w:eastAsia="Calibri"/>
                          <w:szCs w:val="24"/>
                        </w:rPr>
                      </w:pPr>
                      <w:sdt>
                        <w:sdtPr>
                          <w:alias w:val="Numeris"/>
                          <w:tag w:val="nr_e8285db084db4f1584e0325e9d62a5ba"/>
                          <w:lock w:val="sdtLocked"/>
                          <w:richText/>
                        </w:sdtPr>
                        <w:sdtContent>
                          <w:r>
                            <w:rPr>
                              <w:rFonts w:eastAsia="Calibri"/>
                              <w:szCs w:val="24"/>
                            </w:rPr>
                            <w:t>21.1</w:t>
                          </w:r>
                        </w:sdtContent>
                      </w:sdt>
                      <w:r>
                        <w:rPr>
                          <w:rFonts w:eastAsia="Calibri"/>
                          <w:szCs w:val="24"/>
                        </w:rPr>
                        <w:t>. darbuotojų atstovavimą įgyvendinančiam asmeniui nesutikus su veiklos vertinimo išvada, surašyta po pokalbio, kuriame jis nedalyvavo, jei darbuotojas sutinka, darbuotojo veiklos vertinimo procedūra vykdoma pakartotinai Aprašo nustatyta tvarka, pokalbyje su darbuotoju dalyvaujant darbuotojų atstovavimą įgyvendinančiam asmeniui;</w:t>
                      </w:r>
                    </w:p>
                  </w:sdtContent>
                </w:sdt>
                <w:sdt>
                  <w:sdtPr>
                    <w:alias w:val="21.2 pp."/>
                    <w:tag w:val="part_b97121ef29954f549ccf7c7057a69583"/>
                    <w:lock w:val="sdtLocked"/>
                    <w:richText/>
                  </w:sdtPr>
                  <w:sdtContent>
                    <w:p>
                      <w:pPr>
                        <w:ind w:firstLine="709"/>
                        <w:jc w:val="both"/>
                        <w:rPr>
                          <w:rFonts w:eastAsia="Calibri"/>
                          <w:szCs w:val="24"/>
                        </w:rPr>
                      </w:pPr>
                      <w:sdt>
                        <w:sdtPr>
                          <w:alias w:val="Numeris"/>
                          <w:tag w:val="nr_b97121ef29954f549ccf7c7057a69583"/>
                          <w:lock w:val="sdtLocked"/>
                          <w:richText/>
                        </w:sdtPr>
                        <w:sdtContent>
                          <w:r>
                            <w:rPr>
                              <w:szCs w:val="24"/>
                            </w:rPr>
                            <w:t>21.2</w:t>
                          </w:r>
                        </w:sdtContent>
                      </w:sdt>
                      <w:r>
                        <w:rPr>
                          <w:szCs w:val="24"/>
                        </w:rPr>
                        <w:t>. darbuotojų atstovavimą įgyvendinančiam asmeniui nesutikus su veiklos vertinimo išvada, surašyta po pokalbio, kuriame jis dalyvavo, ši išvada teikiama Aprašo 22 ar 24 punkte nustatyta tvarka.</w:t>
                      </w:r>
                    </w:p>
                  </w:sdtContent>
                </w:sdt>
              </w:sdtContent>
            </w:sdt>
            <w:sdt>
              <w:sdtPr>
                <w:alias w:val="22 p."/>
                <w:tag w:val="part_81a730dec9754a9c86c155099bb88bc7"/>
                <w:lock w:val="sdtLocked"/>
                <w:richText/>
              </w:sdtPr>
              <w:sdtContent>
                <w:p>
                  <w:pPr>
                    <w:ind w:firstLine="709"/>
                    <w:jc w:val="both"/>
                    <w:rPr>
                      <w:rFonts w:eastAsia="Calibri"/>
                      <w:szCs w:val="22"/>
                    </w:rPr>
                  </w:pPr>
                  <w:sdt>
                    <w:sdtPr>
                      <w:alias w:val="Numeris"/>
                      <w:tag w:val="nr_81a730dec9754a9c86c155099bb88bc7"/>
                      <w:lock w:val="sdtLocked"/>
                      <w:richText/>
                    </w:sdtPr>
                    <w:sdtContent>
                      <w:r>
                        <w:rPr>
                          <w:rFonts w:eastAsia="Calibri"/>
                          <w:szCs w:val="24"/>
                        </w:rPr>
                        <w:t>22</w:t>
                      </w:r>
                    </w:sdtContent>
                  </w:sdt>
                  <w:r>
                    <w:rPr>
                      <w:rFonts w:eastAsia="Calibri"/>
                      <w:szCs w:val="24"/>
                    </w:rPr>
                    <w:t xml:space="preserve">. </w:t>
                  </w:r>
                  <w:r>
                    <w:rPr>
                      <w:rFonts w:eastAsia="Calibri"/>
                      <w:bCs/>
                      <w:szCs w:val="22"/>
                    </w:rPr>
                    <w:t xml:space="preserve">Darbuotojų atstovavimą įgyvendinančiam asmeniui sutikus su užpildyta veiklos vertinimo išvada ir su aktu (jeigu jis surašytas) arba darbuotojui nesutikus, kad jo veiklos vertinimo procedūra būtų vykdoma pakartotinai, tiesioginis darbuotojo vadovas per 5 darbo dienas nuo veiklos vertinimo išvados gavimo dienos pateikia šios išvados originalą ir aktą (jeigu jis buvo surašytas) į pareigas priimančiam asmeniui, kuris </w:t>
                  </w:r>
                  <w:r>
                    <w:rPr>
                      <w:rFonts w:eastAsia="Calibri"/>
                      <w:szCs w:val="22"/>
                    </w:rPr>
                    <w:t xml:space="preserve">per 10 darbo dienų priima </w:t>
                  </w:r>
                  <w:r>
                    <w:t>sprendimą pritarti arba nepritarti darbuotojo tiesioginio vadovo pasiūlymui</w:t>
                  </w:r>
                  <w:r>
                    <w:rPr>
                      <w:rFonts w:eastAsia="Calibri"/>
                      <w:szCs w:val="22"/>
                    </w:rPr>
                    <w:t>.</w:t>
                  </w:r>
                </w:p>
              </w:sdtContent>
            </w:sdt>
            <w:sdt>
              <w:sdtPr>
                <w:alias w:val="23 p."/>
                <w:tag w:val="part_a6e3ed8909eb4b82b07dff26664928e4"/>
                <w:lock w:val="sdtLocked"/>
                <w:richText/>
              </w:sdtPr>
              <w:sdtContent>
                <w:p>
                  <w:pPr>
                    <w:ind w:firstLine="709"/>
                    <w:jc w:val="both"/>
                    <w:rPr>
                      <w:rFonts w:eastAsia="Calibri"/>
                      <w:szCs w:val="24"/>
                    </w:rPr>
                  </w:pPr>
                  <w:sdt>
                    <w:sdtPr>
                      <w:alias w:val="Numeris"/>
                      <w:tag w:val="nr_a6e3ed8909eb4b82b07dff26664928e4"/>
                      <w:lock w:val="sdtLocked"/>
                      <w:richText/>
                    </w:sdtPr>
                    <w:sdtContent>
                      <w:r>
                        <w:rPr>
                          <w:rFonts w:eastAsia="Calibri"/>
                          <w:szCs w:val="24"/>
                        </w:rPr>
                        <w:t>23</w:t>
                      </w:r>
                    </w:sdtContent>
                  </w:sdt>
                  <w:r>
                    <w:rPr>
                      <w:rFonts w:eastAsia="Calibri"/>
                      <w:szCs w:val="24"/>
                    </w:rPr>
                    <w:t>. Jei, pakartotinai atlikus darbuotojo veiklos vertinimo procedūrą Aprašo nustatyta tvarka, darbuotojų atstovavimą įgyvendinantis asmuo nesutinka su vertinančiojo asmens pateikta veiklos vertinimo išvada, ši išvada teikiama Aprašo 22 ar 24 punkte nustatyta tvarka.</w:t>
                  </w:r>
                </w:p>
              </w:sdtContent>
            </w:sdt>
            <w:sdt>
              <w:sdtPr>
                <w:alias w:val="24 p."/>
                <w:tag w:val="part_23d21db1643745eabd82465e84fbe7e4"/>
                <w:lock w:val="sdtLocked"/>
                <w:richText/>
              </w:sdtPr>
              <w:sdtContent>
                <w:p>
                  <w:pPr>
                    <w:ind w:firstLine="709"/>
                    <w:jc w:val="both"/>
                  </w:pPr>
                  <w:sdt>
                    <w:sdtPr>
                      <w:alias w:val="Numeris"/>
                      <w:tag w:val="nr_23d21db1643745eabd82465e84fbe7e4"/>
                      <w:lock w:val="sdtLocked"/>
                      <w:richText/>
                    </w:sdtPr>
                    <w:sdtContent>
                      <w:r>
                        <w:t>24</w:t>
                      </w:r>
                    </w:sdtContent>
                  </w:sdt>
                  <w:r>
                    <w:t xml:space="preserve">. Jeigu į pareigas priimantis asmuo įgaliojo kitą asmenį įvertinti </w:t>
                  </w:r>
                  <w:r>
                    <w:rPr>
                      <w:rFonts w:eastAsia="Calibri"/>
                      <w:szCs w:val="24"/>
                    </w:rPr>
                    <w:t>biudžetinės</w:t>
                  </w:r>
                  <w:r>
                    <w:t xml:space="preserve"> įstaigos vadovo praėjusių kalendorinių metų veiklą, darbuotojų atstovavimą įgyvendinančiam asmeniui sutikus su užpildyta veiklos vertinimo išvada arba </w:t>
                  </w:r>
                  <w:r>
                    <w:rPr>
                      <w:rFonts w:eastAsia="Calibri"/>
                      <w:szCs w:val="24"/>
                    </w:rPr>
                    <w:t>biudžetinės</w:t>
                  </w:r>
                  <w:r>
                    <w:t xml:space="preserve"> įstaigos vadovui nesutikus, kad jo veiklos vertinimo procedūra būtų vykdoma pakartotinai, įgaliotas asmuo per 5 darbo dienas nuo veiklos vertinimo išvados gavimo dienos pateikia šios išvados originalą ir aktą (jei jis buvo surašytas) į pareigas priimančiam asmeniui, kuris </w:t>
                  </w:r>
                  <w:r>
                    <w:rPr>
                      <w:rFonts w:eastAsia="Calibri"/>
                      <w:szCs w:val="22"/>
                    </w:rPr>
                    <w:t>per 10 darbo dienų priima</w:t>
                  </w:r>
                  <w:r>
                    <w:t xml:space="preserve"> sprendimą pritarti arba nepritarti įgalioto asmens pasiūlymui.</w:t>
                  </w:r>
                </w:p>
              </w:sdtContent>
            </w:sdt>
            <w:sdt>
              <w:sdtPr>
                <w:alias w:val="25 p."/>
                <w:tag w:val="part_a853068ace2841ec92b35f52b87ecd0d"/>
                <w:lock w:val="sdtLocked"/>
                <w:richText/>
              </w:sdtPr>
              <w:sdtContent>
                <w:p>
                  <w:pPr>
                    <w:ind w:firstLine="709"/>
                    <w:jc w:val="both"/>
                  </w:pPr>
                  <w:sdt>
                    <w:sdtPr>
                      <w:alias w:val="Numeris"/>
                      <w:tag w:val="nr_a853068ace2841ec92b35f52b87ecd0d"/>
                      <w:lock w:val="sdtLocked"/>
                      <w:richText/>
                    </w:sdtPr>
                    <w:sdtContent>
                      <w:r>
                        <w:rPr>
                          <w:rFonts w:eastAsia="Calibri"/>
                          <w:szCs w:val="24"/>
                        </w:rPr>
                        <w:t>25</w:t>
                      </w:r>
                    </w:sdtContent>
                  </w:sdt>
                  <w:r>
                    <w:rPr>
                      <w:rFonts w:eastAsia="Calibri"/>
                      <w:szCs w:val="24"/>
                    </w:rPr>
                    <w:t xml:space="preserve">. </w:t>
                  </w:r>
                  <w:r>
                    <w:t xml:space="preserve">Įstatymo 9 straipsnio 11 dalies 2 punkte nustatytu atveju įvertinus, kad darbuotojo veikla įvertinama kaip neatitinkanti lūkesčių, gali būti sudaromas </w:t>
                  </w:r>
                  <w:r>
                    <w:rPr>
                      <w:color w:val="000000"/>
                      <w:szCs w:val="24"/>
                      <w:lang w:eastAsia="lt-LT"/>
                    </w:rPr>
                    <w:t>ne trumpesnės negu 2 mėnesių ir ne ilgesnės negu 6 mėnesių trukmės biudžetinės įstaigos vadovo ar darbuotojo veiklos gerinimo planas</w:t>
                  </w:r>
                  <w:r>
                    <w:t xml:space="preserve">, jame nurodomi darbuotojo veiklos trūkumai, nustatomi veiklos lūkesčiai, siūlomos priemonės veiklos rezultatams pasiekti, nurodomas veiklos gerinimo plano įvykdymo terminas. Vertinantysis asmuo šį planą pateikia darbuotojui pasirašytinai susipažinti ne vėliau kaip per 7 darbo dienas nuo plano pasirašymo dienos. </w:t>
                  </w:r>
                </w:p>
              </w:sdtContent>
            </w:sdt>
            <w:sdt>
              <w:sdtPr>
                <w:alias w:val="26 p."/>
                <w:tag w:val="part_481a69d185cc4f809d10263dc66cfbdb"/>
                <w:lock w:val="sdtLocked"/>
                <w:richText/>
              </w:sdtPr>
              <w:sdtContent>
                <w:p>
                  <w:pPr>
                    <w:ind w:firstLine="709"/>
                    <w:jc w:val="both"/>
                    <w:rPr>
                      <w:color w:val="000000"/>
                    </w:rPr>
                  </w:pPr>
                  <w:sdt>
                    <w:sdtPr>
                      <w:alias w:val="Numeris"/>
                      <w:tag w:val="nr_481a69d185cc4f809d10263dc66cfbdb"/>
                      <w:lock w:val="sdtLocked"/>
                      <w:richText/>
                    </w:sdtPr>
                    <w:sdtContent>
                      <w:r>
                        <w:t>26</w:t>
                      </w:r>
                    </w:sdtContent>
                  </w:sdt>
                  <w:r>
                    <w:t xml:space="preserve">. Darbuotojų pareiginės algos kintamosios dalies, jeigu ji numatyta darbo apmokėjimo sistemoje, dydis priklauso nuo jų praėjusių metų veiklos vertinimo pagal nustatytas metines užduotis, veiklos lūkesčius, veiklos vertinimo rodiklius ir gebėjimus atlikti pareigybės aprašyme nustatytas funkcijas. </w:t>
                  </w:r>
                  <w:r>
                    <w:rPr>
                      <w:color w:val="000000"/>
                    </w:rPr>
                    <w:t>Pareiginės algos kintamoji dalis,</w:t>
                  </w:r>
                  <w:r>
                    <w:t xml:space="preserve"> jeigu ji numatyta darbo apmokėjimo sistemoje,</w:t>
                  </w:r>
                  <w:r>
                    <w:rPr>
                      <w:color w:val="000000"/>
                    </w:rPr>
                    <w:t xml:space="preserve"> atsižvelgiant į darbuotojo praėjusių metų veiklos vertinimą, gali būti iki 40 procentų pareiginės algos, ji mokama iki darbuotojo kito kasmetinio veiklos vertinimo dienos. </w:t>
                  </w:r>
                </w:p>
              </w:sdtContent>
            </w:sdt>
            <w:sdt>
              <w:sdtPr>
                <w:alias w:val="27 p."/>
                <w:tag w:val="part_5f5d980fc9964059a8704aaeac770785"/>
                <w:lock w:val="sdtLocked"/>
                <w:richText/>
              </w:sdtPr>
              <w:sdtContent>
                <w:p>
                  <w:pPr>
                    <w:ind w:firstLine="709"/>
                    <w:jc w:val="both"/>
                    <w:rPr>
                      <w:color w:val="000000"/>
                    </w:rPr>
                  </w:pPr>
                  <w:sdt>
                    <w:sdtPr>
                      <w:alias w:val="Numeris"/>
                      <w:tag w:val="nr_5f5d980fc9964059a8704aaeac770785"/>
                      <w:lock w:val="sdtLocked"/>
                      <w:richText/>
                    </w:sdtPr>
                    <w:sdtContent>
                      <w:r>
                        <w:t>27</w:t>
                      </w:r>
                    </w:sdtContent>
                  </w:sdt>
                  <w:r>
                    <w:t xml:space="preserve">. </w:t>
                  </w:r>
                  <w:r>
                    <w:rPr>
                      <w:bCs/>
                      <w:szCs w:val="24"/>
                    </w:rPr>
                    <w:t>D</w:t>
                  </w:r>
                  <w:r>
                    <w:rPr>
                      <w:color w:val="000000"/>
                    </w:rPr>
                    <w:t>arbuotojo pareiginės algos kintamoji dalis, jeigu ji numatyta darbo apmokėjimo sistemoje, gali būti nustatyta nuo jo darbo biudžetinėje įstaigoje pradžios datos arba pasibaigus išbandymo terminui, taip pat darbuotojui grįžus iš atostogų vaikui prižiūrėti, atsižvelgiant į darbuotojo profesinę kvalifikaciją ir jam iškeltus uždavinius, tačiau ji negali būti didesnė kaip 20 procentų pareiginės algos pastoviosios dalies ir negali būti mokama ilgiau kaip iki to darbuotojo kito kasmetinio veiklos vertinimo dienos.</w:t>
                  </w:r>
                </w:p>
              </w:sdtContent>
            </w:sdt>
            <w:sdt>
              <w:sdtPr>
                <w:alias w:val="28 p."/>
                <w:tag w:val="part_b892a5a8d98046b5879f8b207603294f"/>
                <w:lock w:val="sdtLocked"/>
                <w:richText/>
              </w:sdtPr>
              <w:sdtContent>
                <w:p>
                  <w:pPr>
                    <w:ind w:firstLine="709"/>
                    <w:jc w:val="both"/>
                    <w:rPr>
                      <w:rFonts w:eastAsia="Calibri"/>
                      <w:bCs/>
                      <w:szCs w:val="24"/>
                    </w:rPr>
                  </w:pPr>
                  <w:sdt>
                    <w:sdtPr>
                      <w:alias w:val="Numeris"/>
                      <w:tag w:val="nr_b892a5a8d98046b5879f8b207603294f"/>
                      <w:lock w:val="sdtLocked"/>
                      <w:richText/>
                    </w:sdtPr>
                    <w:sdtContent>
                      <w:r>
                        <w:rPr>
                          <w:color w:val="000000"/>
                        </w:rPr>
                        <w:t>28</w:t>
                      </w:r>
                    </w:sdtContent>
                  </w:sdt>
                  <w:r>
                    <w:rPr>
                      <w:color w:val="000000"/>
                    </w:rPr>
                    <w:t>. Konkrečius darbuotojo pareiginės algos kintamosios dalies procentinius dydžius, jei numatoma taikyti kintamąją dalį, pagal biudžetinės įstaigos darbo apmokėjimo sistemą nustato į pareigas priimantis asmuo.</w:t>
                  </w:r>
                </w:p>
                <w:p>
                  <w:pPr>
                    <w:jc w:val="both"/>
                  </w:pPr>
                </w:p>
              </w:sdtContent>
            </w:sdt>
          </w:sdtContent>
        </w:sdt>
        <w:sdt>
          <w:sdtPr>
            <w:alias w:val="skyrius"/>
            <w:tag w:val="part_cd3516d803654e83bc81af66649c3082"/>
            <w:lock w:val="sdtLocked"/>
            <w:richText/>
          </w:sdtPr>
          <w:sdtContent>
            <w:p>
              <w:pPr>
                <w:jc w:val="center"/>
                <w:rPr>
                  <w:b/>
                  <w:szCs w:val="24"/>
                  <w:lang w:eastAsia="lt-LT"/>
                </w:rPr>
              </w:pPr>
              <w:sdt>
                <w:sdtPr>
                  <w:alias w:val="Numeris"/>
                  <w:tag w:val="nr_cd3516d803654e83bc81af66649c3082"/>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cd3516d803654e83bc81af66649c3082"/>
                  <w:lock w:val="sdtLocked"/>
                  <w:richText/>
                </w:sdtPr>
                <w:sdtContent>
                  <w:r>
                    <w:rPr>
                      <w:b/>
                      <w:szCs w:val="24"/>
                      <w:lang w:eastAsia="lt-LT"/>
                    </w:rPr>
                    <w:t xml:space="preserve">BAIGIAMOSIOS NUOSTATOS </w:t>
                  </w:r>
                </w:sdtContent>
              </w:sdt>
            </w:p>
            <w:p>
              <w:pPr>
                <w:jc w:val="both"/>
                <w:rPr>
                  <w:color w:val="000000"/>
                  <w:szCs w:val="24"/>
                  <w:lang w:eastAsia="lt-LT"/>
                </w:rPr>
              </w:pPr>
            </w:p>
            <w:sdt>
              <w:sdtPr>
                <w:alias w:val="29 p."/>
                <w:tag w:val="part_08dc7c28f5574483832fcf3ee69f5e8a"/>
                <w:lock w:val="sdtLocked"/>
                <w:richText/>
              </w:sdtPr>
              <w:sdtContent>
                <w:p>
                  <w:pPr>
                    <w:ind w:firstLine="720"/>
                    <w:jc w:val="both"/>
                    <w:rPr>
                      <w:rFonts w:eastAsia="Arial Unicode MS"/>
                      <w:szCs w:val="24"/>
                    </w:rPr>
                  </w:pPr>
                  <w:sdt>
                    <w:sdtPr>
                      <w:alias w:val="Numeris"/>
                      <w:tag w:val="nr_08dc7c28f5574483832fcf3ee69f5e8a"/>
                      <w:lock w:val="sdtLocked"/>
                      <w:richText/>
                    </w:sdtPr>
                    <w:sdtContent>
                      <w:r>
                        <w:rPr>
                          <w:color w:val="000000"/>
                          <w:szCs w:val="24"/>
                          <w:lang w:eastAsia="lt-LT"/>
                        </w:rPr>
                        <w:t>29</w:t>
                      </w:r>
                    </w:sdtContent>
                  </w:sdt>
                  <w:r>
                    <w:rPr>
                      <w:color w:val="000000"/>
                      <w:szCs w:val="24"/>
                      <w:lang w:eastAsia="lt-LT"/>
                    </w:rPr>
                    <w:t xml:space="preserve">. </w:t>
                  </w:r>
                  <w:r>
                    <w:rPr>
                      <w:color w:val="000000"/>
                      <w:szCs w:val="24"/>
                    </w:rPr>
                    <w:t>Ginčai dėl biudžetinių įstaigų darbuotojų veiklos vertinimo nagrinėjami Lietuvos Respublikos darbo kodekse nustatyta darbo ginčų nagrinėjimo tvarka.</w:t>
                  </w:r>
                </w:p>
              </w:sdtContent>
            </w:sdt>
            <w:sdt>
              <w:sdtPr>
                <w:alias w:val="30 p."/>
                <w:tag w:val="part_ccb25c5a79694669a7935255396fa360"/>
                <w:lock w:val="sdtLocked"/>
                <w:richText/>
              </w:sdtPr>
              <w:sdtContent>
                <w:p>
                  <w:pPr>
                    <w:ind w:firstLine="709"/>
                    <w:jc w:val="both"/>
                    <w:rPr>
                      <w:bCs/>
                      <w:szCs w:val="24"/>
                      <w:lang w:eastAsia="lt-LT"/>
                    </w:rPr>
                  </w:pPr>
                  <w:sdt>
                    <w:sdtPr>
                      <w:alias w:val="Numeris"/>
                      <w:tag w:val="nr_ccb25c5a79694669a7935255396fa360"/>
                      <w:lock w:val="sdtLocked"/>
                      <w:richText/>
                    </w:sdtPr>
                    <w:sdtContent>
                      <w:r>
                        <w:rPr>
                          <w:bCs/>
                          <w:szCs w:val="24"/>
                          <w:lang w:eastAsia="lt-LT"/>
                        </w:rPr>
                        <w:t>30</w:t>
                      </w:r>
                    </w:sdtContent>
                  </w:sdt>
                  <w:r>
                    <w:rPr>
                      <w:bCs/>
                      <w:szCs w:val="24"/>
                      <w:lang w:eastAsia="lt-LT"/>
                    </w:rPr>
                    <w:t xml:space="preserve">. </w:t>
                  </w:r>
                  <w:r>
                    <w:rPr>
                      <w:bCs/>
                      <w:szCs w:val="24"/>
                    </w:rPr>
                    <w:t xml:space="preserve">Asmens duomenys tvarkomi </w:t>
                  </w:r>
                  <w:r>
                    <w:rPr>
                      <w:bCs/>
                      <w:szCs w:val="24"/>
                      <w:lang w:eastAsia="lt-LT"/>
                    </w:rPr>
                    <w:t xml:space="preserve">Lietuvos Respublikos asmens duomenų teisinės apsaugos įstatymo, Aprašo ir kitų teisės aktų, reglamentuojančių asmens duomenų apsaugą ir tvarkymą, nustatyta tvarka, vadovaujantis </w:t>
                  </w:r>
                  <w:r>
                    <w:rPr>
                      <w:bCs/>
                      <w:szCs w:val="24"/>
                    </w:rPr>
                    <w:t>2016 m. balandžio 27 d. Europos Parlamento ir Tarybos reglamentu (ES) 2016/679 dėl fizinių asmenų apsaugos tvarkant asmens duomenis ir dėl laisvo tokių duomenų judėjimo ir kuriuo panaikinama Direktyva 95/46/EB (Bendrasis duomenų apsaugos reglamentas)</w:t>
                  </w:r>
                  <w:r>
                    <w:rPr>
                      <w:bCs/>
                      <w:szCs w:val="24"/>
                      <w:lang w:eastAsia="lt-LT"/>
                    </w:rPr>
                    <w:t>.</w:t>
                  </w:r>
                </w:p>
              </w:sdtContent>
            </w:sdt>
            <w:sdt>
              <w:sdtPr>
                <w:alias w:val="31 p."/>
                <w:tag w:val="part_46c81c03f9a64066b89e2422513fd058"/>
                <w:lock w:val="sdtLocked"/>
                <w:richText/>
              </w:sdtPr>
              <w:sdtContent>
                <w:p>
                  <w:pPr>
                    <w:ind w:firstLine="709"/>
                    <w:jc w:val="both"/>
                    <w:rPr>
                      <w:szCs w:val="24"/>
                      <w:lang w:eastAsia="lt-LT"/>
                    </w:rPr>
                  </w:pPr>
                  <w:sdt>
                    <w:sdtPr>
                      <w:alias w:val="Numeris"/>
                      <w:tag w:val="nr_46c81c03f9a64066b89e2422513fd058"/>
                      <w:lock w:val="sdtLocked"/>
                      <w:richText/>
                    </w:sdtPr>
                    <w:sdtContent>
                      <w:r>
                        <w:rPr>
                          <w:szCs w:val="24"/>
                          <w:lang w:eastAsia="lt-LT"/>
                        </w:rPr>
                        <w:t>31</w:t>
                      </w:r>
                    </w:sdtContent>
                  </w:sdt>
                  <w:r>
                    <w:rPr>
                      <w:szCs w:val="24"/>
                      <w:lang w:eastAsia="lt-LT"/>
                    </w:rPr>
                    <w:t>. Dokumentai saugomi Lietuvos Respublikos dokumentų ir archyvų įstatymo nustatyta tvarka.</w:t>
                  </w:r>
                </w:p>
                <w:p>
                  <w:pPr>
                    <w:jc w:val="center"/>
                    <w:rPr>
                      <w:rFonts w:eastAsia="Calibri"/>
                      <w:szCs w:val="24"/>
                    </w:rPr>
                  </w:pPr>
                </w:p>
              </w:sdtContent>
            </w:sdt>
          </w:sdtContent>
        </w:sdt>
        <w:sdt>
          <w:sdtPr>
            <w:alias w:val="pabaiga"/>
            <w:tag w:val="part_53c55c052b554055b773ccf95256fd3f"/>
            <w:lock w:val="sdtLocked"/>
            <w:richText/>
          </w:sdtPr>
          <w:sdtContent>
            <w:p>
              <w:pPr>
                <w:jc w:val="center"/>
              </w:pPr>
              <w:r>
                <w:rPr>
                  <w:rFonts w:eastAsia="Calibri"/>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78adb0b9d211eea5a28c81c82193a8">
            <w:r w:rsidRPr="00532B9F">
              <w:rPr>
                <w:rFonts w:ascii="Times New Roman" w:eastAsia="MS Mincho" w:hAnsi="Times New Roman"/>
                <w:sz w:val="20"/>
                <w:i/>
                <w:iCs/>
                <w:color w:val="0000FF" w:themeColor="hyperlink"/>
                <w:u w:val="single"/>
              </w:rPr>
              <w:t>A1-62</w:t>
            </w:r>
          </w:fldSimple>
          <w:r>
            <w:rPr>
              <w:rFonts w:ascii="Times New Roman" w:eastAsia="MS Mincho" w:hAnsi="Times New Roman"/>
              <w:sz w:val="20"/>
              <w:i/>
              <w:iCs/>
            </w:rPr>
            <w:t>,
2024-01-23,
paskelbta TAR 2024-01-23, i. k. 2024-01041            </w:t>
          </w:r>
        </w:p>
        <w:p/>
      </w:sdtContent>
    </w:sdt>
    <w:sdt>
      <w:sdtPr>
        <w:alias w:val="pr."/>
        <w:tag w:val="part_bd210e6fcdc54d348736964190bdd5ed"/>
        <w:lock w:val="sdtLocked"/>
        <w:richText/>
      </w:sdtPr>
      <w:sdtContent>
        <w:p>
          <w:pPr>
            <w:ind w:left="5812"/>
            <w:sectPr>
              <w:pgSz w:w="11906" w:h="16838"/>
              <w:pgMar w:top="851" w:right="567" w:bottom="1134" w:left="1701" w:header="720" w:footer="720" w:gutter="0"/>
              <w:pgNumType w:start="1"/>
              <w:cols w:space="720"/>
              <w:titlePg/>
              <w:docGrid w:linePitch="360"/>
            </w:sectPr>
          </w:pPr>
        </w:p>
        <w:p>
          <w:pPr>
            <w:ind w:left="5812"/>
            <w:rPr>
              <w:rFonts w:eastAsia="Calibri"/>
              <w:szCs w:val="24"/>
            </w:rPr>
          </w:pPr>
          <w:r>
            <w:rPr>
              <w:rFonts w:eastAsia="Calibri"/>
              <w:szCs w:val="24"/>
            </w:rPr>
            <w:t>Socialinių paslaugų srities darbuotojų</w:t>
          </w:r>
        </w:p>
        <w:p>
          <w:pPr>
            <w:ind w:left="5812"/>
            <w:rPr>
              <w:rFonts w:eastAsia="Calibri"/>
              <w:szCs w:val="24"/>
            </w:rPr>
          </w:pPr>
          <w:r>
            <w:rPr>
              <w:rFonts w:eastAsia="Calibri"/>
              <w:szCs w:val="24"/>
            </w:rPr>
            <w:t>veiklos vertinimo tvarkos aprašo</w:t>
          </w:r>
        </w:p>
        <w:p>
          <w:pPr>
            <w:ind w:left="5812"/>
            <w:rPr>
              <w:rFonts w:eastAsia="Calibri"/>
              <w:szCs w:val="24"/>
            </w:rPr>
          </w:pPr>
          <w:r>
            <w:rPr>
              <w:rFonts w:eastAsia="Calibri"/>
              <w:szCs w:val="24"/>
            </w:rPr>
            <w:t>priedas</w:t>
          </w:r>
        </w:p>
        <w:p>
          <w:pPr>
            <w:rPr>
              <w:rFonts w:eastAsia="Calibri"/>
              <w:sz w:val="22"/>
              <w:szCs w:val="22"/>
            </w:rPr>
          </w:pPr>
        </w:p>
        <w:p>
          <w:pPr>
            <w:rPr>
              <w:szCs w:val="24"/>
            </w:rPr>
          </w:pPr>
        </w:p>
        <w:p>
          <w:pPr>
            <w:jc w:val="center"/>
            <w:rPr>
              <w:rFonts w:eastAsia="Calibri"/>
              <w:b/>
              <w:szCs w:val="24"/>
            </w:rPr>
          </w:pPr>
          <w:sdt>
            <w:sdtPr>
              <w:alias w:val="Pavadinimas"/>
              <w:tag w:val="title_bd210e6fcdc54d348736964190bdd5ed"/>
              <w:lock w:val="sdtLocked"/>
              <w:richText/>
            </w:sdtPr>
            <w:sdtContent>
              <w:r>
                <w:rPr>
                  <w:rFonts w:eastAsia="Calibri"/>
                  <w:b/>
                  <w:szCs w:val="24"/>
                </w:rPr>
                <w:t>(Socialinių paslaugų srities darbuotojų veiklos vertinimo forma)</w:t>
              </w:r>
            </w:sdtContent>
          </w:sdt>
        </w:p>
        <w:p>
          <w:pPr>
            <w:tabs>
              <w:tab w:val="left" w:pos="14656"/>
            </w:tabs>
            <w:rPr>
              <w:szCs w:val="24"/>
            </w:rPr>
          </w:pPr>
        </w:p>
        <w:p>
          <w:pPr>
            <w:tabs>
              <w:tab w:val="left" w:pos="14656"/>
            </w:tabs>
            <w:jc w:val="center"/>
            <w:rPr>
              <w:szCs w:val="24"/>
            </w:rPr>
          </w:pPr>
          <w:r>
            <w:rPr>
              <w:szCs w:val="24"/>
            </w:rPr>
            <w:t>_________________________________________________________________</w:t>
          </w:r>
        </w:p>
        <w:p>
          <w:pPr>
            <w:tabs>
              <w:tab w:val="left" w:pos="14656"/>
            </w:tabs>
            <w:jc w:val="center"/>
            <w:rPr>
              <w:sz w:val="20"/>
            </w:rPr>
          </w:pPr>
          <w:r>
            <w:rPr>
              <w:sz w:val="20"/>
            </w:rPr>
            <w:t>(valstybės ar savivaldybės biudžetinės įstaigos pavadinimas, jos struktūrinio padalinio pavadinimas)</w:t>
          </w:r>
        </w:p>
        <w:p>
          <w:pPr>
            <w:tabs>
              <w:tab w:val="left" w:pos="14656"/>
            </w:tabs>
            <w:jc w:val="center"/>
            <w:rPr>
              <w:szCs w:val="24"/>
            </w:rPr>
          </w:pPr>
        </w:p>
        <w:p>
          <w:pPr>
            <w:tabs>
              <w:tab w:val="left" w:pos="14656"/>
            </w:tabs>
            <w:jc w:val="center"/>
            <w:rPr>
              <w:szCs w:val="24"/>
            </w:rPr>
          </w:pPr>
          <w:r>
            <w:rPr>
              <w:szCs w:val="24"/>
            </w:rPr>
            <w:t>_________________________________________________________________</w:t>
          </w:r>
        </w:p>
        <w:p>
          <w:pPr>
            <w:jc w:val="center"/>
            <w:rPr>
              <w:sz w:val="20"/>
            </w:rPr>
          </w:pPr>
          <w:r>
            <w:rPr>
              <w:sz w:val="20"/>
            </w:rPr>
            <w:t>(darbuotojo pareigos, vardas ir pavardė)</w:t>
          </w:r>
        </w:p>
        <w:p>
          <w:pPr>
            <w:rPr>
              <w:sz w:val="18"/>
              <w:szCs w:val="18"/>
            </w:rPr>
          </w:pPr>
        </w:p>
        <w:p>
          <w:pPr>
            <w:rPr>
              <w:sz w:val="18"/>
              <w:szCs w:val="18"/>
            </w:rPr>
          </w:pPr>
        </w:p>
        <w:p>
          <w:pPr>
            <w:jc w:val="center"/>
            <w:rPr>
              <w:rFonts w:eastAsia="Calibri"/>
              <w:b/>
              <w:szCs w:val="24"/>
            </w:rPr>
          </w:pPr>
          <w:r>
            <w:rPr>
              <w:rFonts w:eastAsia="Calibri"/>
              <w:b/>
              <w:szCs w:val="24"/>
            </w:rPr>
            <w:t>TIESIOGINIO VADOVO MOTYVUOTAS PASIŪLYMAS SOCIALINIŲ PASLAUGŲ SRITIES DARBUOTOJO VEIKLOS VERTINIMO METU</w:t>
          </w:r>
        </w:p>
        <w:p>
          <w:pPr>
            <w:jc w:val="center"/>
            <w:rPr>
              <w:szCs w:val="24"/>
              <w:lang w:eastAsia="lt-LT"/>
            </w:rPr>
          </w:pPr>
        </w:p>
        <w:p>
          <w:pPr>
            <w:jc w:val="center"/>
            <w:rPr>
              <w:szCs w:val="24"/>
              <w:lang w:eastAsia="lt-LT"/>
            </w:rPr>
          </w:pPr>
          <w:r>
            <w:rPr>
              <w:szCs w:val="24"/>
              <w:lang w:eastAsia="lt-LT"/>
            </w:rPr>
            <w:t>_____________ Nr. ________</w:t>
          </w:r>
        </w:p>
        <w:p>
          <w:pPr>
            <w:ind w:left="2592" w:firstLine="1296"/>
            <w:rPr>
              <w:sz w:val="20"/>
            </w:rPr>
          </w:pPr>
          <w:r>
            <w:rPr>
              <w:sz w:val="20"/>
            </w:rPr>
            <w:t>(data)</w:t>
          </w:r>
        </w:p>
        <w:p>
          <w:pPr>
            <w:tabs>
              <w:tab w:val="left" w:pos="3828"/>
            </w:tabs>
            <w:jc w:val="center"/>
            <w:rPr>
              <w:szCs w:val="24"/>
            </w:rPr>
          </w:pPr>
          <w:r>
            <w:rPr>
              <w:szCs w:val="24"/>
            </w:rPr>
            <w:t>_________________</w:t>
          </w:r>
        </w:p>
        <w:p>
          <w:pPr>
            <w:tabs>
              <w:tab w:val="left" w:pos="3828"/>
            </w:tabs>
            <w:jc w:val="center"/>
            <w:rPr>
              <w:sz w:val="20"/>
              <w:lang w:eastAsia="lt-LT"/>
            </w:rPr>
          </w:pPr>
          <w:r>
            <w:rPr>
              <w:sz w:val="20"/>
              <w:lang w:eastAsia="lt-LT"/>
            </w:rPr>
            <w:t>(vieta)</w:t>
          </w:r>
        </w:p>
        <w:p>
          <w:pPr>
            <w:rPr>
              <w:szCs w:val="24"/>
              <w:lang w:eastAsia="lt-LT"/>
            </w:rPr>
          </w:pPr>
        </w:p>
        <w:p>
          <w:pPr>
            <w:jc w:val="center"/>
            <w:rPr>
              <w:szCs w:val="24"/>
              <w:lang w:eastAsia="lt-LT"/>
            </w:rPr>
          </w:pPr>
        </w:p>
        <w:sdt>
          <w:sdtPr>
            <w:alias w:val="skyrius"/>
            <w:tag w:val="part_cdc36618285a4544882e2c39287aaa54"/>
            <w:lock w:val="sdtLocked"/>
            <w:richText/>
          </w:sdtPr>
          <w:sdtContent>
            <w:p>
              <w:pPr>
                <w:jc w:val="center"/>
                <w:rPr>
                  <w:b/>
                  <w:szCs w:val="24"/>
                  <w:lang w:eastAsia="lt-LT"/>
                </w:rPr>
              </w:pPr>
              <w:sdt>
                <w:sdtPr>
                  <w:alias w:val="Numeris"/>
                  <w:tag w:val="nr_cdc36618285a4544882e2c39287aaa54"/>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cdc36618285a4544882e2c39287aaa54"/>
                  <w:lock w:val="sdtLocked"/>
                  <w:richText/>
                </w:sdtPr>
                <w:sdtContent>
                  <w:r>
                    <w:rPr>
                      <w:b/>
                      <w:szCs w:val="24"/>
                      <w:lang w:eastAsia="lt-LT"/>
                    </w:rPr>
                    <w:t>PASIEKTI IR PLANUOJAMI PASIEKTI REZULTATAI</w:t>
                  </w:r>
                </w:sdtContent>
              </w:sdt>
            </w:p>
            <w:p>
              <w:pPr>
                <w:jc w:val="center"/>
                <w:rPr>
                  <w:szCs w:val="24"/>
                  <w:lang w:eastAsia="lt-LT"/>
                </w:rPr>
              </w:pPr>
            </w:p>
            <w:sdt>
              <w:sdtPr>
                <w:alias w:val="pr. 1 p."/>
                <w:tag w:val="part_483f3ca3a3b64e64a335094a37533d6b"/>
                <w:lock w:val="sdtLocked"/>
                <w:richText/>
              </w:sdtPr>
              <w:sdtContent>
                <w:p>
                  <w:pPr>
                    <w:rPr>
                      <w:b/>
                      <w:szCs w:val="24"/>
                      <w:lang w:eastAsia="lt-LT"/>
                    </w:rPr>
                  </w:pPr>
                  <w:sdt>
                    <w:sdtPr>
                      <w:alias w:val="Numeris"/>
                      <w:tag w:val="nr_483f3ca3a3b64e64a335094a37533d6b"/>
                      <w:lock w:val="sdtLocked"/>
                      <w:richText/>
                    </w:sdtPr>
                    <w:sdtContent>
                      <w:r>
                        <w:rPr>
                          <w:b/>
                          <w:szCs w:val="24"/>
                          <w:lang w:eastAsia="lt-LT"/>
                        </w:rPr>
                        <w:t>1</w:t>
                      </w:r>
                    </w:sdtContent>
                  </w:sdt>
                  <w:r>
                    <w:rPr>
                      <w:b/>
                      <w:szCs w:val="24"/>
                      <w:lang w:eastAsia="lt-LT"/>
                    </w:rPr>
                    <w:t>. Pagrindiniai praėjusių kalendorinių metų veiklos lūkesčiai</w:t>
                  </w:r>
                </w:p>
                <w:p>
                  <w:pPr>
                    <w:rPr>
                      <w:bCs/>
                      <w:szCs w:val="24"/>
                      <w:lang w:eastAsia="lt-LT"/>
                    </w:rPr>
                  </w:pPr>
                  <w:r>
                    <w:rPr>
                      <w:bCs/>
                      <w:szCs w:val="24"/>
                      <w:lang w:eastAsia="lt-LT"/>
                    </w:rPr>
                    <w:t>(pildo darbuotojas)</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3"/>
                    <w:gridCol w:w="1985"/>
                    <w:gridCol w:w="3827"/>
                    <w:gridCol w:w="1779"/>
                  </w:tblGrid>
                  <w:tr>
                    <w:tc>
                      <w:tcPr>
                        <w:tcW w:w="2263" w:type="dxa"/>
                        <w:tcBorders>
                          <w:top w:val="single" w:sz="4" w:space="0" w:color="auto"/>
                          <w:left w:val="single" w:sz="4" w:space="0" w:color="auto"/>
                          <w:bottom w:val="single" w:sz="4" w:space="0" w:color="auto"/>
                          <w:right w:val="single" w:sz="4" w:space="0" w:color="auto"/>
                        </w:tcBorders>
                        <w:vAlign w:val="center"/>
                        <w:hideMark/>
                      </w:tcPr>
                      <w:p>
                        <w:pPr>
                          <w:jc w:val="center"/>
                          <w:rPr>
                            <w:b/>
                            <w:bCs/>
                            <w:szCs w:val="24"/>
                            <w:lang w:eastAsia="lt-LT"/>
                          </w:rPr>
                        </w:pPr>
                        <w:r>
                          <w:rPr>
                            <w:b/>
                            <w:bCs/>
                            <w:szCs w:val="24"/>
                            <w:lang w:eastAsia="lt-LT"/>
                          </w:rPr>
                          <w:t xml:space="preserve">Metinės užduotys </w:t>
                        </w:r>
                      </w:p>
                    </w:tc>
                    <w:tc>
                      <w:tcPr>
                        <w:tcW w:w="1985" w:type="dxa"/>
                        <w:tcBorders>
                          <w:top w:val="single" w:sz="4" w:space="0" w:color="auto"/>
                          <w:left w:val="single" w:sz="4" w:space="0" w:color="auto"/>
                          <w:bottom w:val="single" w:sz="4" w:space="0" w:color="auto"/>
                          <w:right w:val="single" w:sz="4" w:space="0" w:color="auto"/>
                        </w:tcBorders>
                        <w:vAlign w:val="center"/>
                        <w:hideMark/>
                      </w:tcPr>
                      <w:p>
                        <w:pPr>
                          <w:ind w:firstLine="62"/>
                          <w:jc w:val="center"/>
                          <w:rPr>
                            <w:b/>
                            <w:bCs/>
                            <w:szCs w:val="24"/>
                            <w:lang w:eastAsia="lt-LT"/>
                          </w:rPr>
                        </w:pPr>
                        <w:r>
                          <w:rPr>
                            <w:b/>
                            <w:bCs/>
                            <w:szCs w:val="24"/>
                            <w:lang w:eastAsia="lt-LT"/>
                          </w:rPr>
                          <w:t>Veiklos lūkesčiai</w:t>
                        </w:r>
                      </w:p>
                    </w:tc>
                    <w:tc>
                      <w:tcPr>
                        <w:tcW w:w="3827" w:type="dxa"/>
                        <w:tcBorders>
                          <w:top w:val="single" w:sz="4" w:space="0" w:color="auto"/>
                          <w:left w:val="single" w:sz="4" w:space="0" w:color="auto"/>
                          <w:bottom w:val="single" w:sz="4" w:space="0" w:color="auto"/>
                          <w:right w:val="single" w:sz="4" w:space="0" w:color="auto"/>
                        </w:tcBorders>
                        <w:vAlign w:val="center"/>
                        <w:hideMark/>
                      </w:tcPr>
                      <w:p>
                        <w:pPr>
                          <w:jc w:val="center"/>
                          <w:rPr>
                            <w:b/>
                            <w:bCs/>
                            <w:szCs w:val="24"/>
                            <w:lang w:eastAsia="lt-LT"/>
                          </w:rPr>
                        </w:pPr>
                        <w:r>
                          <w:rPr>
                            <w:b/>
                            <w:bCs/>
                            <w:szCs w:val="24"/>
                            <w:lang w:eastAsia="lt-LT"/>
                          </w:rPr>
                          <w:t>Lūkesčių vertinimo rodikliai</w:t>
                        </w:r>
                      </w:p>
                      <w:p>
                        <w:pPr>
                          <w:jc w:val="center"/>
                          <w:rPr>
                            <w:szCs w:val="24"/>
                            <w:lang w:eastAsia="lt-LT"/>
                          </w:rPr>
                        </w:pPr>
                        <w:r>
                          <w:rPr>
                            <w:szCs w:val="24"/>
                            <w:lang w:eastAsia="lt-LT"/>
                          </w:rPr>
                          <w:t xml:space="preserve">(kiekybiniai, kokybiniai, laiko ir kiti rodikliai, kuriais vadovaudamasis </w:t>
                        </w:r>
                        <w:r>
                          <w:rPr>
                            <w:rFonts w:eastAsia="Calibri"/>
                            <w:szCs w:val="24"/>
                          </w:rPr>
                          <w:t xml:space="preserve">tiesioginis darbuotojo vadovas / į pareigas priimantis ar jo įgaliotas asmuo (toliau – </w:t>
                        </w:r>
                        <w:r>
                          <w:rPr>
                            <w:szCs w:val="24"/>
                            <w:lang w:eastAsia="lt-LT"/>
                          </w:rPr>
                          <w:t>vertinantysis asmuo) vertins, ar nustatytos užduotys įvykdytos)</w:t>
                        </w:r>
                      </w:p>
                    </w:tc>
                    <w:tc>
                      <w:tcPr>
                        <w:tcW w:w="1779" w:type="dxa"/>
                        <w:tcBorders>
                          <w:top w:val="single" w:sz="4" w:space="0" w:color="auto"/>
                          <w:left w:val="single" w:sz="4" w:space="0" w:color="auto"/>
                          <w:bottom w:val="single" w:sz="4" w:space="0" w:color="auto"/>
                          <w:right w:val="single" w:sz="4" w:space="0" w:color="auto"/>
                        </w:tcBorders>
                        <w:vAlign w:val="center"/>
                        <w:hideMark/>
                      </w:tcPr>
                      <w:p>
                        <w:pPr>
                          <w:ind w:firstLine="62"/>
                          <w:jc w:val="center"/>
                          <w:rPr>
                            <w:b/>
                            <w:bCs/>
                            <w:szCs w:val="24"/>
                            <w:lang w:eastAsia="lt-LT"/>
                          </w:rPr>
                        </w:pPr>
                        <w:r>
                          <w:rPr>
                            <w:b/>
                            <w:bCs/>
                            <w:szCs w:val="24"/>
                            <w:lang w:eastAsia="lt-LT"/>
                          </w:rPr>
                          <w:t>Išpildyti veiklos lūkesčiai ir jų rodikliai</w:t>
                        </w:r>
                      </w:p>
                    </w:tc>
                  </w:tr>
                  <w:tr>
                    <w:tc>
                      <w:tcPr>
                        <w:tcW w:w="2263"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1.1.</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263"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1.2.</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263"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1.3.</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263"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1.4.</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bl>
                <w:p>
                  <w:pPr>
                    <w:rPr>
                      <w:szCs w:val="24"/>
                      <w:lang w:eastAsia="lt-LT"/>
                    </w:rPr>
                  </w:pPr>
                </w:p>
              </w:sdtContent>
            </w:sdt>
            <w:sdt>
              <w:sdtPr>
                <w:alias w:val="pr. 2 p."/>
                <w:tag w:val="part_ebb3579100714afcb6784be50bb315a7"/>
                <w:lock w:val="sdtLocked"/>
                <w:richText/>
              </w:sdtPr>
              <w:sdtContent>
                <w:p>
                  <w:pPr>
                    <w:rPr>
                      <w:b/>
                      <w:szCs w:val="24"/>
                      <w:lang w:eastAsia="lt-LT"/>
                    </w:rPr>
                  </w:pPr>
                  <w:sdt>
                    <w:sdtPr>
                      <w:alias w:val="Numeris"/>
                      <w:tag w:val="nr_ebb3579100714afcb6784be50bb315a7"/>
                      <w:lock w:val="sdtLocked"/>
                      <w:richText/>
                    </w:sdtPr>
                    <w:sdtContent>
                      <w:r>
                        <w:rPr>
                          <w:b/>
                          <w:szCs w:val="24"/>
                          <w:lang w:eastAsia="lt-LT"/>
                        </w:rPr>
                        <w:t>2</w:t>
                      </w:r>
                    </w:sdtContent>
                  </w:sdt>
                  <w:r>
                    <w:rPr>
                      <w:b/>
                      <w:szCs w:val="24"/>
                      <w:lang w:eastAsia="lt-LT"/>
                    </w:rPr>
                    <w:t>. Einamųjų metų užduotys</w:t>
                  </w:r>
                </w:p>
                <w:p>
                  <w:pPr>
                    <w:rPr>
                      <w:szCs w:val="24"/>
                      <w:lang w:eastAsia="lt-LT"/>
                    </w:rPr>
                  </w:pPr>
                  <w:r>
                    <w:rPr>
                      <w:szCs w:val="24"/>
                      <w:lang w:eastAsia="lt-LT"/>
                    </w:rPr>
                    <w:t>(nustatomos ne mažiau kaip 2 ir ne daugiau kaip 4 užduotys)</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46"/>
                    <w:gridCol w:w="3146"/>
                    <w:gridCol w:w="3562"/>
                  </w:tblGrid>
                  <w:tr>
                    <w:tc>
                      <w:tcPr>
                        <w:tcW w:w="3146" w:type="dxa"/>
                        <w:tcBorders>
                          <w:top w:val="single" w:sz="4" w:space="0" w:color="auto"/>
                          <w:left w:val="single" w:sz="4" w:space="0" w:color="auto"/>
                          <w:bottom w:val="single" w:sz="4" w:space="0" w:color="auto"/>
                          <w:right w:val="single" w:sz="4" w:space="0" w:color="auto"/>
                        </w:tcBorders>
                        <w:vAlign w:val="center"/>
                        <w:hideMark/>
                      </w:tcPr>
                      <w:p>
                        <w:pPr>
                          <w:jc w:val="center"/>
                          <w:rPr>
                            <w:b/>
                            <w:bCs/>
                            <w:szCs w:val="24"/>
                            <w:lang w:eastAsia="lt-LT"/>
                          </w:rPr>
                        </w:pPr>
                        <w:r>
                          <w:rPr>
                            <w:b/>
                            <w:bCs/>
                            <w:szCs w:val="24"/>
                            <w:lang w:eastAsia="lt-LT"/>
                          </w:rPr>
                          <w:t>Einamųjų metų užduotys</w:t>
                        </w:r>
                      </w:p>
                    </w:tc>
                    <w:tc>
                      <w:tcPr>
                        <w:tcW w:w="3146" w:type="dxa"/>
                        <w:tcBorders>
                          <w:top w:val="single" w:sz="4" w:space="0" w:color="auto"/>
                          <w:left w:val="single" w:sz="4" w:space="0" w:color="auto"/>
                          <w:bottom w:val="single" w:sz="4" w:space="0" w:color="auto"/>
                          <w:right w:val="single" w:sz="4" w:space="0" w:color="auto"/>
                        </w:tcBorders>
                        <w:vAlign w:val="center"/>
                        <w:hideMark/>
                      </w:tcPr>
                      <w:p>
                        <w:pPr>
                          <w:ind w:firstLine="62"/>
                          <w:jc w:val="center"/>
                          <w:rPr>
                            <w:b/>
                            <w:bCs/>
                            <w:szCs w:val="24"/>
                            <w:lang w:eastAsia="lt-LT"/>
                          </w:rPr>
                        </w:pPr>
                        <w:r>
                          <w:rPr>
                            <w:b/>
                            <w:bCs/>
                            <w:szCs w:val="24"/>
                            <w:lang w:eastAsia="lt-LT"/>
                          </w:rPr>
                          <w:t>Veiklos lūkesčiai</w:t>
                        </w:r>
                      </w:p>
                    </w:tc>
                    <w:tc>
                      <w:tcPr>
                        <w:tcW w:w="3562" w:type="dxa"/>
                        <w:tcBorders>
                          <w:top w:val="single" w:sz="4" w:space="0" w:color="auto"/>
                          <w:left w:val="single" w:sz="4" w:space="0" w:color="auto"/>
                          <w:bottom w:val="single" w:sz="4" w:space="0" w:color="auto"/>
                          <w:right w:val="single" w:sz="4" w:space="0" w:color="auto"/>
                        </w:tcBorders>
                        <w:vAlign w:val="center"/>
                        <w:hideMark/>
                      </w:tcPr>
                      <w:p>
                        <w:pPr>
                          <w:jc w:val="center"/>
                          <w:rPr>
                            <w:b/>
                            <w:bCs/>
                            <w:szCs w:val="24"/>
                            <w:lang w:eastAsia="lt-LT"/>
                          </w:rPr>
                        </w:pPr>
                        <w:r>
                          <w:rPr>
                            <w:b/>
                            <w:bCs/>
                            <w:szCs w:val="24"/>
                            <w:lang w:eastAsia="lt-LT"/>
                          </w:rPr>
                          <w:t xml:space="preserve">Veiklos lūkesčių vertinimo rodikliai </w:t>
                        </w:r>
                      </w:p>
                      <w:p>
                        <w:pPr>
                          <w:jc w:val="center"/>
                          <w:rPr>
                            <w:szCs w:val="24"/>
                            <w:lang w:eastAsia="lt-LT"/>
                          </w:rPr>
                        </w:pPr>
                        <w:r>
                          <w:rPr>
                            <w:szCs w:val="24"/>
                            <w:lang w:eastAsia="lt-LT"/>
                          </w:rPr>
                          <w:t>(kiekybiniai, kokybiniai, laiko ir kiti rodikliai, kuriais vadovaudamasis vertinantysis asmuo</w:t>
                        </w:r>
                        <w:r>
                          <w:rPr>
                            <w:b/>
                            <w:bCs/>
                            <w:szCs w:val="24"/>
                            <w:lang w:eastAsia="lt-LT"/>
                          </w:rPr>
                          <w:t xml:space="preserve"> </w:t>
                        </w:r>
                        <w:r>
                          <w:rPr>
                            <w:szCs w:val="24"/>
                            <w:lang w:eastAsia="lt-LT"/>
                          </w:rPr>
                          <w:t>vertins, ar nustatytos užduotys įvykdytos)</w:t>
                        </w:r>
                      </w:p>
                    </w:tc>
                  </w:tr>
                  <w:tr>
                    <w:tc>
                      <w:tcPr>
                        <w:tcW w:w="314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2.1.</w:t>
                        </w:r>
                      </w:p>
                    </w:tc>
                    <w:tc>
                      <w:tcPr>
                        <w:tcW w:w="3146"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2.2.</w:t>
                        </w:r>
                      </w:p>
                    </w:tc>
                    <w:tc>
                      <w:tcPr>
                        <w:tcW w:w="3146"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2.3.</w:t>
                        </w:r>
                      </w:p>
                    </w:tc>
                    <w:tc>
                      <w:tcPr>
                        <w:tcW w:w="3146"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2.4.</w:t>
                        </w:r>
                      </w:p>
                    </w:tc>
                    <w:tc>
                      <w:tcPr>
                        <w:tcW w:w="3146" w:type="dxa"/>
                        <w:tcBorders>
                          <w:top w:val="single" w:sz="4" w:space="0" w:color="auto"/>
                          <w:left w:val="single" w:sz="4" w:space="0" w:color="auto"/>
                          <w:bottom w:val="single" w:sz="4" w:space="0" w:color="auto"/>
                          <w:right w:val="single" w:sz="4" w:space="0" w:color="auto"/>
                        </w:tcBorders>
                      </w:tcPr>
                      <w:p>
                        <w:pPr>
                          <w:ind w:firstLine="124"/>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bl>
                <w:p>
                  <w:pPr>
                    <w:rPr>
                      <w:b/>
                      <w:szCs w:val="24"/>
                      <w:lang w:eastAsia="lt-LT"/>
                    </w:rPr>
                  </w:pPr>
                </w:p>
              </w:sdtContent>
            </w:sdt>
            <w:sdt>
              <w:sdtPr>
                <w:alias w:val="pr. 3 p."/>
                <w:tag w:val="part_20e98ed8ebbb4cdf8822d44a516683b8"/>
                <w:lock w:val="sdtLocked"/>
                <w:richText/>
              </w:sdtPr>
              <w:sdtContent>
                <w:p>
                  <w:pPr>
                    <w:rPr>
                      <w:bCs/>
                      <w:szCs w:val="24"/>
                      <w:lang w:eastAsia="lt-LT"/>
                    </w:rPr>
                  </w:pPr>
                  <w:sdt>
                    <w:sdtPr>
                      <w:alias w:val="Numeris"/>
                      <w:tag w:val="nr_20e98ed8ebbb4cdf8822d44a516683b8"/>
                      <w:lock w:val="sdtLocked"/>
                      <w:richText/>
                    </w:sdtPr>
                    <w:sdtContent>
                      <w:r>
                        <w:rPr>
                          <w:b/>
                          <w:szCs w:val="24"/>
                          <w:lang w:eastAsia="lt-LT"/>
                        </w:rPr>
                        <w:t>3</w:t>
                      </w:r>
                    </w:sdtContent>
                  </w:sdt>
                  <w:r>
                    <w:rPr>
                      <w:b/>
                      <w:szCs w:val="24"/>
                      <w:lang w:eastAsia="lt-LT"/>
                    </w:rPr>
                    <w:t>. Rizika, kuriai esant nustatytos einamųjų metų užduotys gali būti neįvykdytos</w:t>
                  </w:r>
                  <w:r>
                    <w:rPr>
                      <w:bCs/>
                      <w:szCs w:val="24"/>
                      <w:lang w:eastAsia="lt-LT"/>
                    </w:rPr>
                    <w:t xml:space="preserve"> </w:t>
                  </w:r>
                </w:p>
                <w:p>
                  <w:pPr>
                    <w:rPr>
                      <w:bCs/>
                      <w:szCs w:val="24"/>
                      <w:lang w:eastAsia="lt-LT"/>
                    </w:rPr>
                  </w:pPr>
                  <w:r>
                    <w:rPr>
                      <w:bCs/>
                      <w:szCs w:val="24"/>
                    </w:rPr>
                    <w:t>(aplinkybės, kurios gali turėti neigiamą įtaką šių užduočių įvykdymui)</w:t>
                  </w:r>
                </w:p>
                <w:p>
                  <w:pPr>
                    <w:rPr>
                      <w:szCs w:val="24"/>
                      <w:lang w:eastAsia="lt-LT"/>
                    </w:rPr>
                  </w:pPr>
                  <w:r>
                    <w:rPr>
                      <w:szCs w:val="24"/>
                      <w:lang w:eastAsia="lt-LT"/>
                    </w:rPr>
                    <w:t>(pildoma suderinus su darbuotoju)</w:t>
                  </w:r>
                </w:p>
                <w:sdt>
                  <w:sdtPr>
                    <w:alias w:val="pr. 3.1 pp."/>
                    <w:tag w:val="part_a1868e1f3dfa4d66aaf8e00cf0e4b670"/>
                    <w:lock w:val="sdtLocked"/>
                    <w:richText/>
                  </w:sdtPr>
                  <w:sdtContent>
                    <w:p>
                      <w:pPr>
                        <w:rPr>
                          <w:szCs w:val="24"/>
                          <w:lang w:eastAsia="lt-LT"/>
                        </w:rPr>
                      </w:pPr>
                      <w:sdt>
                        <w:sdtPr>
                          <w:alias w:val="Numeris"/>
                          <w:tag w:val="nr_a1868e1f3dfa4d66aaf8e00cf0e4b670"/>
                          <w:lock w:val="sdtLocked"/>
                          <w:richText/>
                        </w:sdtPr>
                        <w:sdtContent>
                          <w:r>
                            <w:rPr>
                              <w:szCs w:val="24"/>
                              <w:lang w:eastAsia="lt-LT"/>
                            </w:rPr>
                            <w:t>3.1</w:t>
                          </w:r>
                        </w:sdtContent>
                      </w:sdt>
                      <w:r>
                        <w:rPr>
                          <w:szCs w:val="24"/>
                          <w:lang w:eastAsia="lt-LT"/>
                        </w:rPr>
                        <w:t xml:space="preserve">. </w:t>
                      </w:r>
                    </w:p>
                  </w:sdtContent>
                </w:sdt>
                <w:sdt>
                  <w:sdtPr>
                    <w:alias w:val="pr. 3.2 pp."/>
                    <w:tag w:val="part_1386a82c915b42a08f1fe4589716492a"/>
                    <w:lock w:val="sdtLocked"/>
                    <w:richText/>
                  </w:sdtPr>
                  <w:sdtContent>
                    <w:p>
                      <w:pPr>
                        <w:rPr>
                          <w:szCs w:val="24"/>
                          <w:lang w:eastAsia="lt-LT"/>
                        </w:rPr>
                      </w:pPr>
                      <w:sdt>
                        <w:sdtPr>
                          <w:alias w:val="Numeris"/>
                          <w:tag w:val="nr_1386a82c915b42a08f1fe4589716492a"/>
                          <w:lock w:val="sdtLocked"/>
                          <w:richText/>
                        </w:sdtPr>
                        <w:sdtContent>
                          <w:r>
                            <w:rPr>
                              <w:szCs w:val="24"/>
                              <w:lang w:eastAsia="lt-LT"/>
                            </w:rPr>
                            <w:t>3.2</w:t>
                          </w:r>
                        </w:sdtContent>
                      </w:sdt>
                      <w:r>
                        <w:rPr>
                          <w:szCs w:val="24"/>
                          <w:lang w:eastAsia="lt-LT"/>
                        </w:rPr>
                        <w:t xml:space="preserve">. </w:t>
                      </w:r>
                    </w:p>
                  </w:sdtContent>
                </w:sdt>
                <w:sdt>
                  <w:sdtPr>
                    <w:alias w:val="pr. 3.3 pp."/>
                    <w:tag w:val="part_508ad71eb361442b875e9632b8606779"/>
                    <w:lock w:val="sdtLocked"/>
                    <w:richText/>
                  </w:sdtPr>
                  <w:sdtContent>
                    <w:p>
                      <w:pPr>
                        <w:rPr>
                          <w:szCs w:val="24"/>
                          <w:lang w:eastAsia="lt-LT"/>
                        </w:rPr>
                      </w:pPr>
                      <w:sdt>
                        <w:sdtPr>
                          <w:alias w:val="Numeris"/>
                          <w:tag w:val="nr_508ad71eb361442b875e9632b8606779"/>
                          <w:lock w:val="sdtLocked"/>
                          <w:richText/>
                        </w:sdtPr>
                        <w:sdtContent>
                          <w:r>
                            <w:rPr>
                              <w:szCs w:val="24"/>
                              <w:lang w:eastAsia="lt-LT"/>
                            </w:rPr>
                            <w:t>3.3</w:t>
                          </w:r>
                        </w:sdtContent>
                      </w:sdt>
                      <w:r>
                        <w:rPr>
                          <w:szCs w:val="24"/>
                          <w:lang w:eastAsia="lt-LT"/>
                        </w:rPr>
                        <w:t>.</w:t>
                      </w:r>
                    </w:p>
                    <w:p>
                      <w:pPr>
                        <w:rPr>
                          <w:szCs w:val="24"/>
                          <w:lang w:eastAsia="lt-LT"/>
                        </w:rPr>
                      </w:pPr>
                    </w:p>
                  </w:sdtContent>
                </w:sdt>
              </w:sdtContent>
            </w:sdt>
          </w:sdtContent>
        </w:sdt>
        <w:sdt>
          <w:sdtPr>
            <w:alias w:val="skyrius"/>
            <w:tag w:val="part_a92fb84a5950474a9e356ced07cb734d"/>
            <w:lock w:val="sdtLocked"/>
            <w:richText/>
          </w:sdtPr>
          <w:sdtContent>
            <w:p>
              <w:pPr>
                <w:jc w:val="center"/>
                <w:rPr>
                  <w:b/>
                  <w:szCs w:val="24"/>
                  <w:lang w:eastAsia="lt-LT"/>
                </w:rPr>
              </w:pPr>
              <w:sdt>
                <w:sdtPr>
                  <w:alias w:val="Numeris"/>
                  <w:tag w:val="nr_a92fb84a5950474a9e356ced07cb734d"/>
                  <w:lock w:val="sdtLocked"/>
                  <w:richText/>
                </w:sdtPr>
                <w:sdtContent>
                  <w:r>
                    <w:rPr>
                      <w:b/>
                      <w:szCs w:val="24"/>
                      <w:lang w:eastAsia="lt-LT"/>
                    </w:rPr>
                    <w:t>II</w:t>
                  </w:r>
                </w:sdtContent>
              </w:sdt>
              <w:r>
                <w:rPr>
                  <w:b/>
                  <w:szCs w:val="24"/>
                  <w:lang w:eastAsia="lt-LT"/>
                </w:rPr>
                <w:t xml:space="preserve"> SKYRIUS</w:t>
              </w:r>
            </w:p>
            <w:p>
              <w:pPr>
                <w:jc w:val="center"/>
                <w:rPr>
                  <w:b/>
                  <w:sz w:val="20"/>
                  <w:lang w:eastAsia="lt-LT"/>
                </w:rPr>
              </w:pPr>
              <w:sdt>
                <w:sdtPr>
                  <w:alias w:val="Pavadinimas"/>
                  <w:tag w:val="title_a92fb84a5950474a9e356ced07cb734d"/>
                  <w:lock w:val="sdtLocked"/>
                  <w:richText/>
                </w:sdtPr>
                <w:sdtContent>
                  <w:r>
                    <w:rPr>
                      <w:b/>
                      <w:szCs w:val="24"/>
                      <w:lang w:eastAsia="lt-LT"/>
                    </w:rPr>
                    <w:t xml:space="preserve">IŠPILDYTŲ VEIKLOS LŪKESČIŲ, VYKDANT METINES UŽDUOTIS, </w:t>
                  </w:r>
                  <w:r>
                    <w:rPr>
                      <w:b/>
                      <w:szCs w:val="24"/>
                    </w:rPr>
                    <w:t>GEBĖJIMŲ VYKDYTI FUNKCIJAS</w:t>
                  </w:r>
                  <w:r>
                    <w:rPr>
                      <w:b/>
                      <w:szCs w:val="24"/>
                      <w:lang w:eastAsia="lt-LT"/>
                    </w:rPr>
                    <w:t xml:space="preserve"> VERTINIMAS IR PASIŪLYMAI, KAIP TOBULINTI</w:t>
                  </w:r>
                  <w:r>
                    <w:rPr>
                      <w:bCs/>
                      <w:sz w:val="20"/>
                      <w:lang w:eastAsia="lt-LT"/>
                    </w:rPr>
                    <w:t xml:space="preserve"> </w:t>
                  </w:r>
                  <w:r>
                    <w:rPr>
                      <w:b/>
                      <w:szCs w:val="24"/>
                      <w:lang w:eastAsia="lt-LT"/>
                    </w:rPr>
                    <w:t>PROFESINĘ KOMPETENCIJĄ</w:t>
                  </w:r>
                </w:sdtContent>
              </w:sdt>
            </w:p>
            <w:p>
              <w:pPr>
                <w:jc w:val="center"/>
                <w:rPr>
                  <w:b/>
                  <w:szCs w:val="24"/>
                </w:rPr>
              </w:pPr>
            </w:p>
            <w:sdt>
              <w:sdtPr>
                <w:alias w:val="pr. 4 p."/>
                <w:tag w:val="part_ad8bdd30a6a644378df0062faea60528"/>
                <w:lock w:val="sdtLocked"/>
                <w:richText/>
              </w:sdtPr>
              <w:sdtContent>
                <w:p>
                  <w:pPr>
                    <w:rPr>
                      <w:sz w:val="20"/>
                      <w:lang w:eastAsia="lt-LT"/>
                    </w:rPr>
                  </w:pPr>
                  <w:sdt>
                    <w:sdtPr>
                      <w:alias w:val="Numeris"/>
                      <w:tag w:val="nr_ad8bdd30a6a644378df0062faea60528"/>
                      <w:lock w:val="sdtLocked"/>
                      <w:richText/>
                    </w:sdtPr>
                    <w:sdtContent>
                      <w:r>
                        <w:rPr>
                          <w:b/>
                          <w:szCs w:val="24"/>
                        </w:rPr>
                        <w:t>4</w:t>
                      </w:r>
                    </w:sdtContent>
                  </w:sdt>
                  <w:r>
                    <w:rPr>
                      <w:b/>
                      <w:szCs w:val="24"/>
                    </w:rPr>
                    <w:t>. Išpildytų veiklos lūkesčių vykdant užduotis vertinimas</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3"/>
                    <w:gridCol w:w="2771"/>
                  </w:tblGrid>
                  <w:tr>
                    <w:tc>
                      <w:tcPr>
                        <w:tcW w:w="7083" w:type="dxa"/>
                        <w:tcBorders>
                          <w:top w:val="single" w:sz="4" w:space="0" w:color="auto"/>
                          <w:left w:val="single" w:sz="4" w:space="0" w:color="auto"/>
                          <w:bottom w:val="single" w:sz="4" w:space="0" w:color="auto"/>
                          <w:right w:val="single" w:sz="4" w:space="0" w:color="auto"/>
                        </w:tcBorders>
                        <w:vAlign w:val="center"/>
                        <w:hideMark/>
                      </w:tcPr>
                      <w:p>
                        <w:pPr>
                          <w:jc w:val="center"/>
                          <w:rPr>
                            <w:b/>
                            <w:szCs w:val="24"/>
                            <w:lang w:eastAsia="lt-LT"/>
                          </w:rPr>
                        </w:pPr>
                        <w:r>
                          <w:rPr>
                            <w:b/>
                            <w:szCs w:val="24"/>
                            <w:lang w:eastAsia="lt-LT"/>
                          </w:rPr>
                          <w:t>Užduočių įvykdymo aprašymas</w:t>
                        </w:r>
                      </w:p>
                    </w:tc>
                    <w:tc>
                      <w:tcPr>
                        <w:tcW w:w="2771" w:type="dxa"/>
                        <w:tcBorders>
                          <w:top w:val="single" w:sz="4" w:space="0" w:color="auto"/>
                          <w:left w:val="single" w:sz="4" w:space="0" w:color="auto"/>
                          <w:bottom w:val="single" w:sz="4" w:space="0" w:color="auto"/>
                          <w:right w:val="single" w:sz="4" w:space="0" w:color="auto"/>
                        </w:tcBorders>
                        <w:vAlign w:val="center"/>
                        <w:hideMark/>
                      </w:tcPr>
                      <w:p>
                        <w:pPr>
                          <w:jc w:val="center"/>
                          <w:rPr>
                            <w:b/>
                            <w:bCs/>
                            <w:szCs w:val="24"/>
                            <w:lang w:eastAsia="lt-LT"/>
                          </w:rPr>
                        </w:pPr>
                        <w:r>
                          <w:rPr>
                            <w:b/>
                            <w:bCs/>
                            <w:szCs w:val="24"/>
                            <w:lang w:eastAsia="lt-LT"/>
                          </w:rPr>
                          <w:t>Pažymimas atitinkamas langelis</w:t>
                        </w:r>
                      </w:p>
                    </w:tc>
                  </w:tr>
                  <w:tr>
                    <w:tc>
                      <w:tcPr>
                        <w:tcW w:w="7083"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4.1. Darbuotojas įvykdė nustatytas metines užduotis ir viršijo kai kuriuos nustatytus vertinimo rodiklius</w:t>
                        </w:r>
                      </w:p>
                    </w:tc>
                    <w:tc>
                      <w:tcPr>
                        <w:tcW w:w="2771" w:type="dxa"/>
                        <w:tcBorders>
                          <w:top w:val="single" w:sz="4" w:space="0" w:color="auto"/>
                          <w:left w:val="single" w:sz="4" w:space="0" w:color="auto"/>
                          <w:bottom w:val="single" w:sz="4" w:space="0" w:color="auto"/>
                          <w:right w:val="single" w:sz="4" w:space="0" w:color="auto"/>
                        </w:tcBorders>
                        <w:vAlign w:val="center"/>
                        <w:hideMark/>
                      </w:tcPr>
                      <w:p>
                        <w:pPr>
                          <w:ind w:right="340"/>
                          <w:rPr>
                            <w:szCs w:val="24"/>
                            <w:lang w:eastAsia="lt-LT"/>
                          </w:rPr>
                        </w:pPr>
                        <w:r>
                          <w:rPr>
                            <w:szCs w:val="24"/>
                            <w:lang w:eastAsia="lt-LT"/>
                          </w:rPr>
                          <w:t>Viršija lūkesčius</w:t>
                        </w:r>
                        <w:r>
                          <w:rPr>
                            <w:rFonts w:ascii="MS Gothic" w:eastAsia="MS Gothic" w:hAnsi="MS Gothic"/>
                            <w:szCs w:val="24"/>
                            <w:lang w:eastAsia="lt-LT"/>
                          </w:rPr>
                          <w:t>☐</w:t>
                        </w:r>
                      </w:p>
                    </w:tc>
                  </w:tr>
                  <w:tr>
                    <w:tc>
                      <w:tcPr>
                        <w:tcW w:w="7083"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 xml:space="preserve">4.2. Darbuotojas iš esmės įvykdė nustatytas metines užduotis pagal nustatytus vertinimo rodiklius </w:t>
                        </w:r>
                      </w:p>
                    </w:tc>
                    <w:tc>
                      <w:tcPr>
                        <w:tcW w:w="2771" w:type="dxa"/>
                        <w:tcBorders>
                          <w:top w:val="single" w:sz="4" w:space="0" w:color="auto"/>
                          <w:left w:val="single" w:sz="4" w:space="0" w:color="auto"/>
                          <w:bottom w:val="single" w:sz="4" w:space="0" w:color="auto"/>
                          <w:right w:val="single" w:sz="4" w:space="0" w:color="auto"/>
                        </w:tcBorders>
                        <w:vAlign w:val="center"/>
                        <w:hideMark/>
                      </w:tcPr>
                      <w:p>
                        <w:pPr>
                          <w:ind w:right="340"/>
                          <w:rPr>
                            <w:szCs w:val="24"/>
                            <w:lang w:eastAsia="lt-LT"/>
                          </w:rPr>
                        </w:pPr>
                        <w:r>
                          <w:rPr>
                            <w:szCs w:val="24"/>
                            <w:lang w:eastAsia="lt-LT"/>
                          </w:rPr>
                          <w:t xml:space="preserve">Atitinka lūkesčius </w:t>
                        </w:r>
                        <w:r>
                          <w:rPr>
                            <w:rFonts w:ascii="MS Gothic" w:eastAsia="MS Gothic" w:hAnsi="MS Gothic"/>
                            <w:szCs w:val="24"/>
                            <w:lang w:eastAsia="lt-LT"/>
                          </w:rPr>
                          <w:t>☐</w:t>
                        </w:r>
                      </w:p>
                    </w:tc>
                  </w:tr>
                  <w:tr>
                    <w:tc>
                      <w:tcPr>
                        <w:tcW w:w="7083"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 xml:space="preserve">4.3. Darbuotojas įvykdė tik kai kurias nustatytas metines užduotis pagal nustatytus vertinimo rodiklius </w:t>
                        </w:r>
                      </w:p>
                    </w:tc>
                    <w:tc>
                      <w:tcPr>
                        <w:tcW w:w="2771" w:type="dxa"/>
                        <w:tcBorders>
                          <w:top w:val="single" w:sz="4" w:space="0" w:color="auto"/>
                          <w:left w:val="single" w:sz="4" w:space="0" w:color="auto"/>
                          <w:bottom w:val="single" w:sz="4" w:space="0" w:color="auto"/>
                          <w:right w:val="single" w:sz="4" w:space="0" w:color="auto"/>
                        </w:tcBorders>
                        <w:vAlign w:val="center"/>
                        <w:hideMark/>
                      </w:tcPr>
                      <w:p>
                        <w:pPr>
                          <w:ind w:right="340"/>
                          <w:rPr>
                            <w:szCs w:val="24"/>
                            <w:lang w:eastAsia="lt-LT"/>
                          </w:rPr>
                        </w:pPr>
                        <w:r>
                          <w:rPr>
                            <w:szCs w:val="24"/>
                            <w:lang w:eastAsia="lt-LT"/>
                          </w:rPr>
                          <w:t xml:space="preserve">Iš dalies atitinka lūkesčius </w:t>
                        </w:r>
                        <w:r>
                          <w:rPr>
                            <w:rFonts w:ascii="MS Gothic" w:eastAsia="MS Gothic" w:hAnsi="MS Gothic"/>
                            <w:szCs w:val="24"/>
                            <w:lang w:eastAsia="lt-LT"/>
                          </w:rPr>
                          <w:t>☐</w:t>
                        </w:r>
                      </w:p>
                    </w:tc>
                  </w:tr>
                  <w:tr>
                    <w:tc>
                      <w:tcPr>
                        <w:tcW w:w="7083"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4.4. Darbuotojas neįvykdė nustatytų metinių užduočių pagal nustatytus vertinimo rodiklius</w:t>
                        </w:r>
                      </w:p>
                    </w:tc>
                    <w:tc>
                      <w:tcPr>
                        <w:tcW w:w="2771" w:type="dxa"/>
                        <w:tcBorders>
                          <w:top w:val="single" w:sz="4" w:space="0" w:color="auto"/>
                          <w:left w:val="single" w:sz="4" w:space="0" w:color="auto"/>
                          <w:bottom w:val="single" w:sz="4" w:space="0" w:color="auto"/>
                          <w:right w:val="single" w:sz="4" w:space="0" w:color="auto"/>
                        </w:tcBorders>
                        <w:vAlign w:val="center"/>
                        <w:hideMark/>
                      </w:tcPr>
                      <w:p>
                        <w:pPr>
                          <w:ind w:right="340"/>
                          <w:rPr>
                            <w:szCs w:val="24"/>
                            <w:lang w:eastAsia="lt-LT"/>
                          </w:rPr>
                        </w:pPr>
                        <w:r>
                          <w:rPr>
                            <w:szCs w:val="24"/>
                            <w:lang w:eastAsia="lt-LT"/>
                          </w:rPr>
                          <w:t xml:space="preserve">Neatitinka lūkesčių </w:t>
                        </w:r>
                        <w:r>
                          <w:rPr>
                            <w:rFonts w:ascii="MS Gothic" w:eastAsia="MS Gothic" w:hAnsi="MS Gothic"/>
                            <w:szCs w:val="24"/>
                            <w:lang w:eastAsia="lt-LT"/>
                          </w:rPr>
                          <w:t>☐</w:t>
                        </w:r>
                      </w:p>
                    </w:tc>
                  </w:tr>
                </w:tbl>
                <w:p>
                  <w:pPr>
                    <w:jc w:val="center"/>
                    <w:rPr>
                      <w:szCs w:val="24"/>
                      <w:lang w:eastAsia="lt-LT"/>
                    </w:rPr>
                  </w:pPr>
                </w:p>
              </w:sdtContent>
            </w:sdt>
            <w:sdt>
              <w:sdtPr>
                <w:alias w:val="pr. 5 p."/>
                <w:tag w:val="part_d696a0118a894a4e9f72d047a4bb21d7"/>
                <w:lock w:val="sdtLocked"/>
                <w:richText/>
              </w:sdtPr>
              <w:sdtContent>
                <w:p>
                  <w:pPr>
                    <w:tabs>
                      <w:tab w:val="left" w:pos="284"/>
                    </w:tabs>
                    <w:ind w:left="142"/>
                    <w:rPr>
                      <w:rFonts w:eastAsia="Calibri"/>
                      <w:b/>
                      <w:szCs w:val="24"/>
                      <w:lang w:eastAsia="lt-LT"/>
                    </w:rPr>
                  </w:pPr>
                  <w:sdt>
                    <w:sdtPr>
                      <w:alias w:val="Numeris"/>
                      <w:tag w:val="nr_d696a0118a894a4e9f72d047a4bb21d7"/>
                      <w:lock w:val="sdtLocked"/>
                      <w:richText/>
                    </w:sdtPr>
                    <w:sdtContent>
                      <w:r>
                        <w:rPr>
                          <w:rFonts w:eastAsia="Calibri"/>
                          <w:b/>
                          <w:szCs w:val="24"/>
                          <w:lang w:eastAsia="lt-LT"/>
                        </w:rPr>
                        <w:t>5</w:t>
                      </w:r>
                    </w:sdtContent>
                  </w:sdt>
                  <w:r>
                    <w:rPr>
                      <w:rFonts w:eastAsia="Calibri"/>
                      <w:b/>
                      <w:szCs w:val="24"/>
                      <w:lang w:eastAsia="lt-LT"/>
                    </w:rPr>
                    <w:t>. Gebėjimų atlikti pareigybės aprašyme nustatytas funkcijas vertinimas</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7"/>
                    <w:gridCol w:w="3544"/>
                  </w:tblGrid>
                  <w:tr>
                    <w:tc>
                      <w:tcPr>
                        <w:tcW w:w="6237" w:type="dxa"/>
                        <w:tcBorders>
                          <w:top w:val="single" w:sz="4" w:space="0" w:color="auto"/>
                          <w:left w:val="single" w:sz="4" w:space="0" w:color="auto"/>
                          <w:bottom w:val="single" w:sz="4" w:space="0" w:color="auto"/>
                          <w:right w:val="single" w:sz="4" w:space="0" w:color="auto"/>
                        </w:tcBorders>
                        <w:vAlign w:val="center"/>
                        <w:hideMark/>
                      </w:tcPr>
                      <w:p>
                        <w:pPr>
                          <w:jc w:val="center"/>
                          <w:rPr>
                            <w:b/>
                            <w:szCs w:val="24"/>
                          </w:rPr>
                        </w:pPr>
                        <w:r>
                          <w:rPr>
                            <w:b/>
                            <w:szCs w:val="24"/>
                          </w:rPr>
                          <w:t>Gebėjimų atlikti pareigybės aprašyme nustatytas funkcijas vertinimo kriterijai</w:t>
                        </w:r>
                      </w:p>
                    </w:tc>
                    <w:tc>
                      <w:tcPr>
                        <w:tcW w:w="3544"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 xml:space="preserve">Pažymimas atitinkamas langelis: </w:t>
                        </w:r>
                      </w:p>
                      <w:p>
                        <w:pPr>
                          <w:rPr>
                            <w:b/>
                            <w:szCs w:val="24"/>
                          </w:rPr>
                        </w:pPr>
                        <w:r>
                          <w:rPr>
                            <w:b/>
                            <w:szCs w:val="24"/>
                          </w:rPr>
                          <w:t>4 – viršija lūkesčius</w:t>
                        </w:r>
                      </w:p>
                      <w:p>
                        <w:pPr>
                          <w:rPr>
                            <w:b/>
                            <w:szCs w:val="24"/>
                          </w:rPr>
                        </w:pPr>
                        <w:r>
                          <w:rPr>
                            <w:b/>
                            <w:szCs w:val="24"/>
                          </w:rPr>
                          <w:t>3 – atitinka lūkesčius</w:t>
                        </w:r>
                      </w:p>
                      <w:p>
                        <w:pPr>
                          <w:rPr>
                            <w:b/>
                            <w:szCs w:val="24"/>
                          </w:rPr>
                        </w:pPr>
                        <w:r>
                          <w:rPr>
                            <w:b/>
                            <w:szCs w:val="24"/>
                          </w:rPr>
                          <w:t>2 – iš dalies atitinka lūkesčius</w:t>
                        </w:r>
                      </w:p>
                      <w:p>
                        <w:pPr>
                          <w:rPr>
                            <w:b/>
                            <w:szCs w:val="24"/>
                          </w:rPr>
                        </w:pPr>
                        <w:r>
                          <w:rPr>
                            <w:b/>
                            <w:szCs w:val="24"/>
                          </w:rPr>
                          <w:t>1 – neatitinka lūkesčių</w:t>
                        </w:r>
                      </w:p>
                    </w:tc>
                  </w:tr>
                  <w:tr>
                    <w:tc>
                      <w:tcPr>
                        <w:tcW w:w="6237"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5.1. Pareigybės aprašyme nustatytų funkcijų vykdymas, laikantis nustatytos tvarkos, tinkamu būdu</w:t>
                        </w:r>
                      </w:p>
                    </w:tc>
                    <w:tc>
                      <w:tcPr>
                        <w:tcW w:w="3544"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 xml:space="preserve">1 </w:t>
                        </w:r>
                        <w:r>
                          <w:rPr>
                            <w:rFonts w:ascii="Segoe UI Symbol" w:eastAsia="MS Gothic" w:hAnsi="Segoe UI Symbol" w:cs="Segoe UI Symbol"/>
                            <w:bCs/>
                            <w:szCs w:val="24"/>
                          </w:rPr>
                          <w:t>☐</w:t>
                        </w:r>
                        <w:r>
                          <w:rPr>
                            <w:bCs/>
                            <w:szCs w:val="24"/>
                          </w:rPr>
                          <w:t xml:space="preserve">    2 </w:t>
                        </w:r>
                        <w:r>
                          <w:rPr>
                            <w:rFonts w:ascii="Segoe UI Symbol" w:eastAsia="MS Gothic" w:hAnsi="Segoe UI Symbol" w:cs="Segoe UI Symbol"/>
                            <w:bCs/>
                            <w:szCs w:val="24"/>
                          </w:rPr>
                          <w:t>☐</w:t>
                        </w:r>
                        <w:r>
                          <w:rPr>
                            <w:bCs/>
                            <w:szCs w:val="24"/>
                          </w:rPr>
                          <w:t xml:space="preserve">    3 </w:t>
                        </w:r>
                        <w:r>
                          <w:rPr>
                            <w:rFonts w:ascii="Segoe UI Symbol" w:eastAsia="MS Gothic" w:hAnsi="Segoe UI Symbol" w:cs="Segoe UI Symbol"/>
                            <w:bCs/>
                            <w:szCs w:val="24"/>
                          </w:rPr>
                          <w:t>☐</w:t>
                        </w:r>
                        <w:r>
                          <w:rPr>
                            <w:rFonts w:eastAsia="MS Gothic"/>
                            <w:bCs/>
                            <w:szCs w:val="24"/>
                          </w:rPr>
                          <w:t xml:space="preserve">   </w:t>
                        </w:r>
                        <w:r>
                          <w:rPr>
                            <w:bCs/>
                            <w:szCs w:val="24"/>
                          </w:rPr>
                          <w:t xml:space="preserve">4 </w:t>
                        </w:r>
                        <w:r>
                          <w:rPr>
                            <w:rFonts w:ascii="Segoe UI Symbol" w:eastAsia="MS Gothic" w:hAnsi="Segoe UI Symbol" w:cs="Segoe UI Symbol"/>
                            <w:bCs/>
                            <w:szCs w:val="24"/>
                          </w:rPr>
                          <w:t>☐</w:t>
                        </w:r>
                        <w:r>
                          <w:rPr>
                            <w:bCs/>
                            <w:szCs w:val="24"/>
                          </w:rPr>
                          <w:t xml:space="preserve"> </w:t>
                        </w:r>
                      </w:p>
                    </w:tc>
                  </w:tr>
                  <w:tr>
                    <w:tc>
                      <w:tcPr>
                        <w:tcW w:w="6237" w:type="dxa"/>
                        <w:tcBorders>
                          <w:top w:val="single" w:sz="4" w:space="0" w:color="auto"/>
                          <w:left w:val="single" w:sz="4" w:space="0" w:color="auto"/>
                          <w:bottom w:val="single" w:sz="4" w:space="0" w:color="auto"/>
                          <w:right w:val="single" w:sz="4" w:space="0" w:color="auto"/>
                        </w:tcBorders>
                        <w:hideMark/>
                      </w:tcPr>
                      <w:p>
                        <w:pPr>
                          <w:rPr>
                            <w:bCs/>
                            <w:szCs w:val="24"/>
                            <w:highlight w:val="yellow"/>
                          </w:rPr>
                        </w:pPr>
                        <w:r>
                          <w:rPr>
                            <w:bCs/>
                            <w:szCs w:val="24"/>
                          </w:rPr>
                          <w:t xml:space="preserve">5.2. Tinkamas turimų žinių, gebėjimų ir įgūdžių panaudojimas, atliekant funkcijas ir siekiant rezultatų </w:t>
                        </w:r>
                      </w:p>
                    </w:tc>
                    <w:tc>
                      <w:tcPr>
                        <w:tcW w:w="3544"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 xml:space="preserve">1 </w:t>
                        </w:r>
                        <w:r>
                          <w:rPr>
                            <w:rFonts w:ascii="Segoe UI Symbol" w:eastAsia="MS Gothic" w:hAnsi="Segoe UI Symbol" w:cs="Segoe UI Symbol"/>
                            <w:bCs/>
                            <w:szCs w:val="24"/>
                          </w:rPr>
                          <w:t>☐</w:t>
                        </w:r>
                        <w:r>
                          <w:rPr>
                            <w:bCs/>
                            <w:szCs w:val="24"/>
                          </w:rPr>
                          <w:t xml:space="preserve">    2 </w:t>
                        </w:r>
                        <w:r>
                          <w:rPr>
                            <w:rFonts w:ascii="Segoe UI Symbol" w:eastAsia="MS Gothic" w:hAnsi="Segoe UI Symbol" w:cs="Segoe UI Symbol"/>
                            <w:bCs/>
                            <w:szCs w:val="24"/>
                          </w:rPr>
                          <w:t>☐</w:t>
                        </w:r>
                        <w:r>
                          <w:rPr>
                            <w:bCs/>
                            <w:szCs w:val="24"/>
                          </w:rPr>
                          <w:t xml:space="preserve">    3 </w:t>
                        </w:r>
                        <w:r>
                          <w:rPr>
                            <w:rFonts w:ascii="Segoe UI Symbol" w:eastAsia="MS Gothic" w:hAnsi="Segoe UI Symbol" w:cs="Segoe UI Symbol"/>
                            <w:bCs/>
                            <w:szCs w:val="24"/>
                          </w:rPr>
                          <w:t>☐</w:t>
                        </w:r>
                        <w:r>
                          <w:rPr>
                            <w:rFonts w:eastAsia="MS Gothic"/>
                            <w:bCs/>
                            <w:szCs w:val="24"/>
                          </w:rPr>
                          <w:t xml:space="preserve">   </w:t>
                        </w:r>
                        <w:r>
                          <w:rPr>
                            <w:bCs/>
                            <w:szCs w:val="24"/>
                          </w:rPr>
                          <w:t xml:space="preserve">4 </w:t>
                        </w:r>
                        <w:r>
                          <w:rPr>
                            <w:rFonts w:ascii="Segoe UI Symbol" w:eastAsia="MS Gothic" w:hAnsi="Segoe UI Symbol" w:cs="Segoe UI Symbol"/>
                            <w:bCs/>
                            <w:szCs w:val="24"/>
                          </w:rPr>
                          <w:t>☐</w:t>
                        </w:r>
                      </w:p>
                    </w:tc>
                  </w:tr>
                  <w:tr>
                    <w:tc>
                      <w:tcPr>
                        <w:tcW w:w="6237"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5.3. </w:t>
                        </w:r>
                        <w:r>
                          <w:rPr>
                            <w:bCs/>
                            <w:szCs w:val="24"/>
                            <w:lang w:eastAsia="lt-LT"/>
                          </w:rPr>
                          <w:t>Darbo atlikimas laiku (užduočių atlikimo terminų atitiktis nustatytiems terminams)</w:t>
                        </w:r>
                      </w:p>
                    </w:tc>
                    <w:tc>
                      <w:tcPr>
                        <w:tcW w:w="3544"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 xml:space="preserve">1 </w:t>
                        </w:r>
                        <w:r>
                          <w:rPr>
                            <w:rFonts w:ascii="Segoe UI Symbol" w:eastAsia="MS Gothic" w:hAnsi="Segoe UI Symbol" w:cs="Segoe UI Symbol"/>
                            <w:bCs/>
                            <w:szCs w:val="24"/>
                          </w:rPr>
                          <w:t>☐</w:t>
                        </w:r>
                        <w:r>
                          <w:rPr>
                            <w:bCs/>
                            <w:szCs w:val="24"/>
                          </w:rPr>
                          <w:t xml:space="preserve">    2 </w:t>
                        </w:r>
                        <w:r>
                          <w:rPr>
                            <w:rFonts w:ascii="Segoe UI Symbol" w:eastAsia="MS Gothic" w:hAnsi="Segoe UI Symbol" w:cs="Segoe UI Symbol"/>
                            <w:bCs/>
                            <w:szCs w:val="24"/>
                          </w:rPr>
                          <w:t>☐</w:t>
                        </w:r>
                        <w:r>
                          <w:rPr>
                            <w:bCs/>
                            <w:szCs w:val="24"/>
                          </w:rPr>
                          <w:t xml:space="preserve">    3 </w:t>
                        </w:r>
                        <w:r>
                          <w:rPr>
                            <w:rFonts w:ascii="Segoe UI Symbol" w:eastAsia="MS Gothic" w:hAnsi="Segoe UI Symbol" w:cs="Segoe UI Symbol"/>
                            <w:bCs/>
                            <w:szCs w:val="24"/>
                          </w:rPr>
                          <w:t>☐</w:t>
                        </w:r>
                        <w:r>
                          <w:rPr>
                            <w:rFonts w:eastAsia="MS Gothic"/>
                            <w:bCs/>
                            <w:szCs w:val="24"/>
                          </w:rPr>
                          <w:t xml:space="preserve">   </w:t>
                        </w:r>
                        <w:r>
                          <w:rPr>
                            <w:bCs/>
                            <w:szCs w:val="24"/>
                          </w:rPr>
                          <w:t xml:space="preserve">4 </w:t>
                        </w:r>
                        <w:r>
                          <w:rPr>
                            <w:rFonts w:ascii="Segoe UI Symbol" w:eastAsia="MS Gothic" w:hAnsi="Segoe UI Symbol" w:cs="Segoe UI Symbol"/>
                            <w:bCs/>
                            <w:szCs w:val="24"/>
                          </w:rPr>
                          <w:t>☐</w:t>
                        </w:r>
                      </w:p>
                    </w:tc>
                  </w:tr>
                  <w:tr>
                    <w:tc>
                      <w:tcPr>
                        <w:tcW w:w="6237"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5.4. </w:t>
                        </w:r>
                        <w:r>
                          <w:rPr>
                            <w:szCs w:val="24"/>
                          </w:rPr>
                          <w:t>Savarankiškumas atliekant darbą (tinkamiausių būdų, kaip atlikti užduotį, pasirinkimas, papildomos pagalbos, reikalingos užduotims atlikti, sprendimams pagal įgaliojimus priimti, kiekis)</w:t>
                        </w:r>
                      </w:p>
                    </w:tc>
                    <w:tc>
                      <w:tcPr>
                        <w:tcW w:w="3544"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 xml:space="preserve">1 </w:t>
                        </w:r>
                        <w:r>
                          <w:rPr>
                            <w:rFonts w:ascii="Segoe UI Symbol" w:eastAsia="MS Gothic" w:hAnsi="Segoe UI Symbol" w:cs="Segoe UI Symbol"/>
                            <w:bCs/>
                            <w:szCs w:val="24"/>
                          </w:rPr>
                          <w:t>☐</w:t>
                        </w:r>
                        <w:r>
                          <w:rPr>
                            <w:bCs/>
                            <w:szCs w:val="24"/>
                          </w:rPr>
                          <w:t xml:space="preserve">    2 </w:t>
                        </w:r>
                        <w:r>
                          <w:rPr>
                            <w:rFonts w:ascii="Segoe UI Symbol" w:eastAsia="MS Gothic" w:hAnsi="Segoe UI Symbol" w:cs="Segoe UI Symbol"/>
                            <w:bCs/>
                            <w:szCs w:val="24"/>
                          </w:rPr>
                          <w:t>☐</w:t>
                        </w:r>
                        <w:r>
                          <w:rPr>
                            <w:bCs/>
                            <w:szCs w:val="24"/>
                          </w:rPr>
                          <w:t xml:space="preserve">    3 </w:t>
                        </w:r>
                        <w:r>
                          <w:rPr>
                            <w:rFonts w:ascii="Segoe UI Symbol" w:eastAsia="MS Gothic" w:hAnsi="Segoe UI Symbol" w:cs="Segoe UI Symbol"/>
                            <w:bCs/>
                            <w:szCs w:val="24"/>
                          </w:rPr>
                          <w:t>☐</w:t>
                        </w:r>
                        <w:r>
                          <w:rPr>
                            <w:rFonts w:eastAsia="MS Gothic"/>
                            <w:bCs/>
                            <w:szCs w:val="24"/>
                          </w:rPr>
                          <w:t xml:space="preserve">   </w:t>
                        </w:r>
                        <w:r>
                          <w:rPr>
                            <w:bCs/>
                            <w:szCs w:val="24"/>
                          </w:rPr>
                          <w:t xml:space="preserve">4 </w:t>
                        </w:r>
                        <w:r>
                          <w:rPr>
                            <w:rFonts w:ascii="Segoe UI Symbol" w:eastAsia="MS Gothic" w:hAnsi="Segoe UI Symbol" w:cs="Segoe UI Symbol"/>
                            <w:bCs/>
                            <w:szCs w:val="24"/>
                          </w:rPr>
                          <w:t>☐</w:t>
                        </w:r>
                      </w:p>
                    </w:tc>
                  </w:tr>
                  <w:tr>
                    <w:tc>
                      <w:tcPr>
                        <w:tcW w:w="6237"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5.5. Kiti vertinimo kriterijai, jeigu įstaigoje taikomos ir kitos personalo valdymo priemonės, susijusios su veiklos vertinimu </w:t>
                        </w:r>
                      </w:p>
                    </w:tc>
                    <w:tc>
                      <w:tcPr>
                        <w:tcW w:w="3544"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 xml:space="preserve">1 </w:t>
                        </w:r>
                        <w:r>
                          <w:rPr>
                            <w:rFonts w:ascii="Segoe UI Symbol" w:eastAsia="MS Gothic" w:hAnsi="Segoe UI Symbol" w:cs="Segoe UI Symbol"/>
                            <w:bCs/>
                            <w:szCs w:val="24"/>
                          </w:rPr>
                          <w:t>☐</w:t>
                        </w:r>
                        <w:r>
                          <w:rPr>
                            <w:bCs/>
                            <w:szCs w:val="24"/>
                          </w:rPr>
                          <w:t xml:space="preserve">    2 </w:t>
                        </w:r>
                        <w:r>
                          <w:rPr>
                            <w:rFonts w:ascii="Segoe UI Symbol" w:eastAsia="MS Gothic" w:hAnsi="Segoe UI Symbol" w:cs="Segoe UI Symbol"/>
                            <w:bCs/>
                            <w:szCs w:val="24"/>
                          </w:rPr>
                          <w:t>☐</w:t>
                        </w:r>
                        <w:r>
                          <w:rPr>
                            <w:bCs/>
                            <w:szCs w:val="24"/>
                          </w:rPr>
                          <w:t xml:space="preserve">    3 </w:t>
                        </w:r>
                        <w:r>
                          <w:rPr>
                            <w:rFonts w:ascii="Segoe UI Symbol" w:eastAsia="MS Gothic" w:hAnsi="Segoe UI Symbol" w:cs="Segoe UI Symbol"/>
                            <w:bCs/>
                            <w:szCs w:val="24"/>
                          </w:rPr>
                          <w:t>☐</w:t>
                        </w:r>
                        <w:r>
                          <w:rPr>
                            <w:rFonts w:eastAsia="MS Gothic"/>
                            <w:bCs/>
                            <w:szCs w:val="24"/>
                          </w:rPr>
                          <w:t xml:space="preserve">   </w:t>
                        </w:r>
                        <w:r>
                          <w:rPr>
                            <w:bCs/>
                            <w:szCs w:val="24"/>
                          </w:rPr>
                          <w:t xml:space="preserve">4 </w:t>
                        </w:r>
                        <w:r>
                          <w:rPr>
                            <w:rFonts w:ascii="Segoe UI Symbol" w:eastAsia="MS Gothic" w:hAnsi="Segoe UI Symbol" w:cs="Segoe UI Symbol"/>
                            <w:bCs/>
                            <w:szCs w:val="24"/>
                          </w:rPr>
                          <w:t>☐</w:t>
                        </w:r>
                      </w:p>
                    </w:tc>
                  </w:tr>
                  <w:tr>
                    <w:tc>
                      <w:tcPr>
                        <w:tcW w:w="6237"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5.6. BENDRAS ĮVERTINIMAS (balų vidurkis)</w:t>
                        </w:r>
                      </w:p>
                    </w:tc>
                    <w:tc>
                      <w:tcPr>
                        <w:tcW w:w="3544"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 xml:space="preserve">1 </w:t>
                        </w:r>
                        <w:r>
                          <w:rPr>
                            <w:rFonts w:ascii="Segoe UI Symbol" w:eastAsia="MS Gothic" w:hAnsi="Segoe UI Symbol" w:cs="Segoe UI Symbol"/>
                            <w:bCs/>
                            <w:szCs w:val="24"/>
                          </w:rPr>
                          <w:t>☐</w:t>
                        </w:r>
                        <w:r>
                          <w:rPr>
                            <w:bCs/>
                            <w:szCs w:val="24"/>
                          </w:rPr>
                          <w:t xml:space="preserve">    2 </w:t>
                        </w:r>
                        <w:r>
                          <w:rPr>
                            <w:rFonts w:ascii="Segoe UI Symbol" w:eastAsia="MS Gothic" w:hAnsi="Segoe UI Symbol" w:cs="Segoe UI Symbol"/>
                            <w:bCs/>
                            <w:szCs w:val="24"/>
                          </w:rPr>
                          <w:t>☐</w:t>
                        </w:r>
                        <w:r>
                          <w:rPr>
                            <w:bCs/>
                            <w:szCs w:val="24"/>
                          </w:rPr>
                          <w:t xml:space="preserve">    3 </w:t>
                        </w:r>
                        <w:r>
                          <w:rPr>
                            <w:rFonts w:ascii="Segoe UI Symbol" w:eastAsia="MS Gothic" w:hAnsi="Segoe UI Symbol" w:cs="Segoe UI Symbol"/>
                            <w:bCs/>
                            <w:szCs w:val="24"/>
                          </w:rPr>
                          <w:t>☐</w:t>
                        </w:r>
                        <w:r>
                          <w:rPr>
                            <w:rFonts w:eastAsia="MS Gothic"/>
                            <w:bCs/>
                            <w:szCs w:val="24"/>
                          </w:rPr>
                          <w:t xml:space="preserve">   </w:t>
                        </w:r>
                        <w:r>
                          <w:rPr>
                            <w:bCs/>
                            <w:szCs w:val="24"/>
                          </w:rPr>
                          <w:t xml:space="preserve">4 </w:t>
                        </w:r>
                        <w:r>
                          <w:rPr>
                            <w:rFonts w:ascii="Segoe UI Symbol" w:eastAsia="MS Gothic" w:hAnsi="Segoe UI Symbol" w:cs="Segoe UI Symbol"/>
                            <w:bCs/>
                            <w:szCs w:val="24"/>
                          </w:rPr>
                          <w:t>☐</w:t>
                        </w:r>
                      </w:p>
                    </w:tc>
                  </w:tr>
                </w:tbl>
                <w:p>
                  <w:pPr>
                    <w:rPr>
                      <w:b/>
                      <w:szCs w:val="24"/>
                      <w:lang w:eastAsia="lt-LT"/>
                    </w:rPr>
                  </w:pPr>
                </w:p>
              </w:sdtContent>
            </w:sdt>
            <w:sdt>
              <w:sdtPr>
                <w:alias w:val="pr. 6 p."/>
                <w:tag w:val="part_be2dcae4a6594b849802d68b70345ddf"/>
                <w:lock w:val="sdtLocked"/>
                <w:richText/>
              </w:sdtPr>
              <w:sdtContent>
                <w:p>
                  <w:pPr>
                    <w:rPr>
                      <w:b/>
                      <w:szCs w:val="24"/>
                      <w:lang w:eastAsia="lt-LT"/>
                    </w:rPr>
                  </w:pPr>
                  <w:sdt>
                    <w:sdtPr>
                      <w:alias w:val="Numeris"/>
                      <w:tag w:val="nr_be2dcae4a6594b849802d68b70345ddf"/>
                      <w:lock w:val="sdtLocked"/>
                      <w:richText/>
                    </w:sdtPr>
                    <w:sdtContent>
                      <w:r>
                        <w:rPr>
                          <w:b/>
                          <w:szCs w:val="24"/>
                          <w:lang w:eastAsia="lt-LT"/>
                        </w:rPr>
                        <w:t>6</w:t>
                      </w:r>
                    </w:sdtContent>
                  </w:sdt>
                  <w:r>
                    <w:rPr>
                      <w:b/>
                      <w:szCs w:val="24"/>
                      <w:lang w:eastAsia="lt-LT"/>
                    </w:rPr>
                    <w:t>. Pasiūlymai, kaip darbuotojui tobulinti profesinę kompetenciją</w:t>
                  </w:r>
                </w:p>
                <w:p>
                  <w:pPr>
                    <w:rPr>
                      <w:bCs/>
                      <w:szCs w:val="24"/>
                      <w:lang w:eastAsia="lt-LT"/>
                    </w:rPr>
                  </w:pPr>
                  <w:r>
                    <w:rPr>
                      <w:bCs/>
                      <w:szCs w:val="24"/>
                      <w:lang w:eastAsia="lt-LT"/>
                    </w:rPr>
                    <w:t>(nurodoma, kurių sričių mokymai siūlomi darbuotojui)</w:t>
                  </w:r>
                </w:p>
                <w:sdt>
                  <w:sdtPr>
                    <w:alias w:val="pr. 6.1 pp."/>
                    <w:tag w:val="part_04c3eeef18034d799bf9f89867a542ad"/>
                    <w:lock w:val="sdtLocked"/>
                    <w:richText/>
                  </w:sdtPr>
                  <w:sdtContent>
                    <w:p>
                      <w:pPr>
                        <w:rPr>
                          <w:bCs/>
                          <w:szCs w:val="24"/>
                          <w:lang w:eastAsia="lt-LT"/>
                        </w:rPr>
                      </w:pPr>
                      <w:sdt>
                        <w:sdtPr>
                          <w:alias w:val="Numeris"/>
                          <w:tag w:val="nr_04c3eeef18034d799bf9f89867a542ad"/>
                          <w:lock w:val="sdtLocked"/>
                          <w:richText/>
                        </w:sdtPr>
                        <w:sdtContent>
                          <w:r>
                            <w:rPr>
                              <w:bCs/>
                              <w:szCs w:val="24"/>
                              <w:lang w:eastAsia="lt-LT"/>
                            </w:rPr>
                            <w:t>6.1</w:t>
                          </w:r>
                        </w:sdtContent>
                      </w:sdt>
                      <w:r>
                        <w:rPr>
                          <w:bCs/>
                          <w:szCs w:val="24"/>
                          <w:lang w:eastAsia="lt-LT"/>
                        </w:rPr>
                        <w:t>.</w:t>
                      </w:r>
                    </w:p>
                  </w:sdtContent>
                </w:sdt>
                <w:sdt>
                  <w:sdtPr>
                    <w:alias w:val="pr. 6.2 pp."/>
                    <w:tag w:val="part_7e1a96140d9f45f7b5e04a01a7637c5a"/>
                    <w:lock w:val="sdtLocked"/>
                    <w:richText/>
                  </w:sdtPr>
                  <w:sdtContent>
                    <w:p>
                      <w:pPr>
                        <w:rPr>
                          <w:bCs/>
                          <w:szCs w:val="24"/>
                          <w:lang w:eastAsia="lt-LT"/>
                        </w:rPr>
                      </w:pPr>
                      <w:sdt>
                        <w:sdtPr>
                          <w:alias w:val="Numeris"/>
                          <w:tag w:val="nr_7e1a96140d9f45f7b5e04a01a7637c5a"/>
                          <w:lock w:val="sdtLocked"/>
                          <w:richText/>
                        </w:sdtPr>
                        <w:sdtContent>
                          <w:r>
                            <w:rPr>
                              <w:bCs/>
                              <w:szCs w:val="24"/>
                              <w:lang w:eastAsia="lt-LT"/>
                            </w:rPr>
                            <w:t>6.2</w:t>
                          </w:r>
                        </w:sdtContent>
                      </w:sdt>
                      <w:r>
                        <w:rPr>
                          <w:bCs/>
                          <w:szCs w:val="24"/>
                          <w:lang w:eastAsia="lt-LT"/>
                        </w:rPr>
                        <w:t xml:space="preserve">. </w:t>
                      </w:r>
                    </w:p>
                    <w:p>
                      <w:pPr>
                        <w:rPr>
                          <w:b/>
                          <w:szCs w:val="24"/>
                          <w:lang w:eastAsia="lt-LT"/>
                        </w:rPr>
                      </w:pPr>
                    </w:p>
                  </w:sdtContent>
                </w:sdt>
              </w:sdtContent>
            </w:sdt>
          </w:sdtContent>
        </w:sdt>
        <w:sdt>
          <w:sdtPr>
            <w:alias w:val="skyrius"/>
            <w:tag w:val="part_f953b7a34ae04a51a2a5ddf22111a442"/>
            <w:lock w:val="sdtLocked"/>
            <w:richText/>
          </w:sdtPr>
          <w:sdtContent>
            <w:p>
              <w:pPr>
                <w:jc w:val="center"/>
                <w:rPr>
                  <w:b/>
                  <w:szCs w:val="24"/>
                </w:rPr>
              </w:pPr>
              <w:sdt>
                <w:sdtPr>
                  <w:alias w:val="Numeris"/>
                  <w:tag w:val="nr_f953b7a34ae04a51a2a5ddf22111a442"/>
                  <w:lock w:val="sdtLocked"/>
                  <w:richText/>
                </w:sdtPr>
                <w:sdtContent>
                  <w:r>
                    <w:rPr>
                      <w:b/>
                      <w:szCs w:val="24"/>
                    </w:rPr>
                    <w:t>III</w:t>
                  </w:r>
                </w:sdtContent>
              </w:sdt>
              <w:r>
                <w:rPr>
                  <w:b/>
                  <w:szCs w:val="24"/>
                </w:rPr>
                <w:t xml:space="preserve"> SKYRIUS</w:t>
              </w:r>
            </w:p>
            <w:p>
              <w:pPr>
                <w:jc w:val="center"/>
                <w:rPr>
                  <w:b/>
                  <w:szCs w:val="24"/>
                </w:rPr>
              </w:pPr>
              <w:sdt>
                <w:sdtPr>
                  <w:alias w:val="Pavadinimas"/>
                  <w:tag w:val="title_f953b7a34ae04a51a2a5ddf22111a442"/>
                  <w:lock w:val="sdtLocked"/>
                  <w:richText/>
                </w:sdtPr>
                <w:sdtContent>
                  <w:r>
                    <w:rPr>
                      <w:b/>
                      <w:szCs w:val="24"/>
                    </w:rPr>
                    <w:t>BENDRAS VEIKLOS LŪKESČIŲ VERTINIMAS, VERTINIMO PAGRINDIMAS IR PASIŪLYMAI</w:t>
                  </w:r>
                </w:sdtContent>
              </w:sdt>
            </w:p>
            <w:p>
              <w:pPr>
                <w:jc w:val="center"/>
                <w:rPr>
                  <w:b/>
                  <w:szCs w:val="24"/>
                </w:rPr>
              </w:pPr>
            </w:p>
            <w:sdt>
              <w:sdtPr>
                <w:alias w:val="pr. 7 p."/>
                <w:tag w:val="part_58b71478010b4facb4c896b09f3a828e"/>
                <w:lock w:val="sdtLocked"/>
                <w:richText/>
              </w:sdtPr>
              <w:sdtContent>
                <w:p>
                  <w:pPr>
                    <w:ind w:left="284" w:hanging="284"/>
                    <w:rPr>
                      <w:b/>
                      <w:szCs w:val="24"/>
                    </w:rPr>
                  </w:pPr>
                  <w:sdt>
                    <w:sdtPr>
                      <w:alias w:val="Numeris"/>
                      <w:tag w:val="nr_58b71478010b4facb4c896b09f3a828e"/>
                      <w:lock w:val="sdtLocked"/>
                      <w:richText/>
                    </w:sdtPr>
                    <w:sdtContent>
                      <w:r>
                        <w:rPr>
                          <w:rFonts w:eastAsia="Calibri"/>
                          <w:b/>
                          <w:szCs w:val="24"/>
                        </w:rPr>
                        <w:t>7</w:t>
                      </w:r>
                    </w:sdtContent>
                  </w:sdt>
                  <w:r>
                    <w:rPr>
                      <w:rFonts w:eastAsia="Calibri"/>
                      <w:b/>
                      <w:szCs w:val="24"/>
                    </w:rPr>
                    <w:t xml:space="preserve">. </w:t>
                  </w:r>
                  <w:r>
                    <w:rPr>
                      <w:b/>
                      <w:szCs w:val="24"/>
                    </w:rPr>
                    <w:t>Bendras veiklos lūkesčių vertinimas</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2268"/>
                    <w:gridCol w:w="1843"/>
                    <w:gridCol w:w="2268"/>
                    <w:gridCol w:w="2126"/>
                  </w:tblGrid>
                  <w:tr>
                    <w:tc>
                      <w:tcPr>
                        <w:tcW w:w="1413" w:type="dxa"/>
                        <w:tcBorders>
                          <w:top w:val="single" w:sz="4" w:space="0" w:color="auto"/>
                          <w:left w:val="single" w:sz="4" w:space="0" w:color="auto"/>
                          <w:bottom w:val="single" w:sz="4" w:space="0" w:color="auto"/>
                          <w:right w:val="single" w:sz="4" w:space="0" w:color="auto"/>
                        </w:tcBorders>
                      </w:tcPr>
                      <w:p>
                        <w:pPr>
                          <w:jc w:val="center"/>
                          <w:rPr>
                            <w:b/>
                            <w:szCs w:val="24"/>
                          </w:rPr>
                        </w:pPr>
                      </w:p>
                    </w:tc>
                    <w:tc>
                      <w:tcPr>
                        <w:tcW w:w="8505" w:type="dxa"/>
                        <w:gridSpan w:val="4"/>
                        <w:tcBorders>
                          <w:top w:val="single" w:sz="4" w:space="0" w:color="auto"/>
                          <w:left w:val="single" w:sz="4" w:space="0" w:color="auto"/>
                          <w:bottom w:val="single" w:sz="4" w:space="0" w:color="auto"/>
                          <w:right w:val="single" w:sz="4" w:space="0" w:color="auto"/>
                        </w:tcBorders>
                      </w:tcPr>
                      <w:p>
                        <w:pPr>
                          <w:jc w:val="center"/>
                          <w:rPr>
                            <w:b/>
                            <w:szCs w:val="24"/>
                          </w:rPr>
                        </w:pPr>
                        <w:r>
                          <w:rPr>
                            <w:b/>
                            <w:szCs w:val="24"/>
                          </w:rPr>
                          <w:t>Pažymimas langelis, atitinkantis bendrą išpildytų veiklos lūkesčių, vykdant užduotis, ir gebėjimų atlikti pareigybės aprašyme nustatytas funkcijas vertinimų vidurkį</w:t>
                        </w:r>
                      </w:p>
                    </w:tc>
                  </w:tr>
                  <w:tr>
                    <w:trPr>
                      <w:trHeight w:val="447"/>
                    </w:trPr>
                    <w:tc>
                      <w:tcPr>
                        <w:tcW w:w="1413"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Vertinimas</w:t>
                        </w:r>
                      </w:p>
                    </w:tc>
                    <w:tc>
                      <w:tcPr>
                        <w:tcW w:w="2268" w:type="dxa"/>
                        <w:tcBorders>
                          <w:top w:val="single" w:sz="4" w:space="0" w:color="auto"/>
                          <w:left w:val="single" w:sz="4" w:space="0" w:color="auto"/>
                          <w:bottom w:val="single" w:sz="4" w:space="0" w:color="auto"/>
                          <w:right w:val="single" w:sz="4" w:space="0" w:color="auto"/>
                        </w:tcBorders>
                        <w:hideMark/>
                      </w:tcPr>
                      <w:p>
                        <w:pPr>
                          <w:rPr>
                            <w:b/>
                            <w:szCs w:val="24"/>
                          </w:rPr>
                        </w:pPr>
                        <w:r>
                          <w:rPr>
                            <w:szCs w:val="24"/>
                          </w:rPr>
                          <w:t xml:space="preserve">Neatitinka lūkesčių – </w:t>
                        </w:r>
                        <w:r>
                          <w:rPr>
                            <w:rFonts w:ascii="Segoe UI Symbol" w:eastAsia="MS Gothic" w:hAnsi="Segoe UI Symbol" w:cs="Segoe UI Symbol"/>
                            <w:szCs w:val="24"/>
                          </w:rPr>
                          <w:t>☐</w:t>
                        </w:r>
                      </w:p>
                    </w:tc>
                    <w:tc>
                      <w:tcPr>
                        <w:tcW w:w="1843" w:type="dxa"/>
                        <w:tcBorders>
                          <w:top w:val="single" w:sz="4" w:space="0" w:color="auto"/>
                          <w:left w:val="single" w:sz="4" w:space="0" w:color="auto"/>
                          <w:bottom w:val="single" w:sz="4" w:space="0" w:color="auto"/>
                          <w:right w:val="single" w:sz="4" w:space="0" w:color="auto"/>
                        </w:tcBorders>
                        <w:hideMark/>
                      </w:tcPr>
                      <w:p>
                        <w:pPr>
                          <w:rPr>
                            <w:b/>
                            <w:szCs w:val="24"/>
                          </w:rPr>
                        </w:pPr>
                        <w:r>
                          <w:rPr>
                            <w:szCs w:val="24"/>
                          </w:rPr>
                          <w:t xml:space="preserve">Iš dalies atitinka lūkesčius – </w:t>
                        </w:r>
                        <w:r>
                          <w:rPr>
                            <w:rFonts w:ascii="Segoe UI Symbol" w:eastAsia="MS Gothic" w:hAnsi="Segoe UI Symbol" w:cs="Segoe UI Symbol"/>
                            <w:szCs w:val="24"/>
                          </w:rPr>
                          <w:t>☐</w:t>
                        </w:r>
                      </w:p>
                    </w:tc>
                    <w:tc>
                      <w:tcPr>
                        <w:tcW w:w="2268" w:type="dxa"/>
                        <w:tcBorders>
                          <w:top w:val="single" w:sz="4" w:space="0" w:color="auto"/>
                          <w:left w:val="single" w:sz="4" w:space="0" w:color="auto"/>
                          <w:bottom w:val="single" w:sz="4" w:space="0" w:color="auto"/>
                          <w:right w:val="single" w:sz="4" w:space="0" w:color="auto"/>
                        </w:tcBorders>
                        <w:hideMark/>
                      </w:tcPr>
                      <w:p>
                        <w:pPr>
                          <w:rPr>
                            <w:b/>
                            <w:szCs w:val="24"/>
                          </w:rPr>
                        </w:pPr>
                        <w:r>
                          <w:rPr>
                            <w:szCs w:val="24"/>
                          </w:rPr>
                          <w:t xml:space="preserve">Atitinka lūkesčius – </w:t>
                        </w:r>
                        <w:r>
                          <w:rPr>
                            <w:rFonts w:ascii="Segoe UI Symbol" w:eastAsia="MS Gothic" w:hAnsi="Segoe UI Symbol" w:cs="Segoe UI Symbol"/>
                            <w:szCs w:val="24"/>
                          </w:rPr>
                          <w:t>☐</w:t>
                        </w:r>
                      </w:p>
                    </w:tc>
                    <w:tc>
                      <w:tcPr>
                        <w:tcW w:w="2126" w:type="dxa"/>
                        <w:tcBorders>
                          <w:top w:val="single" w:sz="4" w:space="0" w:color="auto"/>
                          <w:left w:val="single" w:sz="4" w:space="0" w:color="auto"/>
                          <w:bottom w:val="single" w:sz="4" w:space="0" w:color="auto"/>
                          <w:right w:val="single" w:sz="4" w:space="0" w:color="auto"/>
                        </w:tcBorders>
                        <w:hideMark/>
                      </w:tcPr>
                      <w:p>
                        <w:pPr>
                          <w:rPr>
                            <w:b/>
                            <w:szCs w:val="24"/>
                          </w:rPr>
                        </w:pPr>
                        <w:r>
                          <w:rPr>
                            <w:szCs w:val="24"/>
                          </w:rPr>
                          <w:t xml:space="preserve">Viršija lūkesčius – </w:t>
                        </w:r>
                        <w:r>
                          <w:rPr>
                            <w:rFonts w:ascii="Segoe UI Symbol" w:eastAsia="MS Gothic" w:hAnsi="Segoe UI Symbol" w:cs="Segoe UI Symbol"/>
                            <w:szCs w:val="24"/>
                          </w:rPr>
                          <w:t>☐</w:t>
                        </w:r>
                      </w:p>
                    </w:tc>
                  </w:tr>
                </w:tbl>
                <w:p>
                  <w:pPr>
                    <w:jc w:val="center"/>
                    <w:rPr>
                      <w:b/>
                      <w:szCs w:val="24"/>
                    </w:rPr>
                  </w:pPr>
                </w:p>
              </w:sdtContent>
            </w:sdt>
            <w:sdt>
              <w:sdtPr>
                <w:alias w:val="pr. 8 p."/>
                <w:tag w:val="part_0aa9e0309f6e40b48948869c1ca7739d"/>
                <w:lock w:val="sdtLocked"/>
                <w:richText/>
              </w:sdtPr>
              <w:sdtContent>
                <w:p>
                  <w:pPr>
                    <w:tabs>
                      <w:tab w:val="right" w:leader="underscore" w:pos="9071"/>
                    </w:tabs>
                    <w:jc w:val="both"/>
                    <w:rPr>
                      <w:szCs w:val="24"/>
                    </w:rPr>
                  </w:pPr>
                  <w:sdt>
                    <w:sdtPr>
                      <w:alias w:val="Numeris"/>
                      <w:tag w:val="nr_0aa9e0309f6e40b48948869c1ca7739d"/>
                      <w:lock w:val="sdtLocked"/>
                      <w:richText/>
                    </w:sdtPr>
                    <w:sdtContent>
                      <w:r>
                        <w:rPr>
                          <w:b/>
                          <w:szCs w:val="24"/>
                        </w:rPr>
                        <w:t>8</w:t>
                      </w:r>
                    </w:sdtContent>
                  </w:sdt>
                  <w:r>
                    <w:rPr>
                      <w:b/>
                      <w:szCs w:val="24"/>
                    </w:rPr>
                    <w:t>. Vertinimo pagrindimas ir pasiūlymai (sprendimas, jei veiklos vertinimo formą pildo į pareigas priimantis asmuo):</w:t>
                  </w:r>
                  <w:r>
                    <w:rPr>
                      <w:szCs w:val="24"/>
                    </w:rPr>
                    <w:t xml:space="preserve"> </w:t>
                    <w:tab/>
                  </w:r>
                </w:p>
                <w:p>
                  <w:pPr>
                    <w:tabs>
                      <w:tab w:val="right" w:leader="underscore" w:pos="9071"/>
                    </w:tabs>
                    <w:jc w:val="both"/>
                    <w:rPr>
                      <w:szCs w:val="24"/>
                    </w:rPr>
                  </w:pPr>
                  <w:r>
                    <w:rPr>
                      <w:szCs w:val="24"/>
                    </w:rPr>
                    <w:tab/>
                  </w:r>
                </w:p>
                <w:p>
                  <w:pPr>
                    <w:tabs>
                      <w:tab w:val="right" w:leader="underscore" w:pos="9071"/>
                    </w:tabs>
                    <w:jc w:val="both"/>
                    <w:rPr>
                      <w:i/>
                      <w:szCs w:val="24"/>
                    </w:rPr>
                  </w:pPr>
                  <w:r>
                    <w:rPr>
                      <w:i/>
                      <w:szCs w:val="24"/>
                    </w:rPr>
                    <w:tab/>
                  </w:r>
                </w:p>
                <w:p>
                  <w:pPr>
                    <w:tabs>
                      <w:tab w:val="right" w:leader="underscore" w:pos="9071"/>
                    </w:tabs>
                    <w:jc w:val="both"/>
                    <w:rPr>
                      <w:szCs w:val="24"/>
                    </w:rPr>
                  </w:pPr>
                  <w:r>
                    <w:rPr>
                      <w:szCs w:val="24"/>
                    </w:rPr>
                    <w:tab/>
                  </w:r>
                </w:p>
                <w:p>
                  <w:pPr>
                    <w:jc w:val="both"/>
                    <w:rPr>
                      <w:b/>
                      <w:sz w:val="20"/>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6"/>
                  </w:tblGrid>
                  <w:tr>
                    <w:tc>
                      <w:tcPr>
                        <w:tcW w:w="9776" w:type="dxa"/>
                        <w:tcBorders>
                          <w:top w:val="single" w:sz="4" w:space="0" w:color="auto"/>
                          <w:left w:val="single" w:sz="4" w:space="0" w:color="auto"/>
                          <w:bottom w:val="single" w:sz="4" w:space="0" w:color="auto"/>
                          <w:right w:val="single" w:sz="4" w:space="0" w:color="auto"/>
                        </w:tcBorders>
                      </w:tcPr>
                      <w:p>
                        <w:pPr>
                          <w:tabs>
                            <w:tab w:val="left" w:pos="5529"/>
                          </w:tabs>
                          <w:rPr>
                            <w:b/>
                            <w:bCs/>
                            <w:szCs w:val="24"/>
                          </w:rPr>
                        </w:pPr>
                      </w:p>
                      <w:tbl>
                        <w:tblPr>
                          <w:tblW w:w="0" w:type="auto"/>
                          <w:tblLook w:val="04A0" w:firstRow="1" w:lastRow="0" w:firstColumn="1" w:lastColumn="0" w:noHBand="0" w:noVBand="1"/>
                        </w:tblPr>
                        <w:tblGrid>
                          <w:gridCol w:w="3974"/>
                          <w:gridCol w:w="284"/>
                          <w:gridCol w:w="2551"/>
                          <w:gridCol w:w="284"/>
                          <w:gridCol w:w="1998"/>
                        </w:tblGrid>
                        <w:tr>
                          <w:tc>
                            <w:tcPr>
                              <w:tcW w:w="3974" w:type="dxa"/>
                              <w:tcBorders>
                                <w:bottom w:val="single" w:sz="4" w:space="0" w:color="auto"/>
                              </w:tcBorders>
                            </w:tcPr>
                            <w:p>
                              <w:pPr>
                                <w:tabs>
                                  <w:tab w:val="left" w:pos="5529"/>
                                  <w:tab w:val="left" w:pos="7371"/>
                                </w:tabs>
                                <w:jc w:val="both"/>
                                <w:rPr>
                                  <w:b/>
                                  <w:bCs/>
                                  <w:sz w:val="20"/>
                                </w:rPr>
                              </w:pPr>
                            </w:p>
                          </w:tc>
                          <w:tc>
                            <w:tcPr>
                              <w:tcW w:w="284" w:type="dxa"/>
                            </w:tcPr>
                            <w:p>
                              <w:pPr>
                                <w:tabs>
                                  <w:tab w:val="left" w:pos="5529"/>
                                  <w:tab w:val="left" w:pos="7371"/>
                                </w:tabs>
                                <w:jc w:val="both"/>
                                <w:rPr>
                                  <w:b/>
                                  <w:bCs/>
                                  <w:sz w:val="20"/>
                                </w:rPr>
                              </w:pPr>
                            </w:p>
                          </w:tc>
                          <w:tc>
                            <w:tcPr>
                              <w:tcW w:w="2551" w:type="dxa"/>
                              <w:tcBorders>
                                <w:bottom w:val="single" w:sz="4" w:space="0" w:color="auto"/>
                              </w:tcBorders>
                            </w:tcPr>
                            <w:p>
                              <w:pPr>
                                <w:tabs>
                                  <w:tab w:val="left" w:pos="5529"/>
                                  <w:tab w:val="left" w:pos="7371"/>
                                </w:tabs>
                                <w:jc w:val="both"/>
                                <w:rPr>
                                  <w:b/>
                                  <w:bCs/>
                                  <w:sz w:val="20"/>
                                </w:rPr>
                              </w:pPr>
                            </w:p>
                          </w:tc>
                          <w:tc>
                            <w:tcPr>
                              <w:tcW w:w="284" w:type="dxa"/>
                            </w:tcPr>
                            <w:p>
                              <w:pPr>
                                <w:tabs>
                                  <w:tab w:val="left" w:pos="5529"/>
                                  <w:tab w:val="left" w:pos="7371"/>
                                </w:tabs>
                                <w:jc w:val="both"/>
                                <w:rPr>
                                  <w:b/>
                                  <w:bCs/>
                                  <w:sz w:val="20"/>
                                </w:rPr>
                              </w:pPr>
                            </w:p>
                          </w:tc>
                          <w:tc>
                            <w:tcPr>
                              <w:tcW w:w="1998" w:type="dxa"/>
                              <w:tcBorders>
                                <w:bottom w:val="single" w:sz="4" w:space="0" w:color="auto"/>
                              </w:tcBorders>
                            </w:tcPr>
                            <w:p>
                              <w:pPr>
                                <w:tabs>
                                  <w:tab w:val="left" w:pos="5529"/>
                                  <w:tab w:val="left" w:pos="7371"/>
                                </w:tabs>
                                <w:jc w:val="both"/>
                                <w:rPr>
                                  <w:b/>
                                  <w:bCs/>
                                  <w:sz w:val="20"/>
                                </w:rPr>
                              </w:pPr>
                            </w:p>
                          </w:tc>
                        </w:tr>
                        <w:tr>
                          <w:tc>
                            <w:tcPr>
                              <w:tcW w:w="3974" w:type="dxa"/>
                              <w:tcBorders>
                                <w:top w:val="single" w:sz="4" w:space="0" w:color="auto"/>
                              </w:tcBorders>
                            </w:tcPr>
                            <w:p>
                              <w:pPr>
                                <w:tabs>
                                  <w:tab w:val="left" w:pos="5529"/>
                                  <w:tab w:val="left" w:pos="7371"/>
                                </w:tabs>
                                <w:jc w:val="center"/>
                                <w:rPr>
                                  <w:sz w:val="20"/>
                                </w:rPr>
                              </w:pPr>
                              <w:r>
                                <w:rPr>
                                  <w:sz w:val="20"/>
                                </w:rPr>
                                <w:t>(vertinančiojo asmens pareigos)</w:t>
                              </w:r>
                            </w:p>
                          </w:tc>
                          <w:tc>
                            <w:tcPr>
                              <w:tcW w:w="284" w:type="dxa"/>
                            </w:tcPr>
                            <w:p>
                              <w:pPr>
                                <w:tabs>
                                  <w:tab w:val="left" w:pos="5529"/>
                                  <w:tab w:val="left" w:pos="7371"/>
                                </w:tabs>
                                <w:jc w:val="both"/>
                                <w:rPr>
                                  <w:sz w:val="20"/>
                                </w:rPr>
                              </w:pPr>
                            </w:p>
                          </w:tc>
                          <w:tc>
                            <w:tcPr>
                              <w:tcW w:w="2551" w:type="dxa"/>
                              <w:tcBorders>
                                <w:top w:val="single" w:sz="4" w:space="0" w:color="auto"/>
                              </w:tcBorders>
                            </w:tcPr>
                            <w:p>
                              <w:pPr>
                                <w:tabs>
                                  <w:tab w:val="left" w:pos="5529"/>
                                  <w:tab w:val="left" w:pos="7371"/>
                                </w:tabs>
                                <w:jc w:val="center"/>
                                <w:rPr>
                                  <w:sz w:val="20"/>
                                </w:rPr>
                              </w:pPr>
                              <w:r>
                                <w:rPr>
                                  <w:sz w:val="20"/>
                                </w:rPr>
                                <w:t>(vardas ir pavardė)</w:t>
                              </w:r>
                            </w:p>
                          </w:tc>
                          <w:tc>
                            <w:tcPr>
                              <w:tcW w:w="284" w:type="dxa"/>
                            </w:tcPr>
                            <w:p>
                              <w:pPr>
                                <w:tabs>
                                  <w:tab w:val="left" w:pos="5529"/>
                                  <w:tab w:val="left" w:pos="7371"/>
                                </w:tabs>
                                <w:jc w:val="both"/>
                                <w:rPr>
                                  <w:sz w:val="20"/>
                                </w:rPr>
                              </w:pPr>
                            </w:p>
                          </w:tc>
                          <w:tc>
                            <w:tcPr>
                              <w:tcW w:w="1998" w:type="dxa"/>
                              <w:tcBorders>
                                <w:top w:val="single" w:sz="4" w:space="0" w:color="auto"/>
                              </w:tcBorders>
                            </w:tcPr>
                            <w:p>
                              <w:pPr>
                                <w:tabs>
                                  <w:tab w:val="left" w:pos="5529"/>
                                  <w:tab w:val="left" w:pos="7371"/>
                                </w:tabs>
                                <w:jc w:val="center"/>
                                <w:rPr>
                                  <w:sz w:val="20"/>
                                </w:rPr>
                              </w:pPr>
                              <w:r>
                                <w:rPr>
                                  <w:sz w:val="20"/>
                                </w:rPr>
                                <w:t>(parašas)</w:t>
                              </w:r>
                            </w:p>
                          </w:tc>
                        </w:tr>
                      </w:tbl>
                      <w:p>
                        <w:pPr>
                          <w:tabs>
                            <w:tab w:val="left" w:pos="5529"/>
                          </w:tabs>
                          <w:rPr>
                            <w:b/>
                            <w:bCs/>
                            <w:szCs w:val="24"/>
                          </w:rPr>
                        </w:pPr>
                      </w:p>
                    </w:tc>
                  </w:tr>
                </w:tbl>
                <w:p>
                  <w:pPr>
                    <w:jc w:val="both"/>
                    <w:rPr>
                      <w:b/>
                      <w:sz w:val="20"/>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76"/>
                  </w:tblGrid>
                  <w:tr>
                    <w:tc>
                      <w:tcPr>
                        <w:tcW w:w="9776" w:type="dxa"/>
                        <w:tcBorders>
                          <w:top w:val="single" w:sz="4" w:space="0" w:color="auto"/>
                          <w:left w:val="single" w:sz="4" w:space="0" w:color="auto"/>
                          <w:bottom w:val="single" w:sz="4" w:space="0" w:color="auto"/>
                          <w:right w:val="single" w:sz="4" w:space="0" w:color="auto"/>
                        </w:tcBorders>
                      </w:tcPr>
                      <w:p>
                        <w:pPr>
                          <w:tabs>
                            <w:tab w:val="left" w:pos="5529"/>
                            <w:tab w:val="left" w:pos="8364"/>
                          </w:tabs>
                          <w:jc w:val="both"/>
                          <w:rPr>
                            <w:b/>
                            <w:bCs/>
                            <w:szCs w:val="24"/>
                          </w:rPr>
                        </w:pPr>
                        <w:r>
                          <w:rPr>
                            <w:b/>
                            <w:bCs/>
                            <w:sz w:val="20"/>
                            <w:szCs w:val="24"/>
                          </w:rPr>
                          <w:t>Su veiklos vertinimo išvada ir pasiūlymais susipažinau ir sutinku / nesutinku:</w:t>
                        </w:r>
                      </w:p>
                      <w:p>
                        <w:pPr>
                          <w:tabs>
                            <w:tab w:val="left" w:pos="5274"/>
                            <w:tab w:val="left" w:pos="8364"/>
                          </w:tabs>
                          <w:jc w:val="both"/>
                          <w:rPr>
                            <w:sz w:val="20"/>
                            <w:szCs w:val="24"/>
                          </w:rPr>
                        </w:pPr>
                        <w:r>
                          <w:rPr>
                            <w:sz w:val="20"/>
                          </w:rPr>
                          <w:t>(kas nereikalinga, išbraukti)</w:t>
                        </w:r>
                      </w:p>
                      <w:p>
                        <w:pPr>
                          <w:tabs>
                            <w:tab w:val="left" w:pos="5529"/>
                            <w:tab w:val="left" w:pos="8364"/>
                          </w:tabs>
                          <w:jc w:val="both"/>
                          <w:rPr>
                            <w:sz w:val="20"/>
                            <w:szCs w:val="24"/>
                          </w:rPr>
                        </w:pPr>
                      </w:p>
                      <w:tbl>
                        <w:tblPr>
                          <w:tblW w:w="9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00"/>
                        </w:tblGrid>
                        <w:tr>
                          <w:tc>
                            <w:tcPr>
                              <w:tcW w:w="9096" w:type="dxa"/>
                              <w:tcBorders>
                                <w:top w:val="single" w:sz="4" w:space="0" w:color="auto"/>
                                <w:left w:val="single" w:sz="4" w:space="0" w:color="auto"/>
                                <w:bottom w:val="single" w:sz="4" w:space="0" w:color="auto"/>
                                <w:right w:val="single" w:sz="4" w:space="0" w:color="auto"/>
                              </w:tcBorders>
                            </w:tcPr>
                            <w:p>
                              <w:pPr>
                                <w:tabs>
                                  <w:tab w:val="left" w:pos="5529"/>
                                  <w:tab w:val="left" w:pos="8364"/>
                                </w:tabs>
                                <w:jc w:val="both"/>
                                <w:rPr>
                                  <w:szCs w:val="24"/>
                                </w:rPr>
                              </w:pPr>
                            </w:p>
                            <w:p>
                              <w:pPr>
                                <w:tabs>
                                  <w:tab w:val="left" w:pos="5529"/>
                                  <w:tab w:val="left" w:pos="8364"/>
                                </w:tabs>
                                <w:jc w:val="both"/>
                                <w:rPr>
                                  <w:sz w:val="20"/>
                                  <w:szCs w:val="24"/>
                                </w:rPr>
                              </w:pPr>
                            </w:p>
                            <w:p>
                              <w:pPr>
                                <w:tabs>
                                  <w:tab w:val="left" w:pos="5529"/>
                                  <w:tab w:val="left" w:pos="8364"/>
                                </w:tabs>
                                <w:jc w:val="both"/>
                                <w:rPr>
                                  <w:szCs w:val="24"/>
                                </w:rPr>
                              </w:pPr>
                            </w:p>
                          </w:tc>
                        </w:tr>
                      </w:tbl>
                      <w:p>
                        <w:pPr>
                          <w:tabs>
                            <w:tab w:val="left" w:pos="1276"/>
                            <w:tab w:val="left" w:pos="6550"/>
                            <w:tab w:val="left" w:pos="7542"/>
                          </w:tabs>
                          <w:jc w:val="both"/>
                          <w:rPr>
                            <w:sz w:val="20"/>
                          </w:rPr>
                        </w:pPr>
                        <w:r>
                          <w:rPr>
                            <w:sz w:val="20"/>
                          </w:rPr>
                          <w:t>(nurodyti veiklos vertinimo išvados punktą (punktus), su kuriuo (kuriais) nesutinkama, ir nesutikimo motyvus)</w:t>
                        </w:r>
                      </w:p>
                      <w:p>
                        <w:pPr>
                          <w:tabs>
                            <w:tab w:val="left" w:pos="1276"/>
                            <w:tab w:val="left" w:pos="6550"/>
                            <w:tab w:val="left" w:pos="7542"/>
                          </w:tabs>
                          <w:jc w:val="both"/>
                          <w:rPr>
                            <w:sz w:val="20"/>
                          </w:rPr>
                        </w:pPr>
                      </w:p>
                      <w:p>
                        <w:pPr>
                          <w:tabs>
                            <w:tab w:val="left" w:pos="5245"/>
                            <w:tab w:val="left" w:pos="7371"/>
                          </w:tabs>
                          <w:jc w:val="both"/>
                          <w:rPr>
                            <w:szCs w:val="24"/>
                          </w:rPr>
                        </w:pPr>
                        <w:r>
                          <w:rPr>
                            <w:sz w:val="20"/>
                            <w:szCs w:val="24"/>
                          </w:rPr>
                          <w:t>________________________________________</w:t>
                          <w:tab/>
                          <w:t>___________</w:t>
                          <w:tab/>
                          <w:t>______________</w:t>
                        </w:r>
                      </w:p>
                      <w:p>
                        <w:pPr>
                          <w:tabs>
                            <w:tab w:val="left" w:pos="5529"/>
                            <w:tab w:val="left" w:pos="7371"/>
                          </w:tabs>
                          <w:jc w:val="both"/>
                          <w:rPr>
                            <w:sz w:val="20"/>
                          </w:rPr>
                        </w:pPr>
                        <w:r>
                          <w:rPr>
                            <w:sz w:val="20"/>
                          </w:rPr>
                          <w:t>(darbuotojo / biudžetinės įstaigos vadovo pareigos)</w:t>
                          <w:tab/>
                          <w:t>(parašas)</w:t>
                          <w:tab/>
                          <w:t>(vardas ir pavardė)</w:t>
                        </w:r>
                      </w:p>
                      <w:p>
                        <w:pPr>
                          <w:tabs>
                            <w:tab w:val="left" w:pos="5529"/>
                            <w:tab w:val="left" w:pos="8364"/>
                          </w:tabs>
                          <w:jc w:val="both"/>
                          <w:rPr>
                            <w:szCs w:val="24"/>
                          </w:rPr>
                        </w:pPr>
                      </w:p>
                    </w:tc>
                  </w:tr>
                  <w:tr>
                    <w:tc>
                      <w:tcPr>
                        <w:tcW w:w="9776" w:type="dxa"/>
                        <w:tcBorders>
                          <w:top w:val="single" w:sz="4" w:space="0" w:color="auto"/>
                          <w:left w:val="single" w:sz="4" w:space="0" w:color="auto"/>
                          <w:bottom w:val="single" w:sz="4" w:space="0" w:color="auto"/>
                          <w:right w:val="single" w:sz="4" w:space="0" w:color="auto"/>
                        </w:tcBorders>
                      </w:tcPr>
                      <w:p>
                        <w:pPr>
                          <w:tabs>
                            <w:tab w:val="left" w:pos="1276"/>
                            <w:tab w:val="left" w:pos="5954"/>
                            <w:tab w:val="left" w:pos="8392"/>
                          </w:tabs>
                          <w:jc w:val="both"/>
                          <w:rPr>
                            <w:b/>
                            <w:bCs/>
                            <w:sz w:val="20"/>
                          </w:rPr>
                        </w:pPr>
                        <w:r>
                          <w:rPr>
                            <w:b/>
                            <w:bCs/>
                            <w:sz w:val="20"/>
                            <w:szCs w:val="24"/>
                          </w:rPr>
                          <w:t>Su veiklos vertinimo išvada ir pasiūlymais susipažinau ir sutinku / nesutinku, pokalbyje dalyvavau / nedalyvavau:</w:t>
                        </w:r>
                      </w:p>
                      <w:p>
                        <w:pPr>
                          <w:tabs>
                            <w:tab w:val="left" w:pos="1276"/>
                            <w:tab w:val="left" w:pos="5954"/>
                            <w:tab w:val="left" w:pos="8392"/>
                          </w:tabs>
                          <w:jc w:val="both"/>
                          <w:rPr>
                            <w:sz w:val="20"/>
                          </w:rPr>
                        </w:pPr>
                        <w:r>
                          <w:rPr>
                            <w:sz w:val="20"/>
                          </w:rPr>
                          <w:t>(kas nereikalinga, išbraukti)</w:t>
                        </w:r>
                      </w:p>
                      <w:p>
                        <w:pPr>
                          <w:tabs>
                            <w:tab w:val="left" w:pos="1276"/>
                            <w:tab w:val="left" w:pos="5954"/>
                            <w:tab w:val="left" w:pos="8392"/>
                          </w:tabs>
                          <w:jc w:val="both"/>
                          <w:rPr>
                            <w:sz w:val="20"/>
                          </w:rPr>
                        </w:pPr>
                      </w:p>
                      <w:tbl>
                        <w:tblPr>
                          <w:tblW w:w="9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00"/>
                        </w:tblGrid>
                        <w:tr>
                          <w:tc>
                            <w:tcPr>
                              <w:tcW w:w="9096" w:type="dxa"/>
                              <w:tcBorders>
                                <w:top w:val="single" w:sz="4" w:space="0" w:color="auto"/>
                                <w:left w:val="single" w:sz="4" w:space="0" w:color="auto"/>
                                <w:bottom w:val="single" w:sz="4" w:space="0" w:color="auto"/>
                                <w:right w:val="single" w:sz="4" w:space="0" w:color="auto"/>
                              </w:tcBorders>
                            </w:tcPr>
                            <w:p>
                              <w:pPr>
                                <w:tabs>
                                  <w:tab w:val="left" w:pos="5529"/>
                                  <w:tab w:val="left" w:pos="8364"/>
                                </w:tabs>
                                <w:jc w:val="both"/>
                                <w:rPr>
                                  <w:szCs w:val="24"/>
                                </w:rPr>
                              </w:pPr>
                            </w:p>
                            <w:p>
                              <w:pPr>
                                <w:tabs>
                                  <w:tab w:val="left" w:pos="5529"/>
                                  <w:tab w:val="left" w:pos="8364"/>
                                </w:tabs>
                                <w:jc w:val="both"/>
                                <w:rPr>
                                  <w:sz w:val="20"/>
                                  <w:szCs w:val="24"/>
                                </w:rPr>
                              </w:pPr>
                            </w:p>
                            <w:p>
                              <w:pPr>
                                <w:tabs>
                                  <w:tab w:val="left" w:pos="5529"/>
                                  <w:tab w:val="left" w:pos="8364"/>
                                </w:tabs>
                                <w:jc w:val="both"/>
                                <w:rPr>
                                  <w:szCs w:val="24"/>
                                </w:rPr>
                              </w:pPr>
                            </w:p>
                          </w:tc>
                        </w:tr>
                      </w:tbl>
                      <w:p>
                        <w:pPr>
                          <w:tabs>
                            <w:tab w:val="left" w:pos="1276"/>
                            <w:tab w:val="left" w:pos="6550"/>
                            <w:tab w:val="left" w:pos="7542"/>
                          </w:tabs>
                          <w:jc w:val="both"/>
                          <w:rPr>
                            <w:sz w:val="20"/>
                          </w:rPr>
                        </w:pPr>
                        <w:r>
                          <w:rPr>
                            <w:sz w:val="20"/>
                          </w:rPr>
                          <w:t>(nurodyti veiklos vertinimo išvados punktą (punktus), su kuriuo (kuriais) nesutinkama, ir nesutikimo motyvus)</w:t>
                        </w:r>
                      </w:p>
                      <w:p>
                        <w:pPr>
                          <w:tabs>
                            <w:tab w:val="left" w:pos="1276"/>
                            <w:tab w:val="left" w:pos="5954"/>
                            <w:tab w:val="left" w:pos="8392"/>
                          </w:tabs>
                          <w:ind w:firstLine="3074"/>
                          <w:jc w:val="both"/>
                          <w:rPr>
                            <w:sz w:val="20"/>
                            <w:szCs w:val="24"/>
                          </w:rPr>
                        </w:pPr>
                      </w:p>
                      <w:p>
                        <w:pPr>
                          <w:tabs>
                            <w:tab w:val="left" w:pos="5529"/>
                            <w:tab w:val="left" w:pos="8080"/>
                          </w:tabs>
                          <w:jc w:val="both"/>
                          <w:rPr>
                            <w:b/>
                            <w:bCs/>
                            <w:sz w:val="20"/>
                            <w:szCs w:val="24"/>
                          </w:rPr>
                        </w:pPr>
                      </w:p>
                      <w:p>
                        <w:pPr>
                          <w:tabs>
                            <w:tab w:val="left" w:pos="5245"/>
                            <w:tab w:val="left" w:pos="7371"/>
                          </w:tabs>
                          <w:jc w:val="both"/>
                          <w:rPr>
                            <w:b/>
                            <w:bCs/>
                            <w:sz w:val="20"/>
                            <w:szCs w:val="24"/>
                          </w:rPr>
                        </w:pPr>
                        <w:r>
                          <w:rPr>
                            <w:b/>
                            <w:bCs/>
                            <w:sz w:val="20"/>
                            <w:szCs w:val="24"/>
                          </w:rPr>
                          <w:t>________________________________________</w:t>
                          <w:tab/>
                          <w:t>___________</w:t>
                          <w:tab/>
                          <w:t>______________</w:t>
                        </w:r>
                      </w:p>
                      <w:p>
                        <w:pPr>
                          <w:tabs>
                            <w:tab w:val="left" w:pos="5529"/>
                            <w:tab w:val="left" w:pos="7371"/>
                          </w:tabs>
                          <w:jc w:val="both"/>
                          <w:rPr>
                            <w:sz w:val="20"/>
                          </w:rPr>
                        </w:pPr>
                        <w:r>
                          <w:rPr>
                            <w:sz w:val="20"/>
                          </w:rPr>
                          <w:t xml:space="preserve">(darbuotojų atstovavimą įgyvendinančio asmens pareigos)              (parašas)</w:t>
                          <w:tab/>
                          <w:t>(vardas ir pavardė)</w:t>
                        </w:r>
                      </w:p>
                      <w:p>
                        <w:pPr>
                          <w:tabs>
                            <w:tab w:val="left" w:pos="5529"/>
                            <w:tab w:val="left" w:pos="8364"/>
                          </w:tabs>
                          <w:jc w:val="both"/>
                          <w:rPr>
                            <w:b/>
                            <w:bCs/>
                            <w:szCs w:val="24"/>
                          </w:rPr>
                        </w:pPr>
                      </w:p>
                    </w:tc>
                  </w:tr>
                </w:tbl>
                <w:p>
                  <w:pPr>
                    <w:jc w:val="both"/>
                    <w:rPr>
                      <w:b/>
                      <w:sz w:val="20"/>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76"/>
                  </w:tblGrid>
                  <w:tr>
                    <w:tc>
                      <w:tcPr>
                        <w:tcW w:w="9776" w:type="dxa"/>
                        <w:tcBorders>
                          <w:top w:val="single" w:sz="4" w:space="0" w:color="auto"/>
                          <w:left w:val="single" w:sz="4" w:space="0" w:color="auto"/>
                          <w:bottom w:val="single" w:sz="4" w:space="0" w:color="auto"/>
                          <w:right w:val="single" w:sz="4" w:space="0" w:color="auto"/>
                        </w:tcBorders>
                      </w:tcPr>
                      <w:p>
                        <w:pPr>
                          <w:tabs>
                            <w:tab w:val="left" w:pos="5529"/>
                            <w:tab w:val="left" w:pos="8364"/>
                          </w:tabs>
                          <w:jc w:val="both"/>
                          <w:rPr>
                            <w:b/>
                            <w:bCs/>
                            <w:szCs w:val="24"/>
                          </w:rPr>
                        </w:pPr>
                        <w:r>
                          <w:rPr>
                            <w:b/>
                            <w:bCs/>
                            <w:sz w:val="20"/>
                            <w:szCs w:val="24"/>
                          </w:rPr>
                          <w:t>Sutinku / nesutinku</w:t>
                        </w:r>
                        <w:r>
                          <w:rPr>
                            <w:b/>
                            <w:bCs/>
                            <w:sz w:val="20"/>
                          </w:rPr>
                          <w:t>, kad vertinimo procedūra būtų vykdoma pakartotinai:</w:t>
                        </w:r>
                      </w:p>
                      <w:p>
                        <w:pPr>
                          <w:tabs>
                            <w:tab w:val="left" w:pos="5274"/>
                            <w:tab w:val="left" w:pos="8364"/>
                          </w:tabs>
                          <w:jc w:val="both"/>
                          <w:rPr>
                            <w:sz w:val="20"/>
                            <w:szCs w:val="24"/>
                          </w:rPr>
                        </w:pPr>
                        <w:r>
                          <w:rPr>
                            <w:sz w:val="20"/>
                          </w:rPr>
                          <w:t>(kas nereikalinga, išbraukti)</w:t>
                        </w:r>
                      </w:p>
                      <w:p>
                        <w:pPr>
                          <w:tabs>
                            <w:tab w:val="left" w:pos="5529"/>
                            <w:tab w:val="left" w:pos="8364"/>
                          </w:tabs>
                          <w:jc w:val="both"/>
                          <w:rPr>
                            <w:sz w:val="20"/>
                            <w:szCs w:val="24"/>
                          </w:rPr>
                        </w:pPr>
                      </w:p>
                      <w:p>
                        <w:pPr>
                          <w:tabs>
                            <w:tab w:val="left" w:pos="5245"/>
                            <w:tab w:val="left" w:pos="7371"/>
                          </w:tabs>
                          <w:jc w:val="both"/>
                          <w:rPr>
                            <w:szCs w:val="24"/>
                          </w:rPr>
                        </w:pPr>
                        <w:r>
                          <w:rPr>
                            <w:sz w:val="20"/>
                            <w:szCs w:val="24"/>
                          </w:rPr>
                          <w:t>________________________________________</w:t>
                          <w:tab/>
                          <w:t>___________</w:t>
                          <w:tab/>
                          <w:t>______________</w:t>
                        </w:r>
                      </w:p>
                      <w:p>
                        <w:pPr>
                          <w:tabs>
                            <w:tab w:val="left" w:pos="5529"/>
                            <w:tab w:val="left" w:pos="7371"/>
                          </w:tabs>
                          <w:jc w:val="both"/>
                          <w:rPr>
                            <w:sz w:val="20"/>
                          </w:rPr>
                        </w:pPr>
                        <w:r>
                          <w:rPr>
                            <w:sz w:val="20"/>
                          </w:rPr>
                          <w:t xml:space="preserve">(darbuotojo / biudžetinės įstaigos vadovo pareigos)                          (parašas)</w:t>
                          <w:tab/>
                          <w:t>(vardas ir pavardė)</w:t>
                        </w:r>
                      </w:p>
                      <w:p>
                        <w:pPr>
                          <w:tabs>
                            <w:tab w:val="left" w:pos="5529"/>
                            <w:tab w:val="left" w:pos="8364"/>
                          </w:tabs>
                          <w:jc w:val="both"/>
                          <w:rPr>
                            <w:b/>
                            <w:bCs/>
                            <w:szCs w:val="24"/>
                          </w:rPr>
                        </w:pPr>
                      </w:p>
                    </w:tc>
                  </w:tr>
                </w:tbl>
                <w:p>
                  <w:pPr>
                    <w:jc w:val="both"/>
                    <w:rPr>
                      <w:b/>
                      <w:sz w:val="20"/>
                    </w:rPr>
                  </w:pPr>
                </w:p>
              </w:sdtContent>
            </w:sdt>
          </w:sdtContent>
        </w:sdt>
        <w:sdt>
          <w:sdtPr>
            <w:alias w:val="pabaiga"/>
            <w:tag w:val="part_eec6e14f38cf46c7bd7cbf84172636c2"/>
            <w:lock w:val="sdtLocked"/>
            <w:richText/>
          </w:sdtPr>
          <w:sdtContent>
            <w:p>
              <w:pPr>
                <w:tabs>
                  <w:tab w:val="left" w:pos="5529"/>
                  <w:tab w:val="left" w:pos="8364"/>
                </w:tabs>
                <w:jc w:val="center"/>
                <w:rPr>
                  <w:szCs w:val="24"/>
                  <w:lang w:eastAsia="lt-LT"/>
                </w:rPr>
              </w:pPr>
              <w:r>
                <w:rPr>
                  <w:szCs w:val="24"/>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78adb0b9d211eea5a28c81c82193a8">
            <w:r w:rsidRPr="00532B9F">
              <w:rPr>
                <w:rFonts w:ascii="Times New Roman" w:eastAsia="MS Mincho" w:hAnsi="Times New Roman"/>
                <w:sz w:val="20"/>
                <w:i/>
                <w:iCs/>
                <w:color w:val="0000FF" w:themeColor="hyperlink"/>
                <w:u w:val="single"/>
              </w:rPr>
              <w:t>A1-62</w:t>
            </w:r>
          </w:fldSimple>
          <w:r>
            <w:rPr>
              <w:rFonts w:ascii="Times New Roman" w:eastAsia="MS Mincho" w:hAnsi="Times New Roman"/>
              <w:sz w:val="20"/>
              <w:i/>
              <w:iCs/>
            </w:rPr>
            <w:t>,
2024-01-23,
paskelbta TAR 2024-01-23, i. k. 2024-01041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bc3cb0ec0211e99681cd81dcdca52c">
            <w:r w:rsidRPr="00532B9F">
              <w:rPr>
                <w:rFonts w:ascii="Times New Roman" w:eastAsia="MS Mincho" w:hAnsi="Times New Roman"/>
                <w:sz w:val="20"/>
                <w:iCs/>
                <w:color w:val="0000FF" w:themeColor="hyperlink"/>
                <w:u w:val="single"/>
              </w:rPr>
              <w:t>A1-607</w:t>
            </w:r>
          </w:fldSimple>
          <w:r>
            <w:rPr>
              <w:rFonts w:ascii="Times New Roman" w:eastAsia="MS Mincho" w:hAnsi="Times New Roman"/>
              <w:sz w:val="20"/>
              <w:iCs/>
            </w:rPr>
            <w:t>,
2019-10-11,
paskelbta TAR 2019-10-11, i. k. 2019-16227                </w:t>
          </w:r>
        </w:p>
        <w:p>
          <w:pPr>
            <w:jc w:val="both"/>
            <w:rPr>
              <w:rFonts w:ascii="Times New Roman" w:hAnsi="Times New Roman"/>
            </w:rPr>
          </w:pPr>
          <w:r>
            <w:rPr>
              <w:rFonts w:ascii="Times New Roman" w:hAnsi="Times New Roman"/>
              <w:sz w:val="20"/>
            </w:rPr>
            <w:t>Dėl Lietuvos Respublikos socialinės apsaugos ir darbo ministro 2017 m. kovo 29 d. įsakymo Nr. A1-158 „Dėl Socialinių paslaugų srities darbuotojų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feb06032b711eabe008ea93139d588">
            <w:r w:rsidRPr="00532B9F">
              <w:rPr>
                <w:rFonts w:ascii="Times New Roman" w:eastAsia="MS Mincho" w:hAnsi="Times New Roman"/>
                <w:sz w:val="20"/>
                <w:iCs/>
                <w:color w:val="0000FF" w:themeColor="hyperlink"/>
                <w:u w:val="single"/>
              </w:rPr>
              <w:t>A1-31</w:t>
            </w:r>
          </w:fldSimple>
          <w:r>
            <w:rPr>
              <w:rFonts w:ascii="Times New Roman" w:eastAsia="MS Mincho" w:hAnsi="Times New Roman"/>
              <w:sz w:val="20"/>
              <w:iCs/>
            </w:rPr>
            <w:t>,
2020-01-09,
paskelbta TAR 2020-01-09, i. k. 2020-00274                </w:t>
          </w:r>
        </w:p>
        <w:p>
          <w:pPr>
            <w:jc w:val="both"/>
            <w:rPr>
              <w:rFonts w:ascii="Times New Roman" w:hAnsi="Times New Roman"/>
            </w:rPr>
          </w:pPr>
          <w:r>
            <w:rPr>
              <w:rFonts w:ascii="Times New Roman" w:hAnsi="Times New Roman"/>
              <w:sz w:val="20"/>
            </w:rPr>
            <w:t>Dėl Lietuvos Respublikos socialinės apsaugos ir darbo ministro 2017 m. kovo 29 d. įsakymo Nr. A1-158 „Dėl Socialinių paslaugų srities darbuotojų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8f09e0387311ea829bc2bea81c1194">
            <w:r w:rsidRPr="00532B9F">
              <w:rPr>
                <w:rFonts w:ascii="Times New Roman" w:eastAsia="MS Mincho" w:hAnsi="Times New Roman"/>
                <w:sz w:val="20"/>
                <w:iCs/>
                <w:color w:val="0000FF" w:themeColor="hyperlink"/>
                <w:u w:val="single"/>
              </w:rPr>
              <w:t>A1-41</w:t>
            </w:r>
          </w:fldSimple>
          <w:r>
            <w:rPr>
              <w:rFonts w:ascii="Times New Roman" w:eastAsia="MS Mincho" w:hAnsi="Times New Roman"/>
              <w:sz w:val="20"/>
              <w:iCs/>
            </w:rPr>
            <w:t>,
2020-01-16,
paskelbta TAR 2020-01-17, i. k. 2020-00707                </w:t>
          </w:r>
        </w:p>
        <w:p>
          <w:pPr>
            <w:jc w:val="both"/>
            <w:rPr>
              <w:rFonts w:ascii="Times New Roman" w:hAnsi="Times New Roman"/>
            </w:rPr>
          </w:pPr>
          <w:r>
            <w:rPr>
              <w:rFonts w:ascii="Times New Roman" w:hAnsi="Times New Roman"/>
              <w:sz w:val="20"/>
            </w:rPr>
            <w:t>Dėl Lietuvos Respublikos socialinės apsaugos ir darbo ministro 2017 m. kovo 29 d. įsakymo Nr. A1-158 „Dėl Socialinių paslaugų srities darbuotojų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798ef0d73e11ec8d9390588bf2de65">
            <w:r w:rsidRPr="00532B9F">
              <w:rPr>
                <w:rFonts w:ascii="Times New Roman" w:eastAsia="MS Mincho" w:hAnsi="Times New Roman"/>
                <w:sz w:val="20"/>
                <w:iCs/>
                <w:color w:val="0000FF" w:themeColor="hyperlink"/>
                <w:u w:val="single"/>
              </w:rPr>
              <w:t>A1-358</w:t>
            </w:r>
          </w:fldSimple>
          <w:r>
            <w:rPr>
              <w:rFonts w:ascii="Times New Roman" w:eastAsia="MS Mincho" w:hAnsi="Times New Roman"/>
              <w:sz w:val="20"/>
              <w:iCs/>
            </w:rPr>
            <w:t>,
2022-05-19,
paskelbta TAR 2022-05-19, i. k. 2022-10548                </w:t>
          </w:r>
        </w:p>
        <w:p>
          <w:pPr>
            <w:jc w:val="both"/>
            <w:rPr>
              <w:rFonts w:ascii="Times New Roman" w:hAnsi="Times New Roman"/>
            </w:rPr>
          </w:pPr>
          <w:r>
            <w:rPr>
              <w:rFonts w:ascii="Times New Roman" w:hAnsi="Times New Roman"/>
              <w:sz w:val="20"/>
            </w:rPr>
            <w:t>Dėl Lietuvos Respublikos socialinės apsaugos ir darbo ministro 2017 m. kovo 29 d. įsakymo Nr. A1-158 „Dėl Socialinių paslaugų srities darbuotojų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78adb0b9d211eea5a28c81c82193a8">
            <w:r w:rsidRPr="00532B9F">
              <w:rPr>
                <w:rFonts w:ascii="Times New Roman" w:eastAsia="MS Mincho" w:hAnsi="Times New Roman"/>
                <w:sz w:val="20"/>
                <w:iCs/>
                <w:color w:val="0000FF" w:themeColor="hyperlink"/>
                <w:u w:val="single"/>
              </w:rPr>
              <w:t>A1-62</w:t>
            </w:r>
          </w:fldSimple>
          <w:r>
            <w:rPr>
              <w:rFonts w:ascii="Times New Roman" w:eastAsia="MS Mincho" w:hAnsi="Times New Roman"/>
              <w:sz w:val="20"/>
              <w:iCs/>
            </w:rPr>
            <w:t>,
2024-01-23,
paskelbta TAR 2024-01-23, i. k. 2024-01041                </w:t>
          </w:r>
        </w:p>
        <w:p>
          <w:pPr>
            <w:jc w:val="both"/>
            <w:rPr>
              <w:rFonts w:ascii="Times New Roman" w:hAnsi="Times New Roman"/>
            </w:rPr>
          </w:pPr>
          <w:r>
            <w:rPr>
              <w:rFonts w:ascii="Times New Roman" w:hAnsi="Times New Roman"/>
              <w:sz w:val="20"/>
            </w:rPr>
            <w:t>Dėl Lietuvos Respublikos socialinės apsaugos ir darbo ministro 2017 m. kovo 29 d. įsakymo Nr. A1-158 „Dėl Socialinių paslaugų srities darbuotojų veiklos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separate"/>
    </w:r>
    <w:r>
      <w:rPr>
        <w:rFonts w:ascii="TimesLT" w:hAnsi="TimesLT"/>
        <w:sz w:val="20"/>
        <w:lang w:val="en-GB"/>
      </w:rPr>
      <w:t>1</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47BFB5"/>
  <w15:docId w15:val="{5354ADE2-BB68-490E-9E5E-899073662EB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71893595">
      <w:bodyDiv w:val="1"/>
      <w:marLeft w:val="0"/>
      <w:marRight w:val="0"/>
      <w:marTop w:val="0"/>
      <w:marBottom w:val="0"/>
      <w:divBdr>
        <w:top w:val="none" w:sz="0" w:space="0" w:color="auto"/>
        <w:left w:val="none" w:sz="0" w:space="0" w:color="auto"/>
        <w:bottom w:val="none" w:sz="0" w:space="0" w:color="auto"/>
        <w:right w:val="none" w:sz="0" w:space="0" w:color="auto"/>
      </w:divBdr>
    </w:div>
    <w:div w:id="1537499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png"/>
  <Relationship Id="rId16" Type="http://schemas.openxmlformats.org/officeDocument/2006/relationships/header" Target="header22.xml"/>
  <Relationship Id="rId17" Type="http://schemas.openxmlformats.org/officeDocument/2006/relationships/header" Target="header23.xml"/>
  <Relationship Id="rId18" Type="http://schemas.openxmlformats.org/officeDocument/2006/relationships/footer" Target="footer22.xml"/>
  <Relationship Id="rId19" Type="http://schemas.openxmlformats.org/officeDocument/2006/relationships/footer" Target="footer23.xml"/>
  <Relationship Id="rId2" Type="http://schemas.openxmlformats.org/officeDocument/2006/relationships/endnotes" Target="endnotes.xml"/>
  <Relationship Id="rId20" Type="http://schemas.openxmlformats.org/officeDocument/2006/relationships/header" Target="header24.xml"/>
  <Relationship Id="rId21" Type="http://schemas.openxmlformats.org/officeDocument/2006/relationships/footer" Target="footer24.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11b4539a6e84740962c03a72aaa240a" PartId="9f364810f1b14418b37c482c90c17830">
    <Part Type="preambule" DocPartId="c064573b8cf148e48ebacc3bbb6d5d17" PartId="9f6520b130eb4fefa06c75f1c1ef81ba"/>
    <Part Type="pastraipa" DocPartId="c8889808060e418087c460060fe0f582" PartId="21bdfa43b58e40ea9c9b3d64dff7f1bb"/>
    <Part Type="preambule" DocPartId="31076d2cfee0470b9eb0494f3bfe31de" PartId="c37cff1594594c66a86c76abcf653eb0"/>
  </Part>
  <Part Type="patvirtinta" Title="SOCIALINIŲ PASLAUGŲ SRITIES DARBUOTOJŲ VEIKLOS VERTINIMO TVARKOS APRAŠAS" DocPartId="3c3dfe13703642308d649aa34e73bbaa" PartId="d024d7da3833417284c4c27aa0b9b3e0">
    <Part Type="skyrius" Nr="1" Title="BENDROSIOS NUOSTATOS" DocPartId="ee7deec8a66d4ce2a5c27c1f9c688bd0" PartId="460b0013daaf4dc9bfa91a22812fe201">
      <Part Type="punktas" Nr="1" Abbr="1 p." DocPartId="3173ba3d7f4a42d3809905c2111257d9" PartId="ae39d84c1234450ea3d25aaaab127fa8"/>
      <Part Type="punktas" Nr="2" Abbr="2 p." DocPartId="f3251ff14643411d936bc380b707ba47" PartId="ccc88e2c3c7d4fa19eb440b9b747f019"/>
      <Part Type="punktas" Nr="3" Abbr="3 p." DocPartId="f5bbb6bb83e54a2490ef32f6866f2e82" PartId="9b90e55cff5b4bc2a29a167081b4c903"/>
    </Part>
    <Part Type="skyrius" Nr="2" Title="SOCIALINIŲ PASLAUGŲ SRITIES DARBUOTOJŲ VEIKLOS VERTINIMO PROCEDŪRA" DocPartId="8b46401293af453e96d2007ae4b3deb3" PartId="7ff42bd86b974b73ae2350dd7e59a0aa">
      <Part Type="punktas" Nr="4" Abbr="4 p." DocPartId="c96284bca2cd48bc8ec3365b51f1be8b" PartId="19805d5b42c94f0b851aa04e85edc248"/>
      <Part Type="punktas" Nr="5" Abbr="5 p." DocPartId="24cd69b088f4442ab47f52b8b6c1fdd1" PartId="dc6c47c703564cc590d303fb84ca904e">
        <Part Type="papunktis" Nr="5.1" Abbr="5.1 pp." DocPartId="7e8a1e17c52848f2b8464e3be1a539be" PartId="1d2d62deae2240639af183c531c53256"/>
        <Part Type="papunktis" Nr="5.2" Abbr="5.2 pp." DocPartId="ef7a7224d285446f9bd93c3b3bc452cf" PartId="a68333cc33314378af1f64017fa34165"/>
        <Part Type="papunktis" Nr="5.3" Abbr="5.3 pp." DocPartId="cb1282d86f53434e979b0f31cb4cd03c" PartId="997682efcf054229b1b436266364824e"/>
      </Part>
      <Part Type="punktas" Nr="6" Abbr="6 p." DocPartId="b4328083dcfc42cc915e88d811a79f14" PartId="a5b92d27e432486f9b85205a5d169508"/>
      <Part Type="punktas" Nr="7" Abbr="7 p." DocPartId="c9f127060a10489f815d2f5c85420aba" PartId="7005dc33f5a14427b669cc5ab4a7005e"/>
      <Part Type="punktas" Nr="8" Abbr="8 p." DocPartId="cce71c556243405492ec6b19324cccf9" PartId="086ab6398ffa4e39937797e19dd48d07"/>
      <Part Type="punktas" Nr="9" Abbr="9 p." DocPartId="584b9094f39241bdbbe719c7004d0426" PartId="a2cec3f51429475a89d9c8f926dea30f"/>
      <Part Type="punktas" Nr="10" Abbr="10 p." DocPartId="5023b4dcca594c279b98a755700523fd" PartId="b49dfa04731f44b2ad49ade8595061fd">
        <Part Type="papunktis" Nr="10.1" Abbr="10.1 pp." DocPartId="7ef5dd4d090c486a92096b159658b493" PartId="f42130b8b63e48b084c2aef3244121b4"/>
        <Part Type="papunktis" Nr="10.2" Abbr="10.2 pp." DocPartId="69346912847c4765a22fb134a33948cf" PartId="539c71d7aa9e4101bd827d346e7828de"/>
        <Part Type="papunktis" Nr="10.3" Abbr="10.3 pp." DocPartId="10a7b19c88a1439c9256280ecda815fe" PartId="f5c898a349c24142b9d243bab0949043"/>
        <Part Type="papunktis" Nr="10.4" Abbr="10.4 pp." DocPartId="ef1c68c623c740f88f13085b94bbb0e4" PartId="461c75b2f4324028825ca30f7a9847bd"/>
      </Part>
      <Part Type="punktas" Nr="11" Abbr="11 p." DocPartId="607c7bda2a6641c2a97e6357fa44a390" PartId="1f2242951c9c456faa5929f0d96a88be"/>
      <Part Type="punktas" Nr="12" Abbr="12 p." DocPartId="de426b67434c4208b4a12b900acbbcb0" PartId="b0b23d599739411aac96ac1501910b27"/>
      <Part Type="punktas" Nr="13" Abbr="13 p." DocPartId="1a7c1811b05e40b98ffb6e28d893acc2" PartId="011e99267db84cccb4f68c9ea9d32e94"/>
      <Part Type="punktas" Nr="14" Abbr="14 p." DocPartId="223d35572eea4483b0f7b756162dd7b7" PartId="445472768a104ea1b799f923c01928bd"/>
      <Part Type="punktas" Nr="15" Abbr="15 p." DocPartId="87602b1da1794b61a18fb137dca828ee" PartId="f72915daca024d288bcaf94ccf829d4b"/>
      <Part Type="punktas" Nr="16" Abbr="16 p." DocPartId="a3b862c5445846a6b6a6eb8b08755f33" PartId="e94def79c9ba4a8b832f4f6c46bb5679"/>
      <Part Type="punktas" Nr="17" Abbr="17 p." DocPartId="00f390808ba1448eb16734e8c60a4a48" PartId="f84deae5efe64a1facc777eabc10d285"/>
      <Part Type="punktas" Nr="18" Abbr="18 p." DocPartId="3628d729a693438b8b3ff96ad9ca4238" PartId="ecd7d2f9fffd46aa9eafc0da94d12a48"/>
      <Part Type="punktas" Nr="19" Abbr="19 p." DocPartId="8f68777832b84af2ad4c334f1f7930c2" PartId="186da6cb4c49404ebba8ec79c5d44509"/>
      <Part Type="punktas" Nr="20" Abbr="20 p." DocPartId="934c28db50854d06a4f817267d0a22a4" PartId="2ad62a77a9fa417b8d4f4cbc766374e9"/>
      <Part Type="punktas" Nr="21" Abbr="21 p." DocPartId="5ab471155f5e4f8aa4ff7eddb209ee6d" PartId="4b56f22b88f24701a25b569cd561423c">
        <Part Type="papunktis" Nr="21.1" Abbr="21.1 pp." DocPartId="b731bf2f3ee74b97af779f9df9fcf614" PartId="e8285db084db4f1584e0325e9d62a5ba"/>
        <Part Type="papunktis" Nr="21.2" Abbr="21.2 pp." DocPartId="4efa145c56114c9fba8edba4bcc29819" PartId="b97121ef29954f549ccf7c7057a69583"/>
      </Part>
      <Part Type="punktas" Nr="22" Abbr="22 p." DocPartId="fa73eacdd4f646c78761993aa8db8e02" PartId="81a730dec9754a9c86c155099bb88bc7"/>
      <Part Type="punktas" Nr="23" Abbr="23 p." DocPartId="fe519a04d7e6498eb209d042e90f5db2" PartId="a6e3ed8909eb4b82b07dff26664928e4"/>
      <Part Type="punktas" Nr="24" Abbr="24 p." DocPartId="1ff1b81b7157489ca8f1ffc3c7539a8b" PartId="23d21db1643745eabd82465e84fbe7e4"/>
      <Part Type="punktas" Nr="25" Abbr="25 p." DocPartId="e5858cc72b634a6ead90f7671411c755" PartId="a853068ace2841ec92b35f52b87ecd0d"/>
      <Part Type="punktas" Nr="26" Abbr="26 p." DocPartId="54f48b20722b4caaa8ca44589f378a62" PartId="481a69d185cc4f809d10263dc66cfbdb"/>
      <Part Type="punktas" Nr="27" Abbr="27 p." DocPartId="f2aee1a818fa476b936b566e6133de11" PartId="5f5d980fc9964059a8704aaeac770785"/>
      <Part Type="punktas" Nr="28" Abbr="28 p." DocPartId="76572ed33728492b9512d514b33e3135" PartId="b892a5a8d98046b5879f8b207603294f"/>
    </Part>
    <Part Type="skyrius" Nr="3" Title="BAIGIAMOSIOS NUOSTATOS" DocPartId="5bdf6d3f9f5a41ae82f40858bb969679" PartId="cd3516d803654e83bc81af66649c3082">
      <Part Type="punktas" Nr="29" Abbr="29 p." DocPartId="f4de3dcb0cef4bd8b9d98f55409a0060" PartId="08dc7c28f5574483832fcf3ee69f5e8a"/>
      <Part Type="punktas" Nr="30" Abbr="30 p." DocPartId="fa07e0c068624c73977c23100446c2a4" PartId="ccb25c5a79694669a7935255396fa360"/>
      <Part Type="punktas" Nr="31" Abbr="31 p." DocPartId="5fa4555b68374d539c77a628951ad2be" PartId="46c81c03f9a64066b89e2422513fd058"/>
    </Part>
    <Part Type="pabaiga" DocPartId="03094ea266bb485a932619560cf7d01f" PartId="53c55c052b554055b773ccf95256fd3f"/>
  </Part>
  <Part Type="priedas" Abbr="pr." Title="(Socialinių paslaugų srities darbuotojų veiklos vertinimo forma)" DocPartId="f4440e103ff1444897177c118969d588" PartId="bd210e6fcdc54d348736964190bdd5ed">
    <Part Type="skyrius" Nr="1" Title="PASIEKTI IR PLANUOJAMI PASIEKTI REZULTATAI" DocPartId="d0c2d914bdd143f2a90c821ee142b291" PartId="cdc36618285a4544882e2c39287aaa54">
      <Part Type="punktas" Nr="1" Abbr="pr. 1 p." DocPartId="840d7006d70a4e85963438ce1e3bb7e4" PartId="483f3ca3a3b64e64a335094a37533d6b"/>
      <Part Type="punktas" Nr="2" Abbr="pr. 2 p." DocPartId="47c491883702414392d8540af9af334c" PartId="ebb3579100714afcb6784be50bb315a7"/>
      <Part Type="punktas" Nr="3" Abbr="pr. 3 p." DocPartId="c932976ce19145d6b8cd9e402f40452b" PartId="20e98ed8ebbb4cdf8822d44a516683b8">
        <Part Type="papunktis" Nr="3.1" Abbr="pr. 3.1 pp." DocPartId="1354a2b04d544abe92e899ec47704011" PartId="a1868e1f3dfa4d66aaf8e00cf0e4b670"/>
        <Part Type="papunktis" Nr="3.2" Abbr="pr. 3.2 pp." DocPartId="db9fc805474247b986925194eb6aad08" PartId="1386a82c915b42a08f1fe4589716492a"/>
        <Part Type="papunktis" Nr="3.3" Abbr="pr. 3.3 pp." DocPartId="3050d1acaa7c440390c053e3d4781df0" PartId="508ad71eb361442b875e9632b8606779"/>
      </Part>
    </Part>
    <Part Type="skyrius" Nr="2" Title="IŠPILDYTŲ VEIKLOS LŪKESČIŲ, VYKDANT METINES UŽDUOTIS, GEBĖJIMŲ VYKDYTI FUNKCIJAS VERTINIMAS IR PASIŪLYMAI, KAIP TOBULINTI PROFESINĘ KOMPETENCIJĄ" DocPartId="5b3bc6bfc9c0439db65e9f1ba46eb694" PartId="a92fb84a5950474a9e356ced07cb734d">
      <Part Type="punktas" Nr="4" Abbr="pr. 4 p." DocPartId="f7efaba746d64752bc8be6db9b470119" PartId="ad8bdd30a6a644378df0062faea60528"/>
      <Part Type="punktas" Nr="5" Abbr="pr. 5 p." DocPartId="b830489a577e4ffdbb7e471115a2fdee" PartId="d696a0118a894a4e9f72d047a4bb21d7"/>
      <Part Type="punktas" Nr="6" Abbr="pr. 6 p." DocPartId="14d91a0c660f46e1863de94a9c92c74b" PartId="be2dcae4a6594b849802d68b70345ddf">
        <Part Type="papunktis" Nr="6.1" Abbr="pr. 6.1 pp." DocPartId="c39a14da69474241ac56c10a817a868e" PartId="04c3eeef18034d799bf9f89867a542ad"/>
        <Part Type="papunktis" Nr="6.2" Abbr="pr. 6.2 pp." DocPartId="034ad747ad824cecbe5bb433a31e03ae" PartId="7e1a96140d9f45f7b5e04a01a7637c5a"/>
      </Part>
    </Part>
    <Part Type="skyrius" Nr="3" Title="BENDRAS VEIKLOS LŪKESČIŲ VERTINIMAS, VERTINIMO PAGRINDIMAS IR PASIŪLYMAI" DocPartId="f7fe97e54614456197f95a84bba94705" PartId="f953b7a34ae04a51a2a5ddf22111a442">
      <Part Type="punktas" Nr="7" Abbr="pr. 7 p." DocPartId="66a82984e0c04956a6b5d7c8ad2e4fe8" PartId="58b71478010b4facb4c896b09f3a828e"/>
      <Part Type="punktas" Nr="8" Abbr="pr. 8 p." DocPartId="955cdc0ff6284c4b999ce4f0e4808b1f" PartId="0aa9e0309f6e40b48948869c1ca7739d"/>
    </Part>
    <Part Type="pabaiga" DocPartId="745ef566c11545f8b54d069a96f1d1b7" PartId="eec6e14f38cf46c7bd7cbf84172636c2"/>
  </Part>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9BD320B0-94AC-498E-B3C0-4EFABFAB3645}">
  <ds:schemaRefs>
    <ds:schemaRef ds:uri="http://lrs.lt/TAIS/DocParts"/>
  </ds:schemaRefs>
</ds:datastoreItem>
</file>

<file path=customXml/itemProps3.xml><?xml version="1.0" encoding="utf-8"?>
<ds:datastoreItem xmlns:ds="http://schemas.openxmlformats.org/officeDocument/2006/customXml" ds:itemID="{3B4E838D-85DB-4D72-AB46-8A0F76ED08F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18</Pages>
  <Words>27084</Words>
  <Characters>15438</Characters>
  <Application>Microsoft Office Word</Application>
  <DocSecurity>0</DocSecurity>
  <Lines>128</Lines>
  <Paragraphs>84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42438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2017-04-07T08:05:00Z</dcterms:created>
  <dc:creator>LR SADM</dc:creator>
  <lastModifiedBy>TAMALIŪNIENĖ Vilija</lastModifiedBy>
  <lastPrinted>2017-02-28T09:23:00Z</lastPrinted>
  <dcterms:modified xsi:type="dcterms:W3CDTF">2024-01-24T12:19:00Z</dcterms:modified>
  <revision>17</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-594162149</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Socialinių paslaugų srities darbuotojų vertinimo aprašas</vt:lpwstr>
  </property>
  <property fmtid="{D5CDD505-2E9C-101B-9397-08002B2CF9AE}" pid="5" name="_AuthorEmail">
    <vt:lpwstr xmlns:vt="http://schemas.openxmlformats.org/officeDocument/2006/docPropsVTypes">Justina.Puodziute@socmin.lt</vt:lpwstr>
  </property>
  <property fmtid="{D5CDD505-2E9C-101B-9397-08002B2CF9AE}" pid="6" name="_AuthorEmailDisplayName">
    <vt:lpwstr xmlns:vt="http://schemas.openxmlformats.org/officeDocument/2006/docPropsVTypes">Justina Puodžiūtė</vt:lpwstr>
  </property>
  <property fmtid="{D5CDD505-2E9C-101B-9397-08002B2CF9AE}" pid="7" name="_PreviousAdHocReviewCycleID">
    <vt:i4 xmlns:vt="http://schemas.openxmlformats.org/officeDocument/2006/docPropsVTypes">1282773280</vt:i4>
  </property>
  <property fmtid="{D5CDD505-2E9C-101B-9397-08002B2CF9AE}" pid="8" name="_ReviewingToolsShownOnce">
    <vt:lpwstr xmlns:vt="http://schemas.openxmlformats.org/officeDocument/2006/docPropsVTypes"/>
  </property>
</Properties>
</file>