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2026-02-11 iki 2026-03-25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af32ecd56607420587cc30eebba5c630"/>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af32ecd56607420587cc30eebba5c63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739600462cd94bffb817c172cef75286"/>
            <w:lock w:val="sdtLocked"/>
            <w:richText/>
          </w:sdtPr>
          <w:sdtContent>
            <w:p>
              <w:pPr>
                <w:jc w:val="center"/>
                <w:rPr>
                  <w:b/>
                  <w:bCs/>
                  <w:color w:val="000000"/>
                  <w:sz w:val="22"/>
                  <w:szCs w:val="22"/>
                  <w:lang w:eastAsia="lt-LT"/>
                </w:rPr>
              </w:pPr>
              <w:sdt>
                <w:sdtPr>
                  <w:alias w:val="Numeris"/>
                  <w:tag w:val="nr_739600462cd94bffb817c172cef75286"/>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739600462cd94bffb817c172cef75286"/>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7"/>
                <w:gridCol w:w="1006"/>
                <w:gridCol w:w="906"/>
                <w:gridCol w:w="887"/>
                <w:gridCol w:w="902"/>
                <w:gridCol w:w="2257"/>
              </w:tblGrid>
              <w:tr>
                <w:trPr>
                  <w:trHeight w:val="348"/>
                </w:trPr>
                <w:tc>
                  <w:tcPr>
                    <w:tcW w:w="600"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03"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52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71"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30"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73"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0" w:type="pct"/>
                    <w:vMerge/>
                    <w:shd w:val="clear" w:color="auto" w:fill="DEEAF6"/>
                    <w:vAlign w:val="center"/>
                    <w:hideMark/>
                  </w:tcPr>
                  <w:p>
                    <w:pPr>
                      <w:rPr>
                        <w:szCs w:val="24"/>
                      </w:rPr>
                    </w:pPr>
                  </w:p>
                </w:tc>
                <w:tc>
                  <w:tcPr>
                    <w:tcW w:w="1303" w:type="pct"/>
                    <w:vMerge/>
                    <w:shd w:val="clear" w:color="auto" w:fill="DEEAF6"/>
                    <w:vAlign w:val="center"/>
                    <w:hideMark/>
                  </w:tcPr>
                  <w:p>
                    <w:pPr>
                      <w:rPr>
                        <w:szCs w:val="24"/>
                      </w:rPr>
                    </w:pPr>
                  </w:p>
                </w:tc>
                <w:tc>
                  <w:tcPr>
                    <w:tcW w:w="523" w:type="pct"/>
                    <w:vMerge/>
                    <w:shd w:val="clear" w:color="auto" w:fill="DEEAF6"/>
                    <w:vAlign w:val="center"/>
                    <w:hideMark/>
                  </w:tcPr>
                  <w:p>
                    <w:pPr>
                      <w:rPr>
                        <w:szCs w:val="24"/>
                      </w:rPr>
                    </w:pPr>
                  </w:p>
                </w:tc>
                <w:tc>
                  <w:tcPr>
                    <w:tcW w:w="471" w:type="pct"/>
                    <w:vMerge/>
                    <w:shd w:val="clear" w:color="auto" w:fill="DEEAF6"/>
                    <w:vAlign w:val="center"/>
                    <w:hideMark/>
                  </w:tcPr>
                  <w:p>
                    <w:pPr>
                      <w:rPr>
                        <w:szCs w:val="24"/>
                      </w:rPr>
                    </w:pPr>
                  </w:p>
                </w:tc>
                <w:tc>
                  <w:tcPr>
                    <w:tcW w:w="461"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69"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73" w:type="pct"/>
                    <w:vMerge/>
                    <w:shd w:val="clear" w:color="auto" w:fill="DEEAF6"/>
                    <w:vAlign w:val="center"/>
                    <w:hideMark/>
                  </w:tcPr>
                  <w:p>
                    <w:pPr>
                      <w:rPr>
                        <w:szCs w:val="24"/>
                      </w:rPr>
                    </w:pPr>
                  </w:p>
                </w:tc>
              </w:tr>
              <w:tr>
                <w:trPr>
                  <w:trHeight w:val="193"/>
                </w:trPr>
                <w:tc>
                  <w:tcPr>
                    <w:tcW w:w="60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0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52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71"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1"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69"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7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0"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03"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1" w:type="pct"/>
                    <w:shd w:val="clear" w:color="auto" w:fill="FFFFFF"/>
                    <w:tcMar>
                      <w:top w:w="0" w:type="dxa"/>
                      <w:left w:w="108" w:type="dxa"/>
                      <w:bottom w:w="0" w:type="dxa"/>
                      <w:right w:w="108" w:type="dxa"/>
                    </w:tcMar>
                    <w:hideMark/>
                  </w:tcPr>
                  <w:p>
                    <w:pPr>
                      <w:spacing w:line="276" w:lineRule="atLeast"/>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0"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03"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1"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69"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03"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kuriems buvo skirta parama, kad jie galėtų mokytis pagal pirminio profesinio mokymo programos modulius, skaičiaus padidėjimas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1"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69"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03"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22 860 (2029)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03"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03"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03"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52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71"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1" w:type="pct"/>
                    <w:shd w:val="clear" w:color="auto" w:fill="FFFFFF"/>
                    <w:tcMar>
                      <w:top w:w="0" w:type="dxa"/>
                      <w:left w:w="108" w:type="dxa"/>
                      <w:bottom w:w="0" w:type="dxa"/>
                      <w:right w:w="108" w:type="dxa"/>
                    </w:tcMar>
                  </w:tcPr>
                  <w:p>
                    <w:pPr>
                      <w:jc w:val="center"/>
                      <w:rPr>
                        <w:sz w:val="20"/>
                      </w:rPr>
                    </w:pPr>
                    <w:r>
                      <w:rPr>
                        <w:sz w:val="20"/>
                      </w:rPr>
                      <w:t>0</w:t>
                    </w:r>
                  </w:p>
                </w:tc>
                <w:tc>
                  <w:tcPr>
                    <w:tcW w:w="469" w:type="pct"/>
                    <w:shd w:val="clear" w:color="auto" w:fill="FFFFFF"/>
                    <w:tcMar>
                      <w:top w:w="0" w:type="dxa"/>
                      <w:left w:w="108" w:type="dxa"/>
                      <w:bottom w:w="0" w:type="dxa"/>
                      <w:right w:w="108" w:type="dxa"/>
                    </w:tcMar>
                  </w:tcPr>
                  <w:p>
                    <w:pPr>
                      <w:jc w:val="center"/>
                      <w:rPr>
                        <w:sz w:val="20"/>
                      </w:rPr>
                    </w:pPr>
                    <w:r>
                      <w:rPr>
                        <w:sz w:val="20"/>
                      </w:rPr>
                      <w:t>10 (2028)</w:t>
                    </w:r>
                  </w:p>
                </w:tc>
                <w:tc>
                  <w:tcPr>
                    <w:tcW w:w="1173"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tabs>
                  <w:tab w:val="left" w:pos="1560"/>
                  <w:tab w:val="left" w:pos="7068"/>
                </w:tabs>
                <w:ind w:firstLine="851"/>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sdtContent>
        </w:sdt>
        <w:sdt>
          <w:sdtPr>
            <w:alias w:val="skyrius"/>
            <w:tag w:val="part_d33513dc0a934e98abb6fd0637814bdc"/>
            <w:lock w:val="sdtLocked"/>
            <w:richText/>
          </w:sdtPr>
          <w:sdtContent>
            <w:p>
              <w:pPr>
                <w:jc w:val="center"/>
                <w:rPr>
                  <w:color w:val="000000"/>
                  <w:sz w:val="27"/>
                  <w:szCs w:val="27"/>
                  <w:lang w:eastAsia="lt-LT"/>
                </w:rPr>
              </w:pPr>
              <w:sdt>
                <w:sdtPr>
                  <w:alias w:val="Numeris"/>
                  <w:tag w:val="nr_d33513dc0a934e98abb6fd0637814bdc"/>
                  <w:lock w:val="sdtLocked"/>
                  <w:richText/>
                </w:sdtPr>
                <w:sdtContent>
                  <w:r>
                    <w:rPr>
                      <w:b/>
                      <w:bCs/>
                      <w:color w:val="000000"/>
                      <w:sz w:val="22"/>
                      <w:szCs w:val="22"/>
                      <w:lang w:eastAsia="lt-LT"/>
                    </w:rPr>
                    <w:t>II</w:t>
                  </w:r>
                </w:sdtContent>
              </w:sdt>
              <w:r>
                <w:rPr>
                  <w:b/>
                  <w:bCs/>
                  <w:color w:val="000000"/>
                  <w:sz w:val="22"/>
                  <w:szCs w:val="22"/>
                  <w:lang w:eastAsia="lt-LT"/>
                </w:rPr>
                <w:t> SKYRIUS</w:t>
              </w:r>
            </w:p>
            <w:p>
              <w:pPr>
                <w:jc w:val="center"/>
                <w:rPr>
                  <w:szCs w:val="24"/>
                </w:rPr>
              </w:pPr>
              <w:sdt>
                <w:sdtPr>
                  <w:alias w:val="Pavadinimas"/>
                  <w:tag w:val="title_d33513dc0a934e98abb6fd0637814bdc"/>
                  <w:lock w:val="sdtLocked"/>
                  <w:richText/>
                </w:sdtPr>
                <w:sdtContent>
                  <w:r>
                    <w:rPr>
                      <w:b/>
                      <w:bCs/>
                      <w:color w:val="000000"/>
                      <w:sz w:val="22"/>
                      <w:szCs w:val="22"/>
                      <w:lang w:eastAsia="lt-LT"/>
                    </w:rPr>
                    <w:t>PLĖTROS PROGRAMOS PAŽANGOS PRIEMONĖS FINANSAVIMO PLANAS</w:t>
                  </w:r>
                </w:sdtContent>
              </w:sdt>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38 603 911 </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sdtContent>
        </w:sdt>
        <w:sdt>
          <w:sdtPr>
            <w:alias w:val="skyrius"/>
            <w:tag w:val="part_00eff59b3eea4330ade653ad9f9b10d9"/>
            <w:lock w:val="sdtLocked"/>
            <w:richText/>
          </w:sdtPr>
          <w:sdtContent>
            <w:p>
              <w:pPr>
                <w:jc w:val="center"/>
              </w:pPr>
              <w:sdt>
                <w:sdtPr>
                  <w:alias w:val="Numeris"/>
                  <w:tag w:val="nr_00eff59b3eea4330ade653ad9f9b10d9"/>
                  <w:lock w:val="sdtLocked"/>
                  <w:richText/>
                </w:sdtPr>
                <w:sdtContent>
                  <w:r>
                    <w:t>III</w:t>
                  </w:r>
                </w:sdtContent>
              </w:sdt>
              <w:r>
                <w:t xml:space="preserve"> SKYRIUS</w:t>
              </w:r>
            </w:p>
            <w:p>
              <w:pPr>
                <w:jc w:val="center"/>
                <w:rPr>
                  <w:b/>
                  <w:bCs/>
                </w:rPr>
              </w:pPr>
              <w:r>
                <w:t>PLĖTROS PROGRAMOS PAŽANGOS PRIEMONĖS VEIKLŲ SUVESTINĖ</w:t>
              </w:r>
            </w:p>
            <w:tbl>
              <w:tblPr>
                <w:tblW w:w="53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606"/>
                <w:gridCol w:w="658"/>
                <w:gridCol w:w="753"/>
                <w:gridCol w:w="819"/>
                <w:gridCol w:w="571"/>
                <w:gridCol w:w="993"/>
                <w:gridCol w:w="747"/>
                <w:gridCol w:w="664"/>
                <w:gridCol w:w="1417"/>
                <w:gridCol w:w="850"/>
                <w:gridCol w:w="707"/>
                <w:gridCol w:w="567"/>
              </w:tblGrid>
              <w:tr>
                <w:trPr>
                  <w:trHeight w:val="886"/>
                  <w:jc w:val="center"/>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jc w:val="center"/>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2078"/>
                  <w:jc w:val="center"/>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1443"/>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1453"/>
                  <w:jc w:val="center"/>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jc w:val="center"/>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P-12-003-03-04-03-10</w:t>
                    </w:r>
                  </w:p>
                  <w:p>
                    <w:pPr>
                      <w:rPr>
                        <w:strike/>
                        <w:color w:val="000000"/>
                        <w:sz w:val="16"/>
                        <w:szCs w:val="16"/>
                      </w:rPr>
                    </w:pPr>
                    <w:r>
                      <w:rPr>
                        <w:color w:val="000000"/>
                        <w:sz w:val="16"/>
                        <w:szCs w:val="16"/>
                      </w:rPr>
                      <w:t>Užregistruotos naujos ar atnaujintos profesinio mokymo programos, kurios yra prieinamos mokymo paslaugų teikėjams</w:t>
                    </w:r>
                  </w:p>
                  <w:p>
                    <w:pPr>
                      <w:rPr>
                        <w:strike/>
                        <w:sz w:val="16"/>
                        <w:szCs w:val="16"/>
                      </w:rPr>
                    </w:pPr>
                  </w:p>
                  <w:p>
                    <w:pPr>
                      <w:rPr>
                        <w:strike/>
                        <w:sz w:val="16"/>
                        <w:szCs w:val="16"/>
                      </w:rPr>
                    </w:pPr>
                  </w:p>
                  <w:p>
                    <w:pPr>
                      <w:rPr>
                        <w:strike/>
                        <w:color w:val="000000"/>
                        <w:sz w:val="16"/>
                        <w:szCs w:val="16"/>
                      </w:rPr>
                    </w:pPr>
                  </w:p>
                </w:tc>
                <w:tc>
                  <w:tcPr>
                    <w:tcW w:w="411" w:type="pct"/>
                    <w:vMerge w:val="restar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58"/>
                  <w:jc w:val="center"/>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4416"/>
                  <w:jc w:val="center"/>
                </w:trPr>
                <w:tc>
                  <w:tcPr>
                    <w:tcW w:w="479" w:type="pct"/>
                    <w:vMerge/>
                    <w:tcBorders>
                      <w:bottom w:val="single" w:sz="4" w:space="0" w:color="auto"/>
                    </w:tcBorders>
                  </w:tcPr>
                  <w:p>
                    <w:pPr>
                      <w:rPr>
                        <w:i/>
                        <w:sz w:val="16"/>
                        <w:szCs w:val="16"/>
                      </w:rPr>
                    </w:pPr>
                  </w:p>
                </w:tc>
                <w:tc>
                  <w:tcPr>
                    <w:tcW w:w="293" w:type="pct"/>
                    <w:vMerge/>
                    <w:tcBorders>
                      <w:bottom w:val="single" w:sz="4" w:space="0" w:color="auto"/>
                    </w:tcBorders>
                  </w:tcPr>
                  <w:p>
                    <w:pPr>
                      <w:rPr>
                        <w:sz w:val="16"/>
                        <w:szCs w:val="16"/>
                      </w:rPr>
                    </w:pPr>
                  </w:p>
                </w:tc>
                <w:tc>
                  <w:tcPr>
                    <w:tcW w:w="318" w:type="pct"/>
                    <w:vMerge/>
                    <w:tcBorders>
                      <w:bottom w:val="single" w:sz="4" w:space="0" w:color="auto"/>
                    </w:tcBorders>
                  </w:tcPr>
                  <w:p>
                    <w:pPr>
                      <w:rPr>
                        <w:sz w:val="16"/>
                        <w:szCs w:val="16"/>
                      </w:rPr>
                    </w:pPr>
                  </w:p>
                </w:tc>
                <w:tc>
                  <w:tcPr>
                    <w:tcW w:w="364" w:type="pct"/>
                    <w:vMerge/>
                    <w:tcBorders>
                      <w:bottom w:val="single" w:sz="4" w:space="0" w:color="auto"/>
                    </w:tcBorders>
                  </w:tcPr>
                  <w:p>
                    <w:pPr>
                      <w:rPr>
                        <w:sz w:val="16"/>
                        <w:szCs w:val="16"/>
                      </w:rPr>
                    </w:pPr>
                  </w:p>
                </w:tc>
                <w:tc>
                  <w:tcPr>
                    <w:tcW w:w="396" w:type="pct"/>
                    <w:vMerge/>
                    <w:tcBorders>
                      <w:bottom w:val="single" w:sz="4" w:space="0" w:color="auto"/>
                    </w:tcBorders>
                  </w:tcPr>
                  <w:p>
                    <w:pPr>
                      <w:rPr>
                        <w:sz w:val="16"/>
                        <w:szCs w:val="16"/>
                      </w:rPr>
                    </w:pPr>
                  </w:p>
                </w:tc>
                <w:tc>
                  <w:tcPr>
                    <w:tcW w:w="276" w:type="pct"/>
                    <w:vMerge/>
                    <w:tcBorders>
                      <w:bottom w:val="single" w:sz="4" w:space="0" w:color="auto"/>
                    </w:tcBorders>
                  </w:tcPr>
                  <w:p>
                    <w:pPr>
                      <w:rPr>
                        <w:sz w:val="16"/>
                        <w:szCs w:val="16"/>
                      </w:rPr>
                    </w:pPr>
                  </w:p>
                </w:tc>
                <w:tc>
                  <w:tcPr>
                    <w:tcW w:w="480" w:type="pct"/>
                    <w:tcBorders>
                      <w:bottom w:val="single" w:sz="4" w:space="0" w:color="auto"/>
                    </w:tcBorders>
                  </w:tcPr>
                  <w:p>
                    <w:pPr>
                      <w:jc w:val="center"/>
                      <w:rPr>
                        <w:sz w:val="16"/>
                        <w:szCs w:val="16"/>
                      </w:rPr>
                    </w:pPr>
                    <w:r>
                      <w:rPr>
                        <w:color w:val="000000"/>
                        <w:sz w:val="16"/>
                        <w:szCs w:val="16"/>
                      </w:rPr>
                      <w:t>399 000</w:t>
                    </w:r>
                  </w:p>
                </w:tc>
                <w:tc>
                  <w:tcPr>
                    <w:tcW w:w="361" w:type="pct"/>
                    <w:tcBorders>
                      <w:bottom w:val="single" w:sz="4" w:space="0" w:color="auto"/>
                    </w:tcBorders>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pPr>
                      <w:rPr>
                        <w:color w:val="000000"/>
                        <w:sz w:val="16"/>
                        <w:szCs w:val="16"/>
                      </w:rPr>
                    </w:pPr>
                  </w:p>
                </w:tc>
                <w:tc>
                  <w:tcPr>
                    <w:tcW w:w="685" w:type="pct"/>
                    <w:vMerge/>
                    <w:tcBorders>
                      <w:bottom w:val="single" w:sz="4" w:space="0" w:color="auto"/>
                    </w:tcBorders>
                  </w:tcPr>
                  <w:p>
                    <w:pPr>
                      <w:rPr>
                        <w:strike/>
                        <w:sz w:val="16"/>
                        <w:szCs w:val="16"/>
                      </w:rPr>
                    </w:pPr>
                  </w:p>
                </w:tc>
                <w:tc>
                  <w:tcPr>
                    <w:tcW w:w="411" w:type="pct"/>
                    <w:vMerge/>
                    <w:tcBorders>
                      <w:bottom w:val="single" w:sz="4" w:space="0" w:color="auto"/>
                    </w:tcBorders>
                  </w:tcPr>
                  <w:p>
                    <w:pPr>
                      <w:jc w:val="center"/>
                      <w:rPr>
                        <w:strike/>
                        <w:sz w:val="16"/>
                        <w:szCs w:val="16"/>
                      </w:rPr>
                    </w:pPr>
                  </w:p>
                </w:tc>
                <w:tc>
                  <w:tcPr>
                    <w:tcW w:w="342" w:type="pct"/>
                    <w:vMerge/>
                    <w:tcBorders>
                      <w:bottom w:val="single" w:sz="4" w:space="0" w:color="auto"/>
                    </w:tcBorders>
                  </w:tcPr>
                  <w:p>
                    <w:pPr>
                      <w:jc w:val="center"/>
                      <w:rPr>
                        <w:sz w:val="16"/>
                        <w:szCs w:val="16"/>
                      </w:rPr>
                    </w:pPr>
                  </w:p>
                </w:tc>
                <w:tc>
                  <w:tcPr>
                    <w:tcW w:w="274" w:type="pct"/>
                    <w:vMerge/>
                    <w:tcBorders>
                      <w:bottom w:val="single" w:sz="4" w:space="0" w:color="auto"/>
                    </w:tcBorders>
                  </w:tcPr>
                  <w:p>
                    <w:pPr>
                      <w:jc w:val="center"/>
                      <w:rPr>
                        <w:sz w:val="16"/>
                        <w:szCs w:val="16"/>
                      </w:rPr>
                    </w:pPr>
                  </w:p>
                </w:tc>
              </w:tr>
              <w:tr>
                <w:trPr>
                  <w:trHeight w:val="233"/>
                  <w:jc w:val="center"/>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3 751 000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sz w:val="16"/>
                        <w:szCs w:val="16"/>
                      </w:rPr>
                    </w:pPr>
                    <w:r>
                      <w:rPr>
                        <w:sz w:val="16"/>
                        <w:szCs w:val="16"/>
                      </w:rPr>
                      <w:t>P-12-003-03-04-03-11</w:t>
                    </w:r>
                  </w:p>
                  <w:p>
                    <w:pPr>
                      <w:rPr>
                        <w:sz w:val="16"/>
                        <w:szCs w:val="16"/>
                      </w:rPr>
                    </w:pPr>
                    <w:r>
                      <w:rPr>
                        <w:color w:val="000000"/>
                        <w:sz w:val="16"/>
                        <w:szCs w:val="16"/>
                      </w:rPr>
                      <w:t>Profesijos mokytojai ir (arba) meistrai, dalyvaujantys pameistrių ir praktikas atliekančių mokinių mokymo procese</w:t>
                    </w:r>
                  </w:p>
                </w:tc>
                <w:tc>
                  <w:tcPr>
                    <w:tcW w:w="411" w:type="pct"/>
                    <w:vMerge w:val="restar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w:t>
                    </w: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84"/>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p>
                    <w:pPr>
                      <w:jc w:val="center"/>
                      <w:rPr>
                        <w:b/>
                        <w:bCs/>
                        <w:sz w:val="16"/>
                        <w:szCs w:val="16"/>
                      </w:rPr>
                    </w:pPr>
                    <w:r>
                      <w:rPr>
                        <w:sz w:val="16"/>
                        <w:szCs w:val="16"/>
                      </w:rPr>
                      <w:t>(galima viršyti 1 000 000)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jc w:val="center"/>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color w:val="000000"/>
                        <w:sz w:val="16"/>
                        <w:szCs w:val="16"/>
                      </w:rPr>
                    </w:pPr>
                    <w:r>
                      <w:rPr>
                        <w:color w:val="000000"/>
                        <w:sz w:val="16"/>
                        <w:szCs w:val="16"/>
                      </w:rPr>
                      <w:t>2 960 000</w:t>
                    </w:r>
                  </w:p>
                  <w:p>
                    <w:pPr>
                      <w:jc w:val="center"/>
                      <w:rPr>
                        <w:b/>
                        <w:bCs/>
                        <w:sz w:val="16"/>
                        <w:szCs w:val="16"/>
                      </w:rPr>
                    </w:pPr>
                    <w:r>
                      <w:rPr>
                        <w:sz w:val="16"/>
                        <w:szCs w:val="16"/>
                      </w:rPr>
                      <w:t>(galima viršyti 1 000 000)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kuriems buvo skirta parama, kad jie galėtų mokytis pagal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color w:val="000000"/>
                        <w:sz w:val="16"/>
                        <w:szCs w:val="16"/>
                      </w:rPr>
                    </w:pPr>
                    <w:r>
                      <w:rPr>
                        <w:color w:val="000000"/>
                        <w:sz w:val="16"/>
                        <w:szCs w:val="16"/>
                      </w:rPr>
                      <w:t>Pagal pagrindinio ir vidurinio ugdymo programas bendrojo ugdymo mokyklose besimokantiems mokiniams skirta parama, kad jie galėtų mokytis pagal pirminio profesinio mokymo programos modulius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jc w:val="center"/>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P-12-003-03-04-03-18</w:t>
                    </w:r>
                  </w:p>
                  <w:p>
                    <w:pPr>
                      <w:rPr>
                        <w:sz w:val="16"/>
                        <w:szCs w:val="16"/>
                      </w:rPr>
                    </w:pPr>
                    <w:r>
                      <w:rPr>
                        <w:sz w:val="16"/>
                        <w:szCs w:val="16"/>
                      </w:rPr>
                      <w:t>Paramą gavę pagrindinio ugdymo programų mokiniai, kurie mokosi pagal eksperimentines profesinio mokymo programas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21 440 155</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57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21 294 386</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rPr>
                    </w:pPr>
                    <w:r>
                      <w:rPr>
                        <w:sz w:val="16"/>
                        <w:szCs w:val="16"/>
                        <w:lang w:eastAsia="lt-LT"/>
                      </w:rPr>
                      <w:t xml:space="preserve">Įgyvendintos profesinio mokymo programos pameistrystės forma </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7 219 231</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P-12-003-03-04-03-16</w:t>
                    </w:r>
                  </w:p>
                  <w:p>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jc w:val="center"/>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jc w:val="center"/>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jc w:val="center"/>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jc w:val="center"/>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jc w:val="center"/>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293 642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249 595</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44 047</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jc w:val="center"/>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38 568 503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32 783 228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jc w:val="center"/>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5 785 275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jc w:val="center"/>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jc w:val="center"/>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p>
            <w:sdt>
              <w:sdtPr>
                <w:alias w:val="poskyris"/>
                <w:tag w:val="part_d87f24ca6cc44ead8c2c8dc2603e0f84"/>
                <w:lock w:val="sdtLocked"/>
                <w:richText/>
              </w:sdtPr>
              <w:sdtContent>
                <w:p>
                  <w:pPr>
                    <w:jc w:val="both"/>
                    <w:rPr>
                      <w:b/>
                      <w:bCs/>
                      <w:iCs/>
                      <w:sz w:val="22"/>
                      <w:szCs w:val="22"/>
                    </w:rPr>
                  </w:pPr>
                  <w:sdt>
                    <w:sdtPr>
                      <w:alias w:val="Pavadinimas"/>
                      <w:tag w:val="title_d87f24ca6cc44ead8c2c8dc2603e0f84"/>
                      <w:lock w:val="sdtLocked"/>
                      <w:richText/>
                    </w:sdtPr>
                    <w:sdtContent>
                      <w:r>
                        <w:rPr>
                          <w:b/>
                          <w:bCs/>
                          <w:iCs/>
                          <w:sz w:val="22"/>
                          <w:szCs w:val="22"/>
                        </w:rPr>
                        <w:t>Pastabos:</w:t>
                      </w:r>
                    </w:sdtContent>
                  </w:sdt>
                </w:p>
                <w:sdt>
                  <w:sdtPr>
                    <w:alias w:val="1 p."/>
                    <w:tag w:val="part_2c55aef7c215440d99da919dedfef6a1"/>
                    <w:lock w:val="sdtLocked"/>
                    <w:richText/>
                  </w:sdtPr>
                  <w:sdtContent>
                    <w:p>
                      <w:pPr>
                        <w:jc w:val="both"/>
                        <w:rPr>
                          <w:iCs/>
                          <w:sz w:val="22"/>
                          <w:szCs w:val="22"/>
                        </w:rPr>
                      </w:pPr>
                      <w:sdt>
                        <w:sdtPr>
                          <w:alias w:val="Numeris"/>
                          <w:tag w:val="nr_2c55aef7c215440d99da919dedfef6a1"/>
                          <w:lock w:val="sdtLocked"/>
                          <w:richText/>
                        </w:sdtPr>
                        <w:sdtContent>
                          <w:r>
                            <w:rPr>
                              <w:iCs/>
                              <w:sz w:val="22"/>
                              <w:szCs w:val="22"/>
                            </w:rPr>
                            <w:t>1</w:t>
                          </w:r>
                        </w:sdtContent>
                      </w:sdt>
                      <w:r>
                        <w:rPr>
                          <w:iCs/>
                          <w:sz w:val="22"/>
                          <w:szCs w:val="22"/>
                        </w:rPr>
                        <w:t>. Lentelės 5 stulpelyje pažymima, prie kurių horizontaliųjų principų įgyvendinimo bus prisidedama tiesiogiai (jeigu prisidedama). Kai prisidedama, horizontalieji principai nurodomi šiais trumpiniais: darnus vystymasis – DV; inovatyvumas (kūrybingumas) – IN; lygios galimybės visiems – LG. Kai neprisidedama – nurodoma „Neprisidedama“.</w:t>
                      </w:r>
                    </w:p>
                  </w:sdtContent>
                </w:sdt>
                <w:sdt>
                  <w:sdtPr>
                    <w:alias w:val="2 p."/>
                    <w:tag w:val="part_fa10058f908649c185b96514eb90ff9c"/>
                    <w:lock w:val="sdtLocked"/>
                    <w:richText/>
                  </w:sdtPr>
                  <w:sdtContent>
                    <w:p>
                      <w:pPr>
                        <w:jc w:val="both"/>
                        <w:rPr>
                          <w:b/>
                          <w:bCs/>
                          <w:iCs/>
                          <w:sz w:val="22"/>
                          <w:szCs w:val="22"/>
                        </w:rPr>
                      </w:pPr>
                      <w:sdt>
                        <w:sdtPr>
                          <w:alias w:val="Numeris"/>
                          <w:tag w:val="nr_fa10058f908649c185b96514eb90ff9c"/>
                          <w:lock w:val="sdtLocked"/>
                          <w:richText/>
                        </w:sdtPr>
                        <w:sdtContent>
                          <w:r>
                            <w:rPr>
                              <w:iCs/>
                              <w:sz w:val="22"/>
                              <w:szCs w:val="22"/>
                            </w:rPr>
                            <w:t>2</w:t>
                          </w:r>
                        </w:sdtContent>
                      </w:sdt>
                      <w:r>
                        <w:rPr>
                          <w:iCs/>
                          <w:sz w:val="22"/>
                          <w:szCs w:val="22"/>
                        </w:rPr>
                        <w:t xml:space="preserve">. Administruojančioji institucija, skelbdama kvietimą teikti projektų įgyvendinimo planus pagal poveiklę   „3.1. Galimybių mokytis profesinio mokymo programų modulius sudarymas“ ir prisiimdama įsipareigojimus pagal sudarytas projektų finansavimo sutartis, gali viršyti planuojamą skirti sumą 1 000 000,00 Eur (vienu milijonu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2.7.5 papunktyje.</w:t>
                      </w:r>
                    </w:p>
                  </w:sdtContent>
                </w:sdt>
                <w:sdt>
                  <w:sdtPr>
                    <w:alias w:val="3 p."/>
                    <w:tag w:val="part_a4eaebedfe3a47fdaa9c560a46aab7cf"/>
                    <w:lock w:val="sdtLocked"/>
                    <w:richText/>
                  </w:sdtPr>
                  <w:sdtContent>
                    <w:p>
                      <w:pPr>
                        <w:jc w:val="both"/>
                        <w:rPr>
                          <w:sz w:val="18"/>
                          <w:szCs w:val="18"/>
                        </w:rPr>
                      </w:pPr>
                      <w:sdt>
                        <w:sdtPr>
                          <w:alias w:val="Numeris"/>
                          <w:tag w:val="nr_a4eaebedfe3a47fdaa9c560a46aab7cf"/>
                          <w:lock w:val="sdtLocked"/>
                          <w:richText/>
                        </w:sdtPr>
                        <w:sdtContent>
                          <w:r>
                            <w:rPr>
                              <w:iCs/>
                              <w:sz w:val="22"/>
                              <w:szCs w:val="22"/>
                            </w:rPr>
                            <w:t>3</w:t>
                          </w:r>
                        </w:sdtContent>
                      </w:sdt>
                      <w:r>
                        <w:rPr>
                          <w:iCs/>
                          <w:sz w:val="22"/>
                          <w:szCs w:val="22"/>
                        </w:rPr>
                        <w:t>. Administruojančioji institucija, skelbdama kvietimą teikti projektų įgyvendinimo planus pagal veiklą „4. Priemonių, skirtų profesiniam mokymui pameistrystės forma organizuoti ir skatinti, sukūrimas ir įgyvendinimas“ ir prisiimdama įsipareigojimus pagal sudarytas projektų finansavimo sutartis, gali viršyti planuojamą skirti sumą 1 493 000,00 Eur (vienu milijonu keturiais šimtais devyniasdešimt trimis tūkstančiais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2.7.4 papunktyje.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1 priedo 1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2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3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4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
          <w:pPr>
            <w:pStyle w:val="PlainText"/>
            <w:rPr>
              <w:rFonts w:ascii="Times New Roman" w:eastAsia="MS Mincho" w:hAnsi="Times New Roman"/>
              <w:sz w:val="20"/>
              <w:iCs/>
            </w:rPr>
          </w:pPr>
          <w:r>
            <w:rPr>
              <w:rFonts w:ascii="Times New Roman" w:eastAsia="MS Mincho" w:hAnsi="Times New Roman"/>
              <w:sz w:val="20"/>
              <w:iCs/>
            </w:rPr>
            <w:t>2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3 priedas (pagal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1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2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6 priedas (pagal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V-1052)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b71124a90411f0a34db2fbd35a03b2">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2025-10-14,
paskelbta TAR 2025-10-14, i. k. 2025-17142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b71124a90411f0a34db2fbd35a03b2">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2025-10-14,
paskelbta TAR 2025-10-14, i. k. 2025-17142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2bd94ef7c11f09cfce49e7aeb76fe">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2026-01-12,
paskelbta TAR 2026-01-12, i. k. 2026-00323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281a6064711f1b465ab875bcad79f">
            <w:r w:rsidRPr="00532B9F">
              <w:rPr>
                <w:rFonts w:ascii="Times New Roman" w:eastAsia="MS Mincho" w:hAnsi="Times New Roman"/>
                <w:sz w:val="20"/>
                <w:iCs/>
                <w:color w:val="0000FF" w:themeColor="hyperlink"/>
                <w:u w:val="single"/>
              </w:rPr>
              <w:t>V-105</w:t>
            </w:r>
          </w:fldSimple>
          <w:r>
            <w:rPr>
              <w:rFonts w:ascii="Times New Roman" w:eastAsia="MS Mincho" w:hAnsi="Times New Roman"/>
              <w:sz w:val="20"/>
              <w:iCs/>
            </w:rPr>
            <w:t>,
2026-02-10,
paskelbta TAR 2026-02-10, i. k. 2026-02028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5</w:t>
    </w:r>
    <w: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7168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47.xml"/>
  <Relationship Id="rId20" Type="http://schemas.openxmlformats.org/officeDocument/2006/relationships/header" Target="header79.xml"/>
  <Relationship Id="rId21" Type="http://schemas.openxmlformats.org/officeDocument/2006/relationships/header" Target="header80.xml"/>
  <Relationship Id="rId22" Type="http://schemas.openxmlformats.org/officeDocument/2006/relationships/footer" Target="footer79.xml"/>
  <Relationship Id="rId23" Type="http://schemas.openxmlformats.org/officeDocument/2006/relationships/footer" Target="footer80.xml"/>
  <Relationship Id="rId24" Type="http://schemas.openxmlformats.org/officeDocument/2006/relationships/header" Target="header81.xml"/>
  <Relationship Id="rId25" Type="http://schemas.openxmlformats.org/officeDocument/2006/relationships/footer" Target="footer81.xml"/>
  <Relationship Id="rId26" Type="http://schemas.openxmlformats.org/officeDocument/2006/relationships/customXml" Target="../customXml/item4.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af32ecd56607420587cc30eebba5c630">
    <Part Type="skyrius" Nr="1" Title="PLĖTROS PROGRAMOS PAŽANGOS PRIEMONĖS SIEKIAMI REZULTATAI" DocPartId="48d6ae0a714a4c43b646ee2ae1401245" PartId="739600462cd94bffb817c172cef75286"/>
    <Part Type="skyrius" Nr="2" Title="PLĖTROS PROGRAMOS PAŽANGOS PRIEMONĖS FINANSAVIMO PLANAS" DocPartId="a0355a005a7e4a72a0dbc7d66836bca8" PartId="d33513dc0a934e98abb6fd0637814bdc"/>
    <Part Type="skyrius" Nr="3" Title="PLĖTROS PROGRAMOS PAŽANGOS PRIEMONĖS VEIKLŲ SUVESTINĖ" DocPartId="6d47f64dbc8943e18de9f70910bdf082" PartId="00eff59b3eea4330ade653ad9f9b10d9">
      <Part Type="poskyris" Title="Pastabos:" DocPartId="570dc85b074145ad80c9f72f8b5140cb" PartId="d87f24ca6cc44ead8c2c8dc2603e0f84">
        <Part Type="punktas" Nr="1" Abbr="1 p." DocPartId="05600391a2bf47d6bfadf9b3856d0136" PartId="2c55aef7c215440d99da919dedfef6a1"/>
        <Part Type="punktas" Nr="2" Abbr="2 p." DocPartId="1f901f2b0e10411d81a9fb7938a0e1d7" PartId="fa10058f908649c185b96514eb90ff9c"/>
        <Part Type="punktas" Nr="3" Abbr="3 p." DocPartId="5aa197deee4f46999551165ed387ec7d" PartId="a4eaebedfe3a47fdaa9c560a46aab7cf"/>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EF5511-3640-41C7-AC47-6569A4CA14BE}">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A6C05A6A-A9EF-4219-8AA6-01C9CEE5B6C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23</Pages>
  <Words>4891</Words>
  <Characters>31131</Characters>
  <Application>Microsoft Office Word</Application>
  <DocSecurity>0</DocSecurity>
  <Lines>259</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b33a3bb9-a074-41f5-9d30-b1a0b84c1771</vt:lpstr>
      <vt:lpstr/>
    </vt:vector>
  </TitlesOfParts>
  <Company>VKS</Company>
  <LinksUpToDate>false</LinksUpToDate>
  <CharactersWithSpaces>35951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ŠAULYTĖ SKAIRIENĖ Dalia</lastModifiedBy>
  <lastPrinted>2010-02-18T07:54:00Z</lastPrinted>
  <dcterms:modified xsi:type="dcterms:W3CDTF">2026-02-11T19:00:00Z</dcterms:modified>
  <revision>28</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