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2024-09-05 iki 2025-01-20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9626b4b46d2946108da39f9071e64a68"/>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9626b4b46d2946108da39f9071e64a68"/>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b015184cc54d432a8c1900bba4500e9b"/>
            <w:lock w:val="sdtLocked"/>
            <w:richText/>
          </w:sdtPr>
          <w:sdtContent>
            <w:p>
              <w:pPr>
                <w:jc w:val="center"/>
                <w:rPr>
                  <w:color w:val="000000"/>
                  <w:sz w:val="27"/>
                  <w:szCs w:val="27"/>
                </w:rPr>
              </w:pPr>
              <w:sdt>
                <w:sdtPr>
                  <w:alias w:val="Numeris"/>
                  <w:tag w:val="nr_b015184cc54d432a8c1900bba4500e9b"/>
                  <w:lock w:val="sdtLocked"/>
                  <w:richText/>
                </w:sdtPr>
                <w:sdtContent>
                  <w:r>
                    <w:rPr>
                      <w:b/>
                      <w:bCs/>
                      <w:color w:val="000000"/>
                      <w:sz w:val="27"/>
                      <w:szCs w:val="27"/>
                    </w:rPr>
                    <w:t>I</w:t>
                  </w:r>
                </w:sdtContent>
              </w:sdt>
              <w:r>
                <w:rPr>
                  <w:b/>
                  <w:bCs/>
                  <w:color w:val="000000"/>
                  <w:sz w:val="27"/>
                  <w:szCs w:val="27"/>
                </w:rPr>
                <w:t> SKYRIUS</w:t>
              </w:r>
            </w:p>
            <w:p>
              <w:pPr>
                <w:jc w:val="center"/>
                <w:rPr>
                  <w:color w:val="000000"/>
                  <w:sz w:val="27"/>
                  <w:szCs w:val="27"/>
                </w:rPr>
              </w:pPr>
              <w:r>
                <w:rPr>
                  <w:b/>
                  <w:bCs/>
                  <w:color w:val="000000"/>
                  <w:sz w:val="27"/>
                  <w:szCs w:val="27"/>
                </w:rPr>
                <w:t>PLĖTROS PROGRAMOS PAŽANGOS PRIEMONĖS SIEKIAMI REZULTATA</w:t>
              </w:r>
              <w:r>
                <w:rPr>
                  <w:color w:val="000000"/>
                  <w:sz w:val="27"/>
                  <w:szCs w:val="27"/>
                </w:rPr>
                <w:t>I</w:t>
              </w:r>
            </w:p>
            <w:p>
              <w:pPr>
                <w:rPr>
                  <w:color w:val="000000"/>
                  <w:sz w:val="27"/>
                  <w:szCs w:val="27"/>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955"/>
                <w:gridCol w:w="1350"/>
                <w:gridCol w:w="2866"/>
                <w:gridCol w:w="1006"/>
                <w:gridCol w:w="1653"/>
                <w:gridCol w:w="1653"/>
                <w:gridCol w:w="1351"/>
                <w:gridCol w:w="2715"/>
              </w:tblGrid>
              <w:tr>
                <w:trPr>
                  <w:trHeight w:val="348"/>
                </w:trPr>
                <w:tc>
                  <w:tcPr>
                    <w:tcW w:w="650" w:type="pct"/>
                    <w:vMerge w:val="restart"/>
                    <w:tcMar>
                      <w:top w:w="0" w:type="dxa"/>
                      <w:left w:w="108" w:type="dxa"/>
                      <w:bottom w:w="0" w:type="dxa"/>
                      <w:right w:w="108" w:type="dxa"/>
                    </w:tcMar>
                    <w:vAlign w:val="center"/>
                    <w:hideMark/>
                  </w:tcPr>
                  <w:p>
                    <w:pPr>
                      <w:jc w:val="center"/>
                      <w:rPr>
                        <w:szCs w:val="24"/>
                      </w:rPr>
                    </w:pPr>
                    <w:r>
                      <w:rPr>
                        <w:b/>
                        <w:bCs/>
                        <w:sz w:val="18"/>
                        <w:szCs w:val="18"/>
                      </w:rPr>
                      <w:t>Rodiklio kodas</w:t>
                    </w:r>
                  </w:p>
                </w:tc>
                <w:tc>
                  <w:tcPr>
                    <w:tcW w:w="450" w:type="pct"/>
                    <w:vMerge w:val="restart"/>
                    <w:tcMar>
                      <w:top w:w="0" w:type="dxa"/>
                      <w:left w:w="108" w:type="dxa"/>
                      <w:bottom w:w="0" w:type="dxa"/>
                      <w:right w:w="108" w:type="dxa"/>
                    </w:tcMar>
                    <w:vAlign w:val="center"/>
                    <w:hideMark/>
                  </w:tcPr>
                  <w:p>
                    <w:pPr>
                      <w:jc w:val="center"/>
                    </w:pPr>
                    <w:r>
                      <w:rPr>
                        <w:b/>
                        <w:bCs/>
                        <w:sz w:val="18"/>
                        <w:szCs w:val="18"/>
                      </w:rPr>
                      <w:t>Rodiklio tipas (rezultato / produkto)</w:t>
                    </w:r>
                  </w:p>
                </w:tc>
                <w:tc>
                  <w:tcPr>
                    <w:tcW w:w="950" w:type="pct"/>
                    <w:vMerge w:val="restart"/>
                    <w:tcMar>
                      <w:top w:w="0" w:type="dxa"/>
                      <w:left w:w="108" w:type="dxa"/>
                      <w:bottom w:w="0" w:type="dxa"/>
                      <w:right w:w="108" w:type="dxa"/>
                    </w:tcMar>
                    <w:vAlign w:val="center"/>
                    <w:hideMark/>
                  </w:tcPr>
                  <w:p>
                    <w:pPr>
                      <w:jc w:val="center"/>
                    </w:pPr>
                    <w:r>
                      <w:rPr>
                        <w:b/>
                        <w:bCs/>
                        <w:sz w:val="18"/>
                        <w:szCs w:val="18"/>
                      </w:rPr>
                      <w:t>Rodiklio pavadinimas</w:t>
                    </w:r>
                  </w:p>
                </w:tc>
                <w:tc>
                  <w:tcPr>
                    <w:tcW w:w="300" w:type="pct"/>
                    <w:vMerge w:val="restart"/>
                    <w:tcMar>
                      <w:top w:w="0" w:type="dxa"/>
                      <w:left w:w="108" w:type="dxa"/>
                      <w:bottom w:w="0" w:type="dxa"/>
                      <w:right w:w="108" w:type="dxa"/>
                    </w:tcMar>
                    <w:vAlign w:val="center"/>
                    <w:hideMark/>
                  </w:tcPr>
                  <w:p>
                    <w:pPr>
                      <w:jc w:val="center"/>
                    </w:pPr>
                    <w:r>
                      <w:rPr>
                        <w:b/>
                        <w:bCs/>
                        <w:sz w:val="18"/>
                        <w:szCs w:val="18"/>
                      </w:rPr>
                      <w:t>Matavimo vienetas</w:t>
                    </w:r>
                  </w:p>
                </w:tc>
                <w:tc>
                  <w:tcPr>
                    <w:tcW w:w="550" w:type="pct"/>
                    <w:vMerge w:val="restart"/>
                    <w:tcMar>
                      <w:top w:w="0" w:type="dxa"/>
                      <w:left w:w="108" w:type="dxa"/>
                      <w:bottom w:w="0" w:type="dxa"/>
                      <w:right w:w="108" w:type="dxa"/>
                    </w:tcMar>
                    <w:vAlign w:val="center"/>
                    <w:hideMark/>
                  </w:tcPr>
                  <w:p>
                    <w:pPr>
                      <w:jc w:val="center"/>
                    </w:pPr>
                    <w:r>
                      <w:rPr>
                        <w:b/>
                        <w:bCs/>
                        <w:sz w:val="18"/>
                        <w:szCs w:val="18"/>
                      </w:rPr>
                      <w:t>Pradinė rodiklio reikšmė (metai)</w:t>
                    </w:r>
                  </w:p>
                </w:tc>
                <w:tc>
                  <w:tcPr>
                    <w:tcW w:w="1000" w:type="pct"/>
                    <w:gridSpan w:val="2"/>
                    <w:tcMar>
                      <w:top w:w="0" w:type="dxa"/>
                      <w:left w:w="108" w:type="dxa"/>
                      <w:bottom w:w="0" w:type="dxa"/>
                      <w:right w:w="108" w:type="dxa"/>
                    </w:tcMar>
                    <w:hideMark/>
                  </w:tcPr>
                  <w:p>
                    <w:pPr>
                      <w:jc w:val="center"/>
                    </w:pPr>
                    <w:r>
                      <w:rPr>
                        <w:b/>
                        <w:bCs/>
                        <w:sz w:val="18"/>
                        <w:szCs w:val="18"/>
                      </w:rPr>
                      <w:t>Siektinos rodiklio reikšmės</w:t>
                    </w:r>
                  </w:p>
                </w:tc>
                <w:tc>
                  <w:tcPr>
                    <w:tcW w:w="900" w:type="pct"/>
                    <w:vMerge w:val="restart"/>
                    <w:tcMar>
                      <w:top w:w="0" w:type="dxa"/>
                      <w:left w:w="108" w:type="dxa"/>
                      <w:bottom w:w="0" w:type="dxa"/>
                      <w:right w:w="108" w:type="dxa"/>
                    </w:tcMar>
                    <w:vAlign w:val="center"/>
                    <w:hideMark/>
                  </w:tcPr>
                  <w:p>
                    <w:pPr>
                      <w:jc w:val="center"/>
                    </w:pPr>
                    <w:r>
                      <w:rPr>
                        <w:b/>
                        <w:bCs/>
                        <w:sz w:val="18"/>
                        <w:szCs w:val="18"/>
                      </w:rPr>
                      <w:t>Finansavimo šaltinis</w:t>
                    </w:r>
                  </w:p>
                </w:tc>
              </w:tr>
              <w:tr>
                <w:trPr>
                  <w:trHeight w:val="667"/>
                </w:trPr>
                <w:tc>
                  <w:tcPr>
                    <w:tcW w:w="0" w:type="auto"/>
                    <w:vMerge/>
                    <w:vAlign w:val="center"/>
                    <w:hideMark/>
                  </w:tcPr>
                  <w:p>
                    <w:pPr>
                      <w:rPr>
                        <w:szCs w:val="24"/>
                      </w:rPr>
                    </w:pPr>
                  </w:p>
                </w:tc>
                <w:tc>
                  <w:tcPr>
                    <w:tcW w:w="0" w:type="auto"/>
                    <w:vMerge/>
                    <w:vAlign w:val="center"/>
                    <w:hideMark/>
                  </w:tcPr>
                  <w:p>
                    <w:pPr>
                      <w:rPr>
                        <w:szCs w:val="24"/>
                      </w:rPr>
                    </w:pPr>
                  </w:p>
                </w:tc>
                <w:tc>
                  <w:tcPr>
                    <w:tcW w:w="0" w:type="auto"/>
                    <w:vMerge/>
                    <w:vAlign w:val="center"/>
                    <w:hideMark/>
                  </w:tcPr>
                  <w:p>
                    <w:pPr>
                      <w:rPr>
                        <w:szCs w:val="24"/>
                      </w:rPr>
                    </w:pPr>
                  </w:p>
                </w:tc>
                <w:tc>
                  <w:tcPr>
                    <w:tcW w:w="0" w:type="auto"/>
                    <w:vMerge/>
                    <w:vAlign w:val="center"/>
                    <w:hideMark/>
                  </w:tcPr>
                  <w:p>
                    <w:pPr>
                      <w:rPr>
                        <w:szCs w:val="24"/>
                      </w:rPr>
                    </w:pPr>
                  </w:p>
                </w:tc>
                <w:tc>
                  <w:tcPr>
                    <w:tcW w:w="0" w:type="auto"/>
                    <w:vMerge/>
                    <w:vAlign w:val="center"/>
                    <w:hideMark/>
                  </w:tcPr>
                  <w:p>
                    <w:pPr>
                      <w:rPr>
                        <w:szCs w:val="24"/>
                      </w:rPr>
                    </w:pPr>
                  </w:p>
                </w:tc>
                <w:tc>
                  <w:tcPr>
                    <w:tcW w:w="550" w:type="pct"/>
                    <w:tcMar>
                      <w:top w:w="0" w:type="dxa"/>
                      <w:left w:w="108" w:type="dxa"/>
                      <w:bottom w:w="0" w:type="dxa"/>
                      <w:right w:w="108" w:type="dxa"/>
                    </w:tcMar>
                    <w:hideMark/>
                  </w:tcPr>
                  <w:p>
                    <w:pPr>
                      <w:jc w:val="center"/>
                    </w:pPr>
                    <w:r>
                      <w:rPr>
                        <w:b/>
                        <w:bCs/>
                        <w:sz w:val="18"/>
                        <w:szCs w:val="18"/>
                      </w:rPr>
                      <w:t>Tarpinė reikšmė 2025 m.</w:t>
                    </w:r>
                  </w:p>
                </w:tc>
                <w:tc>
                  <w:tcPr>
                    <w:tcW w:w="450" w:type="pct"/>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0" w:type="auto"/>
                    <w:vMerge/>
                    <w:vAlign w:val="center"/>
                    <w:hideMark/>
                  </w:tcPr>
                  <w:p>
                    <w:pPr>
                      <w:rPr>
                        <w:szCs w:val="24"/>
                      </w:rPr>
                    </w:pPr>
                  </w:p>
                </w:tc>
              </w:tr>
              <w:tr>
                <w:trPr>
                  <w:trHeight w:val="193"/>
                </w:trPr>
                <w:tc>
                  <w:tcPr>
                    <w:tcW w:w="650" w:type="pct"/>
                    <w:tcMar>
                      <w:top w:w="0" w:type="dxa"/>
                      <w:left w:w="108" w:type="dxa"/>
                      <w:bottom w:w="0" w:type="dxa"/>
                      <w:right w:w="108" w:type="dxa"/>
                    </w:tcMar>
                    <w:vAlign w:val="center"/>
                    <w:hideMark/>
                  </w:tcPr>
                  <w:p>
                    <w:pPr>
                      <w:spacing w:line="276" w:lineRule="atLeast"/>
                      <w:jc w:val="center"/>
                    </w:pPr>
                    <w:r>
                      <w:rPr>
                        <w:b/>
                        <w:bCs/>
                        <w:sz w:val="18"/>
                        <w:szCs w:val="18"/>
                      </w:rPr>
                      <w:t>1</w:t>
                    </w:r>
                  </w:p>
                </w:tc>
                <w:tc>
                  <w:tcPr>
                    <w:tcW w:w="450" w:type="pct"/>
                    <w:tcMar>
                      <w:top w:w="0" w:type="dxa"/>
                      <w:left w:w="108" w:type="dxa"/>
                      <w:bottom w:w="0" w:type="dxa"/>
                      <w:right w:w="108" w:type="dxa"/>
                    </w:tcMar>
                    <w:vAlign w:val="center"/>
                    <w:hideMark/>
                  </w:tcPr>
                  <w:p>
                    <w:pPr>
                      <w:spacing w:line="276" w:lineRule="atLeast"/>
                      <w:jc w:val="center"/>
                    </w:pPr>
                    <w:r>
                      <w:rPr>
                        <w:b/>
                        <w:bCs/>
                        <w:sz w:val="18"/>
                        <w:szCs w:val="18"/>
                      </w:rPr>
                      <w:t>2</w:t>
                    </w:r>
                  </w:p>
                </w:tc>
                <w:tc>
                  <w:tcPr>
                    <w:tcW w:w="950" w:type="pct"/>
                    <w:tcMar>
                      <w:top w:w="0" w:type="dxa"/>
                      <w:left w:w="108" w:type="dxa"/>
                      <w:bottom w:w="0" w:type="dxa"/>
                      <w:right w:w="108" w:type="dxa"/>
                    </w:tcMar>
                    <w:vAlign w:val="center"/>
                    <w:hideMark/>
                  </w:tcPr>
                  <w:p>
                    <w:pPr>
                      <w:spacing w:line="276" w:lineRule="atLeast"/>
                      <w:jc w:val="center"/>
                    </w:pPr>
                    <w:r>
                      <w:rPr>
                        <w:b/>
                        <w:bCs/>
                        <w:sz w:val="18"/>
                        <w:szCs w:val="18"/>
                      </w:rPr>
                      <w:t>3</w:t>
                    </w:r>
                  </w:p>
                </w:tc>
                <w:tc>
                  <w:tcPr>
                    <w:tcW w:w="300" w:type="pct"/>
                    <w:tcMar>
                      <w:top w:w="0" w:type="dxa"/>
                      <w:left w:w="108" w:type="dxa"/>
                      <w:bottom w:w="0" w:type="dxa"/>
                      <w:right w:w="108" w:type="dxa"/>
                    </w:tcMar>
                    <w:vAlign w:val="center"/>
                    <w:hideMark/>
                  </w:tcPr>
                  <w:p>
                    <w:pPr>
                      <w:spacing w:line="276" w:lineRule="atLeast"/>
                      <w:jc w:val="center"/>
                    </w:pPr>
                    <w:r>
                      <w:rPr>
                        <w:b/>
                        <w:bCs/>
                        <w:sz w:val="18"/>
                        <w:szCs w:val="18"/>
                      </w:rPr>
                      <w:t>4</w:t>
                    </w:r>
                  </w:p>
                </w:tc>
                <w:tc>
                  <w:tcPr>
                    <w:tcW w:w="550" w:type="pct"/>
                    <w:tcMar>
                      <w:top w:w="0" w:type="dxa"/>
                      <w:left w:w="108" w:type="dxa"/>
                      <w:bottom w:w="0" w:type="dxa"/>
                      <w:right w:w="108" w:type="dxa"/>
                    </w:tcMar>
                    <w:vAlign w:val="center"/>
                    <w:hideMark/>
                  </w:tcPr>
                  <w:p>
                    <w:pPr>
                      <w:spacing w:line="276" w:lineRule="atLeast"/>
                      <w:jc w:val="center"/>
                    </w:pPr>
                    <w:r>
                      <w:rPr>
                        <w:b/>
                        <w:bCs/>
                        <w:sz w:val="18"/>
                        <w:szCs w:val="18"/>
                      </w:rPr>
                      <w:t>5</w:t>
                    </w:r>
                  </w:p>
                </w:tc>
                <w:tc>
                  <w:tcPr>
                    <w:tcW w:w="550" w:type="pct"/>
                    <w:tcMar>
                      <w:top w:w="0" w:type="dxa"/>
                      <w:left w:w="108" w:type="dxa"/>
                      <w:bottom w:w="0" w:type="dxa"/>
                      <w:right w:w="108" w:type="dxa"/>
                    </w:tcMar>
                    <w:vAlign w:val="center"/>
                    <w:hideMark/>
                  </w:tcPr>
                  <w:p>
                    <w:pPr>
                      <w:jc w:val="center"/>
                    </w:pPr>
                    <w:r>
                      <w:rPr>
                        <w:b/>
                        <w:bCs/>
                        <w:sz w:val="18"/>
                        <w:szCs w:val="18"/>
                      </w:rPr>
                      <w:t>6</w:t>
                    </w:r>
                  </w:p>
                </w:tc>
                <w:tc>
                  <w:tcPr>
                    <w:tcW w:w="450" w:type="pct"/>
                    <w:tcMar>
                      <w:top w:w="0" w:type="dxa"/>
                      <w:left w:w="108" w:type="dxa"/>
                      <w:bottom w:w="0" w:type="dxa"/>
                      <w:right w:w="108" w:type="dxa"/>
                    </w:tcMar>
                    <w:vAlign w:val="center"/>
                    <w:hideMark/>
                  </w:tcPr>
                  <w:p>
                    <w:pPr>
                      <w:jc w:val="center"/>
                    </w:pPr>
                    <w:r>
                      <w:rPr>
                        <w:b/>
                        <w:bCs/>
                        <w:sz w:val="18"/>
                        <w:szCs w:val="18"/>
                      </w:rPr>
                      <w:t>7</w:t>
                    </w:r>
                  </w:p>
                </w:tc>
                <w:tc>
                  <w:tcPr>
                    <w:tcW w:w="900" w:type="pct"/>
                    <w:tcMar>
                      <w:top w:w="0" w:type="dxa"/>
                      <w:left w:w="108" w:type="dxa"/>
                      <w:bottom w:w="0" w:type="dxa"/>
                      <w:right w:w="108" w:type="dxa"/>
                    </w:tcMar>
                    <w:vAlign w:val="center"/>
                    <w:hideMark/>
                  </w:tcPr>
                  <w:p>
                    <w:pPr>
                      <w:spacing w:line="276" w:lineRule="atLeast"/>
                      <w:jc w:val="center"/>
                    </w:pPr>
                    <w:r>
                      <w:rPr>
                        <w:b/>
                        <w:bCs/>
                        <w:sz w:val="18"/>
                        <w:szCs w:val="18"/>
                      </w:rPr>
                      <w:t>8</w:t>
                    </w:r>
                  </w:p>
                </w:tc>
              </w:tr>
              <w:tr>
                <w:trPr>
                  <w:trHeight w:val="750"/>
                </w:trPr>
                <w:tc>
                  <w:tcPr>
                    <w:tcW w:w="650" w:type="pct"/>
                    <w:shd w:val="clear" w:color="auto" w:fill="FFFFFF"/>
                    <w:tcMar>
                      <w:top w:w="0" w:type="dxa"/>
                      <w:left w:w="108" w:type="dxa"/>
                      <w:bottom w:w="0" w:type="dxa"/>
                      <w:right w:w="108" w:type="dxa"/>
                    </w:tcMar>
                    <w:hideMark/>
                  </w:tcPr>
                  <w:p>
                    <w:pPr>
                      <w:spacing w:line="276" w:lineRule="atLeast"/>
                    </w:pPr>
                    <w:r>
                      <w:rPr>
                        <w:sz w:val="20"/>
                      </w:rPr>
                      <w:t>R-12-003-03-04-03-01</w:t>
                    </w:r>
                  </w:p>
                </w:tc>
                <w:tc>
                  <w:tcPr>
                    <w:tcW w:w="450" w:type="pct"/>
                    <w:shd w:val="clear" w:color="auto" w:fill="FFFFFF"/>
                    <w:tcMar>
                      <w:top w:w="0" w:type="dxa"/>
                      <w:left w:w="108" w:type="dxa"/>
                      <w:bottom w:w="0" w:type="dxa"/>
                      <w:right w:w="108" w:type="dxa"/>
                    </w:tcMar>
                    <w:hideMark/>
                  </w:tcPr>
                  <w:p>
                    <w:pPr/>
                    <w:r>
                      <w:rPr>
                        <w:color w:val="000000"/>
                        <w:sz w:val="20"/>
                      </w:rPr>
                      <w:t>Rezultato</w:t>
                    </w:r>
                  </w:p>
                </w:tc>
                <w:tc>
                  <w:tcPr>
                    <w:tcW w:w="950" w:type="pct"/>
                    <w:shd w:val="clear" w:color="auto" w:fill="FFFFFF"/>
                    <w:tcMar>
                      <w:top w:w="0" w:type="dxa"/>
                      <w:left w:w="108" w:type="dxa"/>
                      <w:bottom w:w="0" w:type="dxa"/>
                      <w:right w:w="108" w:type="dxa"/>
                    </w:tcMar>
                    <w:hideMark/>
                  </w:tcPr>
                  <w:p>
                    <w:pPr/>
                    <w:r>
                      <w:rPr>
                        <w:sz w:val="20"/>
                      </w:rPr>
                      <w:t>Nepalankias sąlygas turinčių asmenų grupių mokinių, kuriems buvo skirta parama profesinio mokymo prieinamumui gerinti, dalis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550"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50"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50" w:type="pct"/>
                    <w:shd w:val="clear" w:color="auto" w:fill="FFFFFF"/>
                    <w:tcMar>
                      <w:top w:w="0" w:type="dxa"/>
                      <w:left w:w="108" w:type="dxa"/>
                      <w:bottom w:w="0" w:type="dxa"/>
                      <w:right w:w="108" w:type="dxa"/>
                    </w:tcMar>
                    <w:hideMark/>
                  </w:tcPr>
                  <w:p>
                    <w:pPr>
                      <w:spacing w:line="276" w:lineRule="atLeast"/>
                    </w:pPr>
                    <w:r>
                      <w:rPr>
                        <w:sz w:val="20"/>
                      </w:rPr>
                      <w:t>R-12-003-03-04-03-02</w:t>
                    </w:r>
                  </w:p>
                </w:tc>
                <w:tc>
                  <w:tcPr>
                    <w:tcW w:w="450" w:type="pct"/>
                    <w:shd w:val="clear" w:color="auto" w:fill="FFFFFF"/>
                    <w:tcMar>
                      <w:top w:w="0" w:type="dxa"/>
                      <w:left w:w="108" w:type="dxa"/>
                      <w:bottom w:w="0" w:type="dxa"/>
                      <w:right w:w="108" w:type="dxa"/>
                    </w:tcMar>
                    <w:hideMark/>
                  </w:tcPr>
                  <w:p>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pPr/>
                    <w:r>
                      <w:rPr>
                        <w:color w:val="232323"/>
                        <w:sz w:val="20"/>
                      </w:rPr>
                      <w:t>Profesinio mokymo įstaigų, organizuojančių profesinio mokymo programas pameistrystės forma, dalis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550"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550"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50"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R-12-003-03-04-03-03</w:t>
                    </w:r>
                  </w:p>
                </w:tc>
                <w:tc>
                  <w:tcPr>
                    <w:tcW w:w="450" w:type="pct"/>
                    <w:shd w:val="clear" w:color="auto" w:fill="FFFFFF"/>
                    <w:tcMar>
                      <w:top w:w="0" w:type="dxa"/>
                      <w:left w:w="108" w:type="dxa"/>
                      <w:bottom w:w="0" w:type="dxa"/>
                      <w:right w:w="108" w:type="dxa"/>
                    </w:tcMar>
                    <w:hideMark/>
                  </w:tcPr>
                  <w:p>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baigusių pirminio profesinio mokymo programos modulius, skaičiaus padidėjimas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550"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rPr>
                        <w:highlight w:val="magenta"/>
                      </w:rPr>
                    </w:pPr>
                    <w:r>
                      <w:rPr>
                        <w:sz w:val="20"/>
                      </w:rPr>
                      <w:t>R-12-003-03-04-03-04</w:t>
                    </w:r>
                  </w:p>
                </w:tc>
                <w:tc>
                  <w:tcPr>
                    <w:tcW w:w="450" w:type="pct"/>
                    <w:shd w:val="clear" w:color="auto" w:fill="FFFFFF"/>
                    <w:tcMar>
                      <w:top w:w="0" w:type="dxa"/>
                      <w:left w:w="108" w:type="dxa"/>
                      <w:bottom w:w="0" w:type="dxa"/>
                      <w:right w:w="108" w:type="dxa"/>
                    </w:tcMar>
                    <w:hideMark/>
                  </w:tcPr>
                  <w:p>
                    <w:pPr>
                      <w:spacing w:line="276" w:lineRule="atLeast"/>
                      <w:jc w:val="center"/>
                    </w:pPr>
                    <w:r>
                      <w:rPr>
                        <w:color w:val="000000"/>
                        <w:sz w:val="20"/>
                      </w:rPr>
                      <w:t>Rezultato</w:t>
                    </w:r>
                  </w:p>
                </w:tc>
                <w:tc>
                  <w:tcPr>
                    <w:tcW w:w="95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color w:val="000000"/>
                        <w:sz w:val="20"/>
                      </w:rPr>
                      <w:t>22 860 (2029)</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50" w:type="pct"/>
                    <w:shd w:val="clear" w:color="auto" w:fill="FFFFFF"/>
                    <w:tcMar>
                      <w:top w:w="0" w:type="dxa"/>
                      <w:left w:w="108" w:type="dxa"/>
                      <w:bottom w:w="0" w:type="dxa"/>
                      <w:right w:w="108" w:type="dxa"/>
                    </w:tcMar>
                    <w:hideMark/>
                  </w:tcPr>
                  <w:p>
                    <w:pPr>
                      <w:spacing w:line="276" w:lineRule="atLeast"/>
                      <w:rPr>
                        <w:highlight w:val="magenta"/>
                      </w:rPr>
                    </w:pPr>
                    <w:r>
                      <w:rPr>
                        <w:sz w:val="20"/>
                      </w:rPr>
                      <w:t>P-12-003-03-04-03-05</w:t>
                    </w:r>
                  </w:p>
                </w:tc>
                <w:tc>
                  <w:tcPr>
                    <w:tcW w:w="450" w:type="pct"/>
                    <w:shd w:val="clear" w:color="auto" w:fill="FFFFFF"/>
                    <w:tcMar>
                      <w:top w:w="0" w:type="dxa"/>
                      <w:left w:w="108" w:type="dxa"/>
                      <w:bottom w:w="0" w:type="dxa"/>
                      <w:right w:w="108" w:type="dxa"/>
                    </w:tcMar>
                    <w:hideMark/>
                  </w:tcPr>
                  <w:p>
                    <w:pPr>
                      <w:spacing w:line="276" w:lineRule="atLeast"/>
                      <w:jc w:val="center"/>
                    </w:pPr>
                    <w:r>
                      <w:rPr>
                        <w:color w:val="000000"/>
                        <w:sz w:val="20"/>
                      </w:rPr>
                      <w:t>Produkto</w:t>
                    </w:r>
                  </w:p>
                </w:tc>
                <w:tc>
                  <w:tcPr>
                    <w:tcW w:w="950" w:type="pct"/>
                    <w:shd w:val="clear" w:color="auto" w:fill="FFFFFF"/>
                    <w:tcMar>
                      <w:top w:w="0" w:type="dxa"/>
                      <w:left w:w="108" w:type="dxa"/>
                      <w:bottom w:w="0" w:type="dxa"/>
                      <w:right w:w="108" w:type="dxa"/>
                    </w:tcMar>
                    <w:hideMark/>
                  </w:tcPr>
                  <w:p>
                    <w:pPr>
                      <w:spacing w:line="276" w:lineRule="atLeast"/>
                    </w:pPr>
                    <w:r>
                      <w:rPr>
                        <w:sz w:val="20"/>
                      </w:rPr>
                      <w:t>Nepalankias sąlygas turinčių asmenų grupių mokiniai, kuriems buvo skirta parama profesinio mokymo prieinamumui gerinti</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tc>
                <w:tc>
                  <w:tcPr>
                    <w:tcW w:w="550" w:type="pct"/>
                    <w:shd w:val="clear" w:color="auto" w:fill="FFFFFF"/>
                    <w:tcMar>
                      <w:top w:w="0" w:type="dxa"/>
                      <w:left w:w="108" w:type="dxa"/>
                      <w:bottom w:w="0" w:type="dxa"/>
                      <w:right w:w="108" w:type="dxa"/>
                    </w:tcMar>
                    <w:hideMark/>
                  </w:tcPr>
                  <w:p>
                    <w:pPr>
                      <w:jc w:val="center"/>
                    </w:pPr>
                    <w:r>
                      <w:rPr>
                        <w:sz w:val="20"/>
                      </w:rPr>
                      <w:t>120 (2024)</w:t>
                    </w:r>
                  </w:p>
                </w:tc>
                <w:tc>
                  <w:tcPr>
                    <w:tcW w:w="450" w:type="pct"/>
                    <w:shd w:val="clear" w:color="auto" w:fill="FFFFFF"/>
                    <w:tcMar>
                      <w:top w:w="0" w:type="dxa"/>
                      <w:left w:w="108" w:type="dxa"/>
                      <w:bottom w:w="0" w:type="dxa"/>
                      <w:right w:w="108" w:type="dxa"/>
                    </w:tcMar>
                    <w:hideMark/>
                  </w:tcPr>
                  <w:p>
                    <w:pPr>
                      <w:jc w:val="center"/>
                    </w:pPr>
                    <w:r>
                      <w:rPr>
                        <w:sz w:val="20"/>
                      </w:rPr>
                      <w:t>790</w:t>
                    </w:r>
                  </w:p>
                  <w:p>
                    <w:pPr>
                      <w:jc w:val="center"/>
                    </w:pPr>
                    <w:r>
                      <w:rPr>
                        <w:sz w:val="20"/>
                      </w:rPr>
                      <w:t>(2029)</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(ESF+)</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P-12-003-03-04-03-06</w:t>
                    </w:r>
                  </w:p>
                </w:tc>
                <w:tc>
                  <w:tcPr>
                    <w:tcW w:w="450" w:type="pct"/>
                    <w:shd w:val="clear" w:color="auto" w:fill="FFFFFF"/>
                    <w:tcMar>
                      <w:top w:w="0" w:type="dxa"/>
                      <w:left w:w="108" w:type="dxa"/>
                      <w:bottom w:w="0" w:type="dxa"/>
                      <w:right w:w="108" w:type="dxa"/>
                    </w:tcMar>
                    <w:hideMark/>
                  </w:tcPr>
                  <w:p>
                    <w:pPr>
                      <w:spacing w:line="276" w:lineRule="atLeast"/>
                      <w:jc w:val="center"/>
                    </w:pPr>
                    <w:r>
                      <w:rPr>
                        <w:color w:val="000000"/>
                        <w:sz w:val="20"/>
                      </w:rPr>
                      <w:t>Produkto</w:t>
                    </w:r>
                  </w:p>
                </w:tc>
                <w:tc>
                  <w:tcPr>
                    <w:tcW w:w="950"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mokymo klasių talpumas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tc>
                <w:tc>
                  <w:tcPr>
                    <w:tcW w:w="550" w:type="pct"/>
                    <w:shd w:val="clear" w:color="auto" w:fill="FFFFFF"/>
                    <w:tcMar>
                      <w:top w:w="0" w:type="dxa"/>
                      <w:left w:w="108" w:type="dxa"/>
                      <w:bottom w:w="0" w:type="dxa"/>
                      <w:right w:w="108" w:type="dxa"/>
                    </w:tcMar>
                    <w:hideMark/>
                  </w:tcPr>
                  <w:p>
                    <w:pPr>
                      <w:spacing w:line="254" w:lineRule="atLeast"/>
                      <w:jc w:val="center"/>
                    </w:pPr>
                    <w:r>
                      <w:rPr>
                        <w:sz w:val="20"/>
                      </w:rPr>
                      <w:t>0</w:t>
                    </w:r>
                  </w:p>
                  <w:p>
                    <w:pPr>
                      <w:ind w:firstLine="53"/>
                      <w:jc w:val="center"/>
                    </w:pPr>
                  </w:p>
                </w:tc>
                <w:tc>
                  <w:tcPr>
                    <w:tcW w:w="450" w:type="pct"/>
                    <w:shd w:val="clear" w:color="auto" w:fill="FFFFFF"/>
                    <w:tcMar>
                      <w:top w:w="0" w:type="dxa"/>
                      <w:left w:w="108" w:type="dxa"/>
                      <w:bottom w:w="0" w:type="dxa"/>
                      <w:right w:w="108" w:type="dxa"/>
                    </w:tcMar>
                    <w:hideMark/>
                  </w:tcPr>
                  <w:p>
                    <w:pPr>
                      <w:jc w:val="center"/>
                    </w:pPr>
                    <w:r>
                      <w:rPr>
                        <w:sz w:val="20"/>
                      </w:rPr>
                      <w:t>28 575</w:t>
                    </w:r>
                  </w:p>
                  <w:p>
                    <w:pPr>
                      <w:jc w:val="center"/>
                    </w:pPr>
                    <w:r>
                      <w:rPr>
                        <w:sz w:val="20"/>
                      </w:rPr>
                      <w:t>(2029)</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972"/>
                </w:trPr>
                <w:tc>
                  <w:tcPr>
                    <w:tcW w:w="650" w:type="pct"/>
                    <w:shd w:val="clear" w:color="auto" w:fill="FFFFFF"/>
                    <w:tcMar>
                      <w:top w:w="0" w:type="dxa"/>
                      <w:left w:w="108" w:type="dxa"/>
                      <w:bottom w:w="0" w:type="dxa"/>
                      <w:right w:w="108" w:type="dxa"/>
                    </w:tcMar>
                    <w:hideMark/>
                  </w:tcPr>
                  <w:p>
                    <w:pPr>
                      <w:spacing w:line="276" w:lineRule="atLeast"/>
                    </w:pPr>
                    <w:r>
                      <w:rPr>
                        <w:sz w:val="20"/>
                      </w:rPr>
                      <w:t>P-12-003-03-04-03-07</w:t>
                    </w: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sz w:val="20"/>
                      </w:rPr>
                      <w:t>Teisės akto dėl Nacionalinės profesinio švietimo ir mokymo pažangos platformos sukūrimo projektas paskelbtas konsultacijoms su socialiniais partneriais ir suinteresuotosiomis šalimis</w:t>
                    </w:r>
                  </w:p>
                </w:tc>
                <w:tc>
                  <w:tcPr>
                    <w:tcW w:w="300" w:type="pct"/>
                    <w:shd w:val="clear" w:color="auto" w:fill="FFFFFF"/>
                    <w:tcMar>
                      <w:top w:w="0" w:type="dxa"/>
                      <w:left w:w="108" w:type="dxa"/>
                      <w:bottom w:w="0" w:type="dxa"/>
                      <w:right w:w="108" w:type="dxa"/>
                    </w:tcMar>
                    <w:hideMark/>
                  </w:tcPr>
                  <w:p>
                    <w:pPr>
                      <w:spacing w:line="276" w:lineRule="atLeast"/>
                      <w:jc w:val="center"/>
                      <w:rPr>
                        <w:sz w:val="20"/>
                      </w:rPr>
                    </w:pPr>
                  </w:p>
                  <w:p>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pPr>
                      <w:jc w:val="center"/>
                    </w:pPr>
                    <w:r>
                      <w:rPr>
                        <w:sz w:val="20"/>
                      </w:rPr>
                      <w:t>n/a</w:t>
                    </w:r>
                  </w:p>
                </w:tc>
                <w:tc>
                  <w:tcPr>
                    <w:tcW w:w="550" w:type="pct"/>
                    <w:shd w:val="clear" w:color="auto" w:fill="FFFFFF"/>
                    <w:tcMar>
                      <w:top w:w="0" w:type="dxa"/>
                      <w:left w:w="108" w:type="dxa"/>
                      <w:bottom w:w="0" w:type="dxa"/>
                      <w:right w:w="108" w:type="dxa"/>
                    </w:tcMar>
                    <w:hideMark/>
                  </w:tcPr>
                  <w:p>
                    <w:pPr>
                      <w:spacing w:line="276" w:lineRule="atLeast"/>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P-12-003-03-04-03-08</w:t>
                    </w: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spacing w:line="276" w:lineRule="atLeast"/>
                    </w:pPr>
                    <w:r>
                      <w:rPr>
                        <w:color w:val="000000"/>
                        <w:sz w:val="20"/>
                      </w:rPr>
                      <w:t>Nacionalinės profesinio mokymo pažangos platformos sukūrimą patvirtinančių teisės aktų įsigaliojimas</w:t>
                    </w:r>
                  </w:p>
                </w:tc>
                <w:tc>
                  <w:tcPr>
                    <w:tcW w:w="300" w:type="pct"/>
                    <w:shd w:val="clear" w:color="auto" w:fill="FFFFFF"/>
                    <w:tcMar>
                      <w:top w:w="0" w:type="dxa"/>
                      <w:left w:w="108" w:type="dxa"/>
                      <w:bottom w:w="0" w:type="dxa"/>
                      <w:right w:w="108" w:type="dxa"/>
                    </w:tcMar>
                    <w:hideMark/>
                  </w:tcPr>
                  <w:p>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P-12-003-03-04-03-09</w:t>
                    </w: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jc w:val="both"/>
                    </w:pPr>
                    <w:r>
                      <w:rPr>
                        <w:sz w:val="20"/>
                      </w:rPr>
                      <w:t>Poreikių atnaujinti arba parengti naujas mokymo programas nustatymas, konsultuojantis su socialiniais partneriais</w:t>
                    </w:r>
                  </w:p>
                  <w:p>
                    <w:pPr>
                      <w:ind w:firstLine="53"/>
                      <w:jc w:val="both"/>
                    </w:pPr>
                  </w:p>
                </w:tc>
                <w:tc>
                  <w:tcPr>
                    <w:tcW w:w="300" w:type="pct"/>
                    <w:shd w:val="clear" w:color="auto" w:fill="FFFFFF"/>
                    <w:tcMar>
                      <w:top w:w="0" w:type="dxa"/>
                      <w:left w:w="108" w:type="dxa"/>
                      <w:bottom w:w="0" w:type="dxa"/>
                      <w:right w:w="108" w:type="dxa"/>
                    </w:tcMar>
                    <w:hideMark/>
                  </w:tcPr>
                  <w:p>
                    <w:pPr>
                      <w:spacing w:line="276" w:lineRule="atLeast"/>
                      <w:jc w:val="center"/>
                    </w:pPr>
                    <w:r>
                      <w:rPr>
                        <w:sz w:val="20"/>
                      </w:rPr>
                      <w:t>vienetai</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(2023</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P-12-003-03-04-03-10</w:t>
                    </w: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Užregistruotos naujos ar atnaujintos profesinio mokymo programos, kurios yra prieinamos mokymo paslaugų teikėjams</w:t>
                    </w:r>
                  </w:p>
                </w:tc>
                <w:tc>
                  <w:tcPr>
                    <w:tcW w:w="300" w:type="pct"/>
                    <w:shd w:val="clear" w:color="auto" w:fill="FFFFFF"/>
                    <w:tcMar>
                      <w:top w:w="0" w:type="dxa"/>
                      <w:left w:w="108" w:type="dxa"/>
                      <w:bottom w:w="0" w:type="dxa"/>
                      <w:right w:w="108" w:type="dxa"/>
                    </w:tcMar>
                    <w:hideMark/>
                  </w:tcPr>
                  <w:p>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30</w:t>
                    </w:r>
                  </w:p>
                  <w:p>
                    <w:pPr>
                      <w:jc w:val="center"/>
                    </w:pPr>
                    <w:r>
                      <w:rPr>
                        <w:sz w:val="20"/>
                      </w:rPr>
                      <w:t>(2024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95</w:t>
                    </w:r>
                  </w:p>
                  <w:p>
                    <w:pPr>
                      <w:jc w:val="center"/>
                    </w:pPr>
                    <w:r>
                      <w:rPr>
                        <w:sz w:val="20"/>
                      </w:rPr>
                      <w:t>(2026</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P-12-003-03-04-03-11</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Profesijos mokytojai ir (arba) meistrai, dalyvaujantys pameistrių ir praktikas atliekančių mokinių mokymo procese</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200</w:t>
                    </w:r>
                  </w:p>
                  <w:p>
                    <w:pPr>
                      <w:jc w:val="center"/>
                    </w:pPr>
                    <w:r>
                      <w:rPr>
                        <w:sz w:val="20"/>
                      </w:rPr>
                      <w:t>(2024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1 000</w:t>
                    </w:r>
                  </w:p>
                  <w:p>
                    <w:pPr>
                      <w:jc w:val="center"/>
                    </w:pPr>
                    <w:r>
                      <w:rPr>
                        <w:sz w:val="20"/>
                      </w:rPr>
                      <w:t>(2026</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P-12-003-03-04-03-12</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jc w:val="both"/>
                    </w:pPr>
                    <w:r>
                      <w:rPr>
                        <w:sz w:val="20"/>
                      </w:rPr>
                      <w:t>Profesinio mokymo įstatymo dėl profesinio mokymo kompetencijų centrų profesinio švietimo ir mokymo pakeitimo projektas, kuris paskelbtas konsultacijoms su socialiniais partneriais ir suinteresuotaisiais subjektais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vienetai</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P-12-003-03-04-03-13</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sz w:val="20"/>
                      </w:rPr>
                      <w:t>Įsigalioję Lietuvos Respublikos profesinio mokymo įstatymo pakeitimai dėl profesinio mokymo kompetencijos centrų</w:t>
                    </w:r>
                  </w:p>
                </w:tc>
                <w:tc>
                  <w:tcPr>
                    <w:tcW w:w="300" w:type="pct"/>
                    <w:shd w:val="clear" w:color="auto" w:fill="FFFFFF"/>
                    <w:tcMar>
                      <w:top w:w="0" w:type="dxa"/>
                      <w:left w:w="108" w:type="dxa"/>
                      <w:bottom w:w="0" w:type="dxa"/>
                      <w:right w:w="108" w:type="dxa"/>
                    </w:tcMar>
                    <w:hideMark/>
                  </w:tcPr>
                  <w:p>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pPr>
                      <w:jc w:val="center"/>
                    </w:pPr>
                    <w:r>
                      <w:rPr>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w:t>
                    </w:r>
                  </w:p>
                  <w:p>
                    <w:pPr>
                      <w:jc w:val="center"/>
                    </w:pPr>
                    <w:r>
                      <w:rPr>
                        <w:sz w:val="20"/>
                      </w:rPr>
                      <w:t>IV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P-12-003-03-04-03-14</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Įsigalioję teisės aktai, kuriais nustatoma Paramos pameistrystei ir mokymuisi darbo vietoje schema</w:t>
                    </w:r>
                  </w:p>
                </w:tc>
                <w:tc>
                  <w:tcPr>
                    <w:tcW w:w="300" w:type="pct"/>
                    <w:shd w:val="clear" w:color="auto" w:fill="FFFFFF"/>
                    <w:tcMar>
                      <w:top w:w="0" w:type="dxa"/>
                      <w:left w:w="108" w:type="dxa"/>
                      <w:bottom w:w="0" w:type="dxa"/>
                      <w:right w:w="108" w:type="dxa"/>
                    </w:tcMar>
                    <w:hideMark/>
                  </w:tcPr>
                  <w:p>
                    <w:pPr>
                      <w:spacing w:line="276" w:lineRule="atLeast"/>
                      <w:jc w:val="center"/>
                    </w:pPr>
                    <w:r>
                      <w:rPr>
                        <w:sz w:val="20"/>
                      </w:rPr>
                      <w:t>skaičius</w:t>
                    </w:r>
                  </w:p>
                </w:tc>
                <w:tc>
                  <w:tcPr>
                    <w:tcW w:w="550" w:type="pct"/>
                    <w:shd w:val="clear" w:color="auto" w:fill="FFFFFF"/>
                    <w:tcMar>
                      <w:top w:w="0" w:type="dxa"/>
                      <w:left w:w="108" w:type="dxa"/>
                      <w:bottom w:w="0" w:type="dxa"/>
                      <w:right w:w="108" w:type="dxa"/>
                    </w:tcMar>
                    <w:hideMark/>
                  </w:tcPr>
                  <w:p>
                    <w:pPr>
                      <w:jc w:val="center"/>
                    </w:pPr>
                    <w:r>
                      <w:rPr>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P-12-003-03-04-03-15</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sz w:val="20"/>
                      </w:rPr>
                      <w:t>Įgyvendintos profesinio mokymo programos pameistrystės forma</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1 000 (2024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3 866</w:t>
                    </w:r>
                  </w:p>
                  <w:p>
                    <w:pPr>
                      <w:jc w:val="center"/>
                    </w:pPr>
                    <w:r>
                      <w:rPr>
                        <w:sz w:val="20"/>
                      </w:rPr>
                      <w:t>(2026</w:t>
                    </w:r>
                  </w:p>
                  <w:p>
                    <w:pPr>
                      <w:jc w:val="center"/>
                    </w:pPr>
                    <w:r>
                      <w:rPr>
                        <w:sz w:val="20"/>
                      </w:rPr>
                      <w:t>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P-12-003-03-04-03-16</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3 000 (2024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12 394</w:t>
                    </w:r>
                  </w:p>
                  <w:p>
                    <w:pPr>
                      <w:jc w:val="center"/>
                    </w:pPr>
                    <w:r>
                      <w:rPr>
                        <w:sz w:val="20"/>
                      </w:rPr>
                      <w:t>(2026</w:t>
                    </w:r>
                  </w:p>
                  <w:p>
                    <w:pPr>
                      <w:jc w:val="center"/>
                    </w:pPr>
                    <w:r>
                      <w:rPr>
                        <w:sz w:val="20"/>
                      </w:rPr>
                      <w:t>II ketv.)</w:t>
                    </w:r>
                  </w:p>
                  <w:p>
                    <w:pPr>
                      <w:ind w:firstLine="53"/>
                      <w:jc w:val="center"/>
                    </w:pP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P-12-003-03-04-03-17</w:t>
                    </w:r>
                  </w:p>
                  <w:p>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Pagal pagrindinio ir vidurinio ugdymo programas bendrojo ugdymo mokyklose besimokantys mokiniai, baigę pirminio profesinio mokymo programos modulius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1 500 (2024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4 900</w:t>
                    </w:r>
                  </w:p>
                  <w:p>
                    <w:pPr>
                      <w:jc w:val="center"/>
                    </w:pPr>
                    <w:r>
                      <w:rPr>
                        <w:sz w:val="20"/>
                      </w:rPr>
                      <w:t>(2026</w:t>
                    </w:r>
                  </w:p>
                  <w:p>
                    <w:pPr>
                      <w:jc w:val="center"/>
                    </w:pPr>
                    <w:r>
                      <w:rPr>
                        <w:sz w:val="20"/>
                      </w:rPr>
                      <w:t>II ketv.)</w:t>
                    </w:r>
                  </w:p>
                  <w:p>
                    <w:pPr>
                      <w:ind w:firstLine="53"/>
                      <w:jc w:val="center"/>
                    </w:pPr>
                  </w:p>
                </w:tc>
                <w:tc>
                  <w:tcPr>
                    <w:tcW w:w="900" w:type="pct"/>
                    <w:shd w:val="clear" w:color="auto" w:fill="FFFFFF"/>
                    <w:tcMar>
                      <w:top w:w="0" w:type="dxa"/>
                      <w:left w:w="108" w:type="dxa"/>
                      <w:bottom w:w="0" w:type="dxa"/>
                      <w:right w:w="108" w:type="dxa"/>
                    </w:tcMar>
                    <w:hideMark/>
                  </w:tcPr>
                  <w:p>
                    <w:pPr>
                      <w:spacing w:line="276" w:lineRule="atLeast"/>
                      <w:ind w:firstLine="53"/>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P-12-003-03-04-03-18</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sz w:val="20"/>
                      </w:rPr>
                      <w:t>Paramą gavę pagrindinio ugdymo programų mokiniai, besimokantys pagal eksperimentines profesinio mokymo programas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1 300 (2024</w:t>
                    </w:r>
                  </w:p>
                  <w:p>
                    <w:pPr>
                      <w:jc w:val="center"/>
                    </w:pPr>
                    <w:r>
                      <w:rPr>
                        <w:sz w:val="20"/>
                      </w:rPr>
                      <w:t>II ketv.)</w:t>
                    </w:r>
                  </w:p>
                </w:tc>
                <w:tc>
                  <w:tcPr>
                    <w:tcW w:w="450" w:type="pct"/>
                    <w:shd w:val="clear" w:color="auto" w:fill="FFFFFF"/>
                    <w:tcMar>
                      <w:top w:w="0" w:type="dxa"/>
                      <w:left w:w="108" w:type="dxa"/>
                      <w:bottom w:w="0" w:type="dxa"/>
                      <w:right w:w="108" w:type="dxa"/>
                    </w:tcMar>
                    <w:hideMark/>
                  </w:tcPr>
                  <w:p>
                    <w:pPr>
                      <w:jc w:val="center"/>
                    </w:pPr>
                    <w:r>
                      <w:rPr>
                        <w:sz w:val="20"/>
                      </w:rPr>
                      <w:t>4 000</w:t>
                    </w:r>
                  </w:p>
                  <w:p>
                    <w:pPr>
                      <w:jc w:val="center"/>
                    </w:pPr>
                    <w:r>
                      <w:rPr>
                        <w:sz w:val="20"/>
                      </w:rPr>
                      <w:t>(2026</w:t>
                    </w:r>
                  </w:p>
                  <w:p>
                    <w:pPr>
                      <w:jc w:val="center"/>
                    </w:pPr>
                    <w:r>
                      <w:rPr>
                        <w:sz w:val="20"/>
                      </w:rPr>
                      <w:t>II ketv.)</w:t>
                    </w:r>
                  </w:p>
                  <w:p>
                    <w:pPr>
                      <w:ind w:firstLine="53"/>
                      <w:jc w:val="center"/>
                    </w:pP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rPr>
                        <w:highlight w:val="magenta"/>
                      </w:rPr>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pPr/>
                    <w:r>
                      <w:rPr>
                        <w:color w:val="000000"/>
                        <w:sz w:val="20"/>
                      </w:rPr>
                      <w:t>Švietimo ar mokymo veiklos dalyvių skaičius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n/a</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pPr/>
                    <w:r>
                      <w:rPr>
                        <w:sz w:val="20"/>
                      </w:rPr>
                      <w:t>Švietimo ar mokymo veiklos dalyvių skaičius, iš jų švietimo ar mokymo veiklos (išskyrus skaitmeninių įgūdžių ugdymą) dalyvių skaičius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n/a</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pPr/>
                    <w:r>
                      <w:rPr>
                        <w:sz w:val="20"/>
                      </w:rPr>
                      <w:t>Švietimo ar mokymo veiklos dalyvių skaičius, iš jų skaitmeninių įgūdžių ugdymo veiklos dalyvių skaičius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n/a</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Rezultato</w:t>
                    </w:r>
                  </w:p>
                </w:tc>
                <w:tc>
                  <w:tcPr>
                    <w:tcW w:w="950" w:type="pct"/>
                    <w:shd w:val="clear" w:color="auto" w:fill="FFFFFF"/>
                    <w:tcMar>
                      <w:top w:w="0" w:type="dxa"/>
                      <w:left w:w="108" w:type="dxa"/>
                      <w:bottom w:w="0" w:type="dxa"/>
                      <w:right w:w="108" w:type="dxa"/>
                    </w:tcMar>
                    <w:hideMark/>
                  </w:tcPr>
                  <w:p>
                    <w:pPr/>
                    <w:r>
                      <w:rPr>
                        <w:color w:val="000000"/>
                        <w:sz w:val="20"/>
                      </w:rPr>
                      <w:t>Paramą gaunančių 15–29 metų jaunuolių skaičius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n/a</w:t>
                    </w:r>
                  </w:p>
                  <w:p>
                    <w:pPr>
                      <w:ind w:firstLine="53"/>
                      <w:jc w:val="center"/>
                    </w:pP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P-12-003-03-04-03-23</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Investicijų į profesinio mokymo infrastruktūrą poreikio analizė</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vienetai</w:t>
                    </w:r>
                  </w:p>
                </w:tc>
                <w:tc>
                  <w:tcPr>
                    <w:tcW w:w="550" w:type="pct"/>
                    <w:shd w:val="clear" w:color="auto" w:fill="FFFFFF"/>
                    <w:tcMar>
                      <w:top w:w="0" w:type="dxa"/>
                      <w:left w:w="108" w:type="dxa"/>
                      <w:bottom w:w="0" w:type="dxa"/>
                      <w:right w:w="108" w:type="dxa"/>
                    </w:tcMar>
                    <w:hideMark/>
                  </w:tcPr>
                  <w:p>
                    <w:pPr>
                      <w:jc w:val="center"/>
                    </w:pPr>
                    <w:r>
                      <w:rPr>
                        <w:color w:val="000000"/>
                        <w:sz w:val="20"/>
                      </w:rPr>
                      <w:t>0</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(2024</w:t>
                    </w:r>
                  </w:p>
                  <w:p>
                    <w:pPr>
                      <w:jc w:val="center"/>
                    </w:pPr>
                    <w:r>
                      <w:rPr>
                        <w:sz w:val="20"/>
                      </w:rPr>
                      <w:t>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50" w:type="pct"/>
                    <w:shd w:val="clear" w:color="auto" w:fill="FFFFFF"/>
                    <w:tcMar>
                      <w:top w:w="0" w:type="dxa"/>
                      <w:left w:w="108" w:type="dxa"/>
                      <w:bottom w:w="0" w:type="dxa"/>
                      <w:right w:w="108" w:type="dxa"/>
                    </w:tcMar>
                    <w:hideMark/>
                  </w:tcPr>
                  <w:p>
                    <w:pPr>
                      <w:spacing w:line="276" w:lineRule="atLeast"/>
                    </w:pPr>
                    <w:r>
                      <w:rPr>
                        <w:sz w:val="20"/>
                      </w:rPr>
                      <w:t>P-12-003-03-04-03-24</w:t>
                    </w: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color w:val="000000"/>
                        <w:sz w:val="20"/>
                      </w:rPr>
                      <w:t>Įsigalioję Profesinio mokymo įstatymo pakeitimai dėl priėmimo į valstybės finansuojamas vietas profesiniame mokyme planavimo metodikos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skaičius</w:t>
                    </w:r>
                  </w:p>
                </w:tc>
                <w:tc>
                  <w:tcPr>
                    <w:tcW w:w="550" w:type="pct"/>
                    <w:shd w:val="clear" w:color="auto" w:fill="FFFFFF"/>
                    <w:tcMar>
                      <w:top w:w="0" w:type="dxa"/>
                      <w:left w:w="108" w:type="dxa"/>
                      <w:bottom w:w="0" w:type="dxa"/>
                      <w:right w:w="108" w:type="dxa"/>
                    </w:tcMar>
                    <w:hideMark/>
                  </w:tcPr>
                  <w:p>
                    <w:pPr>
                      <w:jc w:val="center"/>
                    </w:pPr>
                    <w:r>
                      <w:rPr>
                        <w:color w:val="000000"/>
                        <w:sz w:val="20"/>
                      </w:rPr>
                      <w:t>n/a</w:t>
                    </w:r>
                  </w:p>
                </w:tc>
                <w:tc>
                  <w:tcPr>
                    <w:tcW w:w="550" w:type="pct"/>
                    <w:shd w:val="clear" w:color="auto" w:fill="FFFFFF"/>
                    <w:tcMar>
                      <w:top w:w="0" w:type="dxa"/>
                      <w:left w:w="108" w:type="dxa"/>
                      <w:bottom w:w="0" w:type="dxa"/>
                      <w:right w:w="108" w:type="dxa"/>
                    </w:tcMar>
                    <w:hideMark/>
                  </w:tcPr>
                  <w:p>
                    <w:pPr>
                      <w:jc w:val="center"/>
                    </w:pPr>
                    <w:r>
                      <w:rPr>
                        <w:sz w:val="20"/>
                      </w:rPr>
                      <w:t>n/a</w:t>
                    </w:r>
                  </w:p>
                </w:tc>
                <w:tc>
                  <w:tcPr>
                    <w:tcW w:w="450" w:type="pct"/>
                    <w:shd w:val="clear" w:color="auto" w:fill="FFFFFF"/>
                    <w:tcMar>
                      <w:top w:w="0" w:type="dxa"/>
                      <w:left w:w="108" w:type="dxa"/>
                      <w:bottom w:w="0" w:type="dxa"/>
                      <w:right w:w="108" w:type="dxa"/>
                    </w:tcMar>
                    <w:hideMark/>
                  </w:tcPr>
                  <w:p>
                    <w:pPr>
                      <w:jc w:val="center"/>
                    </w:pPr>
                    <w:r>
                      <w:rPr>
                        <w:sz w:val="20"/>
                      </w:rPr>
                      <w:t>1</w:t>
                    </w:r>
                  </w:p>
                  <w:p>
                    <w:pPr>
                      <w:jc w:val="center"/>
                    </w:pPr>
                    <w:r>
                      <w:rPr>
                        <w:sz w:val="20"/>
                      </w:rPr>
                      <w:t>(2022 m. II ketv.)</w:t>
                    </w:r>
                  </w:p>
                </w:tc>
                <w:tc>
                  <w:tcPr>
                    <w:tcW w:w="900"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50" w:type="pct"/>
                    <w:shd w:val="clear" w:color="auto" w:fill="FFFFFF"/>
                    <w:tcMar>
                      <w:top w:w="0" w:type="dxa"/>
                      <w:left w:w="108" w:type="dxa"/>
                      <w:bottom w:w="0" w:type="dxa"/>
                      <w:right w:w="108" w:type="dxa"/>
                    </w:tcMar>
                    <w:hideMark/>
                  </w:tcPr>
                  <w:p>
                    <w:pPr>
                      <w:spacing w:line="276" w:lineRule="atLeast"/>
                      <w:rPr>
                        <w:sz w:val="20"/>
                      </w:rPr>
                    </w:pPr>
                    <w:r>
                      <w:rPr>
                        <w:sz w:val="20"/>
                      </w:rPr>
                      <w:t>P-12-003-03-04-03-25 </w:t>
                    </w:r>
                  </w:p>
                  <w:p>
                    <w:pPr>
                      <w:spacing w:line="276" w:lineRule="atLeast"/>
                    </w:pPr>
                  </w:p>
                </w:tc>
                <w:tc>
                  <w:tcPr>
                    <w:tcW w:w="450" w:type="pct"/>
                    <w:shd w:val="clear" w:color="auto" w:fill="FFFFFF"/>
                    <w:tcMar>
                      <w:top w:w="0" w:type="dxa"/>
                      <w:left w:w="108" w:type="dxa"/>
                      <w:bottom w:w="0" w:type="dxa"/>
                      <w:right w:w="108" w:type="dxa"/>
                    </w:tcMar>
                    <w:hideMark/>
                  </w:tcPr>
                  <w:p>
                    <w:pPr>
                      <w:spacing w:line="276" w:lineRule="atLeast"/>
                      <w:jc w:val="center"/>
                    </w:pPr>
                    <w:r>
                      <w:rPr>
                        <w:sz w:val="20"/>
                      </w:rPr>
                      <w:t>Produkto</w:t>
                    </w:r>
                  </w:p>
                </w:tc>
                <w:tc>
                  <w:tcPr>
                    <w:tcW w:w="950" w:type="pct"/>
                    <w:shd w:val="clear" w:color="auto" w:fill="FFFFFF"/>
                    <w:tcMar>
                      <w:top w:w="0" w:type="dxa"/>
                      <w:left w:w="108" w:type="dxa"/>
                      <w:bottom w:w="0" w:type="dxa"/>
                      <w:right w:w="108" w:type="dxa"/>
                    </w:tcMar>
                    <w:hideMark/>
                  </w:tcPr>
                  <w:p>
                    <w:pPr/>
                    <w:r>
                      <w:rPr>
                        <w:sz w:val="20"/>
                      </w:rPr>
                      <w:t>Paramą gavę pagrindinio ugdymo programų mokiniai, besimokantys pagal eksperimentines profesinio mokymo programas</w:t>
                    </w:r>
                  </w:p>
                </w:tc>
                <w:tc>
                  <w:tcPr>
                    <w:tcW w:w="300"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550" w:type="pct"/>
                    <w:shd w:val="clear" w:color="auto" w:fill="FFFFFF"/>
                    <w:tcMar>
                      <w:top w:w="0" w:type="dxa"/>
                      <w:left w:w="108" w:type="dxa"/>
                      <w:bottom w:w="0" w:type="dxa"/>
                      <w:right w:w="108" w:type="dxa"/>
                    </w:tcMar>
                    <w:hideMark/>
                  </w:tcPr>
                  <w:p>
                    <w:pPr>
                      <w:jc w:val="center"/>
                    </w:pPr>
                    <w:r>
                      <w:rPr>
                        <w:color w:val="000000"/>
                        <w:sz w:val="20"/>
                      </w:rPr>
                      <w:t>0</w:t>
                    </w:r>
                  </w:p>
                  <w:p>
                    <w:pPr>
                      <w:jc w:val="center"/>
                    </w:pPr>
                    <w:r>
                      <w:rPr>
                        <w:sz w:val="20"/>
                      </w:rPr>
                      <w:t>(2021)</w:t>
                    </w:r>
                  </w:p>
                </w:tc>
                <w:tc>
                  <w:tcPr>
                    <w:tcW w:w="550" w:type="pct"/>
                    <w:shd w:val="clear" w:color="auto" w:fill="FFFFFF"/>
                    <w:tcMar>
                      <w:top w:w="0" w:type="dxa"/>
                      <w:left w:w="108" w:type="dxa"/>
                      <w:bottom w:w="0" w:type="dxa"/>
                      <w:right w:w="108" w:type="dxa"/>
                    </w:tcMar>
                    <w:hideMark/>
                  </w:tcPr>
                  <w:p>
                    <w:pPr>
                      <w:jc w:val="center"/>
                    </w:pPr>
                    <w:r>
                      <w:rPr>
                        <w:sz w:val="20"/>
                      </w:rPr>
                      <w:t>0</w:t>
                    </w:r>
                  </w:p>
                  <w:p>
                    <w:pPr>
                      <w:jc w:val="center"/>
                    </w:pPr>
                    <w:r>
                      <w:rPr>
                        <w:sz w:val="20"/>
                      </w:rPr>
                      <w:t>(2024)</w:t>
                    </w:r>
                  </w:p>
                </w:tc>
                <w:tc>
                  <w:tcPr>
                    <w:tcW w:w="450" w:type="pct"/>
                    <w:shd w:val="clear" w:color="auto" w:fill="FFFFFF"/>
                    <w:tcMar>
                      <w:top w:w="0" w:type="dxa"/>
                      <w:left w:w="108" w:type="dxa"/>
                      <w:bottom w:w="0" w:type="dxa"/>
                      <w:right w:w="108" w:type="dxa"/>
                    </w:tcMar>
                    <w:hideMark/>
                  </w:tcPr>
                  <w:p>
                    <w:pPr>
                      <w:jc w:val="center"/>
                    </w:pPr>
                    <w:r>
                      <w:rPr>
                        <w:sz w:val="20"/>
                      </w:rPr>
                      <w:t>1 050</w:t>
                    </w:r>
                  </w:p>
                  <w:p>
                    <w:pPr>
                      <w:jc w:val="center"/>
                    </w:pPr>
                    <w:r>
                      <w:rPr>
                        <w:sz w:val="20"/>
                      </w:rPr>
                      <w:t>(2026</w:t>
                    </w:r>
                  </w:p>
                  <w:p>
                    <w:pPr>
                      <w:jc w:val="center"/>
                    </w:pPr>
                    <w:r>
                      <w:rPr>
                        <w:sz w:val="20"/>
                      </w:rPr>
                      <w:t>III ketv.)</w:t>
                    </w:r>
                  </w:p>
                  <w:p>
                    <w:pPr>
                      <w:ind w:firstLine="53"/>
                      <w:jc w:val="center"/>
                    </w:pPr>
                  </w:p>
                </w:tc>
                <w:tc>
                  <w:tcPr>
                    <w:tcW w:w="900"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bl>
            <w:sdt>
              <w:sdtPr>
                <w:alias w:val="pastraipa"/>
                <w:tag w:val="part_ed174c2ac7f448ab9c21042858670472"/>
                <w:lock w:val="sdtLocked"/>
                <w:richText/>
              </w:sdtPr>
              <w:sdtContent>
                <w:p>
                  <w:pPr>
                    <w:jc w:val="both"/>
                    <w:rPr>
                      <w:b/>
                      <w:bCs/>
                      <w:color w:val="000000"/>
                      <w:sz w:val="22"/>
                      <w:szCs w:val="22"/>
                    </w:rPr>
                  </w:pPr>
                  <w:sdt>
                    <w:sdtPr>
                      <w:alias w:val="Pavadinimas"/>
                      <w:tag w:val="title_ed174c2ac7f448ab9c21042858670472"/>
                      <w:lock w:val="sdtLocked"/>
                      <w:richText/>
                    </w:sdtPr>
                    <w:sdtContent>
                      <w:r>
                        <w:rPr>
                          <w:b/>
                          <w:bCs/>
                          <w:color w:val="000000"/>
                          <w:sz w:val="22"/>
                          <w:szCs w:val="22"/>
                        </w:rPr>
                        <w:t>Pastaba.</w:t>
                      </w:r>
                    </w:sdtContent>
                  </w:sdt>
                </w:p>
                <w:p>
                  <w:pPr>
                    <w:jc w:val="both"/>
                    <w:rPr>
                      <w:color w:val="000000"/>
                      <w:sz w:val="22"/>
                      <w:szCs w:val="22"/>
                    </w:rPr>
                  </w:pPr>
                  <w:r>
                    <w:rPr>
                      <w:color w:val="000000"/>
                      <w:sz w:val="22"/>
                      <w:szCs w:val="22"/>
                    </w:rPr>
                    <w:t>Rodikliai – „Švietimo ar mokymo veiklos dalyvių skaičius, iš jų švietimo ar mokymo veiklos (išskyrus skaitmeninių įgūdžių ugdymą) dalyvių skaičius“, „Švietimo ar mokymo veiklos dalyvių skaičius“ ir „Švietimo ar mokymo veiklos dalyvių skaičius, iš jų skaitmeninių įgūdžių ugdymo veiklos dalyvių skaičius ir paramą gaunančių 15–29 metų jaunuolių skaičius“ yra Ekonomikos gaivinimo ir atsparumo didinimo plano „Naujos kartos Lietuva“ bendrieji rodikliai, kurie neturi siektinų reikšmių. Duomenys bus renkami iš susijusių reformų ir investicijų rodiklių. Ataskaitinis laikotarpis iki 2026 m. IV ketv.</w:t>
                  </w:r>
                </w:p>
                <w:p>
                  <w:pPr>
                    <w:ind w:firstLine="1276"/>
                    <w:jc w:val="both"/>
                    <w:rPr>
                      <w:sz w:val="16"/>
                      <w:szCs w:val="16"/>
                    </w:rPr>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008acb28e990463d9d4d57f3b1c20525"/>
            <w:lock w:val="sdtLocked"/>
            <w:richText/>
          </w:sdtPr>
          <w:sdtContent>
            <w:p>
              <w:pPr>
                <w:jc w:val="center"/>
                <w:rPr>
                  <w:b/>
                  <w:bCs/>
                </w:rPr>
              </w:pPr>
              <w:sdt>
                <w:sdtPr>
                  <w:alias w:val="Numeris"/>
                  <w:tag w:val="nr_008acb28e990463d9d4d57f3b1c20525"/>
                  <w:lock w:val="sdtLocked"/>
                  <w:richText/>
                </w:sdtPr>
                <w:sdtContent>
                  <w:r>
                    <w:rPr>
                      <w:b/>
                      <w:bCs/>
                    </w:rPr>
                    <w:t>III</w:t>
                  </w:r>
                </w:sdtContent>
              </w:sdt>
              <w:r>
                <w:rPr>
                  <w:b/>
                  <w:bCs/>
                </w:rPr>
                <w:t xml:space="preserve"> SKYRIUS</w:t>
              </w:r>
            </w:p>
            <w:p>
              <w:pPr>
                <w:jc w:val="center"/>
                <w:rPr>
                  <w:b/>
                  <w:bCs/>
                </w:rPr>
              </w:pPr>
              <w:sdt>
                <w:sdtPr>
                  <w:alias w:val="Pavadinimas"/>
                  <w:tag w:val="title_008acb28e990463d9d4d57f3b1c20525"/>
                  <w:lock w:val="sdtLocked"/>
                  <w:richText/>
                </w:sdtPr>
                <w:sdtContent>
                  <w:r>
                    <w:rPr>
                      <w:b/>
                      <w:bCs/>
                    </w:rPr>
                    <w:t>PLĖTROS PROGRAMOS PAŽANGOS PRIEMONĖS VEIKLŲ SUVESTINĖ</w:t>
                  </w:r>
                </w:sdtContent>
              </w:sdt>
            </w:p>
            <w:p>
              <w:pPr>
                <w:ind w:left="1636"/>
                <w:rPr>
                  <w:b/>
                  <w:bCs/>
                </w:rPr>
              </w:pPr>
            </w:p>
            <w:sdt>
              <w:sdtPr>
                <w:alias w:val="pastraipa"/>
                <w:tag w:val="part_ffd776b33f32413693c8b9a0646bd730"/>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8"/>
                    <w:gridCol w:w="1008"/>
                    <w:gridCol w:w="1124"/>
                    <w:gridCol w:w="754"/>
                    <w:gridCol w:w="1124"/>
                    <w:gridCol w:w="1308"/>
                    <w:gridCol w:w="1048"/>
                    <w:gridCol w:w="1115"/>
                    <w:gridCol w:w="1858"/>
                    <w:gridCol w:w="1305"/>
                    <w:gridCol w:w="1302"/>
                    <w:gridCol w:w="1308"/>
                  </w:tblGrid>
                  <w:tr>
                    <w:trPr>
                      <w:trHeight w:val="1425"/>
                    </w:trPr>
                    <w:tc>
                      <w:tcPr>
                        <w:tcW w:w="449" w:type="pct"/>
                        <w:shd w:val="clear" w:color="auto" w:fill="auto"/>
                      </w:tcPr>
                      <w:p>
                        <w:pPr>
                          <w:ind w:left="324" w:right="-57"/>
                          <w:jc w:val="center"/>
                          <w:rPr>
                            <w:b/>
                            <w:sz w:val="20"/>
                          </w:rPr>
                        </w:pPr>
                        <w:r>
                          <w:rPr>
                            <w:b/>
                            <w:sz w:val="20"/>
                          </w:rPr>
                          <w:t>Veikla</w:t>
                        </w:r>
                      </w:p>
                    </w:tc>
                    <w:tc>
                      <w:tcPr>
                        <w:tcW w:w="346" w:type="pct"/>
                        <w:shd w:val="clear" w:color="auto" w:fill="auto"/>
                      </w:tcPr>
                      <w:p>
                        <w:pPr>
                          <w:ind w:left="-57" w:right="-57"/>
                          <w:jc w:val="center"/>
                          <w:rPr>
                            <w:b/>
                            <w:sz w:val="20"/>
                          </w:rPr>
                        </w:pPr>
                        <w:r>
                          <w:rPr>
                            <w:b/>
                            <w:sz w:val="20"/>
                          </w:rPr>
                          <w:t>Veiklos (poveiklės, projekto) tipas</w:t>
                        </w:r>
                      </w:p>
                    </w:tc>
                    <w:tc>
                      <w:tcPr>
                        <w:tcW w:w="386" w:type="pct"/>
                        <w:shd w:val="clear" w:color="auto" w:fill="auto"/>
                      </w:tcPr>
                      <w:p>
                        <w:pPr>
                          <w:ind w:left="-57" w:right="-57"/>
                          <w:jc w:val="center"/>
                          <w:rPr>
                            <w:b/>
                            <w:sz w:val="20"/>
                          </w:rPr>
                        </w:pPr>
                        <w:r>
                          <w:rPr>
                            <w:b/>
                            <w:sz w:val="20"/>
                          </w:rPr>
                          <w:t>Galimi pareiškėjai</w:t>
                        </w:r>
                      </w:p>
                    </w:tc>
                    <w:tc>
                      <w:tcPr>
                        <w:tcW w:w="259" w:type="pct"/>
                        <w:shd w:val="clear" w:color="auto" w:fill="auto"/>
                      </w:tcPr>
                      <w:p>
                        <w:pPr>
                          <w:ind w:left="-57" w:right="-57"/>
                          <w:jc w:val="center"/>
                          <w:rPr>
                            <w:b/>
                            <w:sz w:val="20"/>
                          </w:rPr>
                        </w:pPr>
                        <w:r>
                          <w:rPr>
                            <w:b/>
                            <w:sz w:val="20"/>
                          </w:rPr>
                          <w:t xml:space="preserve">Projektų </w:t>
                        </w:r>
                      </w:p>
                      <w:p>
                        <w:pPr>
                          <w:ind w:left="-57" w:right="-57"/>
                          <w:jc w:val="center"/>
                          <w:rPr>
                            <w:b/>
                            <w:sz w:val="20"/>
                          </w:rPr>
                        </w:pPr>
                        <w:r>
                          <w:rPr>
                            <w:b/>
                            <w:sz w:val="20"/>
                          </w:rPr>
                          <w:t>atrankos būdas</w:t>
                        </w:r>
                      </w:p>
                    </w:tc>
                    <w:tc>
                      <w:tcPr>
                        <w:tcW w:w="386" w:type="pct"/>
                        <w:shd w:val="clear" w:color="auto" w:fill="auto"/>
                      </w:tcPr>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449" w:type="pct"/>
                        <w:shd w:val="clear" w:color="auto" w:fill="auto"/>
                      </w:tcPr>
                      <w:p>
                        <w:pPr>
                          <w:ind w:left="-57" w:right="-57"/>
                          <w:jc w:val="center"/>
                          <w:rPr>
                            <w:b/>
                            <w:sz w:val="20"/>
                          </w:rPr>
                        </w:pPr>
                        <w:r>
                          <w:rPr>
                            <w:b/>
                            <w:sz w:val="20"/>
                          </w:rPr>
                          <w:t>Finansavimo forma</w:t>
                        </w:r>
                      </w:p>
                    </w:tc>
                    <w:tc>
                      <w:tcPr>
                        <w:tcW w:w="360" w:type="pct"/>
                        <w:shd w:val="clear" w:color="auto" w:fill="auto"/>
                      </w:tcPr>
                      <w:p>
                        <w:pPr>
                          <w:ind w:left="-57" w:right="-57"/>
                          <w:jc w:val="center"/>
                          <w:rPr>
                            <w:b/>
                            <w:sz w:val="20"/>
                          </w:rPr>
                        </w:pPr>
                        <w:r>
                          <w:rPr>
                            <w:b/>
                            <w:sz w:val="20"/>
                          </w:rPr>
                          <w:t>Finansavimo suma (tūkst. eurų)</w:t>
                        </w:r>
                      </w:p>
                    </w:tc>
                    <w:tc>
                      <w:tcPr>
                        <w:tcW w:w="383" w:type="pct"/>
                        <w:shd w:val="clear" w:color="auto" w:fill="auto"/>
                      </w:tcPr>
                      <w:p>
                        <w:pPr>
                          <w:ind w:left="-57" w:right="-57"/>
                          <w:jc w:val="center"/>
                          <w:rPr>
                            <w:b/>
                            <w:sz w:val="20"/>
                            <w:vertAlign w:val="superscript"/>
                          </w:rPr>
                        </w:pPr>
                        <w:r>
                          <w:rPr>
                            <w:b/>
                            <w:sz w:val="20"/>
                          </w:rPr>
                          <w:t>Finansavimo šaltinis</w:t>
                        </w:r>
                        <w:r>
                          <w:rPr>
                            <w:b/>
                            <w:sz w:val="20"/>
                            <w:vertAlign w:val="superscript"/>
                          </w:rPr>
                          <w:t xml:space="preserve"> </w:t>
                        </w:r>
                        <w:r>
                          <w:rPr>
                            <w:b/>
                            <w:sz w:val="20"/>
                          </w:rPr>
                          <w:t>(-iai)</w:t>
                        </w:r>
                      </w:p>
                    </w:tc>
                    <w:tc>
                      <w:tcPr>
                        <w:tcW w:w="638" w:type="pct"/>
                        <w:shd w:val="clear" w:color="auto" w:fill="auto"/>
                      </w:tcPr>
                      <w:p>
                        <w:pPr>
                          <w:ind w:left="-57" w:right="-57"/>
                          <w:jc w:val="center"/>
                          <w:rPr>
                            <w:b/>
                            <w:sz w:val="20"/>
                          </w:rPr>
                        </w:pPr>
                        <w:r>
                          <w:rPr>
                            <w:b/>
                            <w:sz w:val="20"/>
                          </w:rPr>
                          <w:t>Rodiklio pavadinimas ir tipas</w:t>
                        </w:r>
                      </w:p>
                    </w:tc>
                    <w:tc>
                      <w:tcPr>
                        <w:tcW w:w="448" w:type="pct"/>
                        <w:shd w:val="clear" w:color="auto" w:fill="auto"/>
                      </w:tcPr>
                      <w:p>
                        <w:pPr>
                          <w:ind w:left="-57" w:right="-57"/>
                          <w:jc w:val="center"/>
                          <w:rPr>
                            <w:b/>
                            <w:sz w:val="20"/>
                          </w:rPr>
                        </w:pPr>
                        <w:r>
                          <w:rPr>
                            <w:b/>
                            <w:sz w:val="20"/>
                          </w:rPr>
                          <w:t>Siektina galutinė rodiklio reikšmė</w:t>
                        </w:r>
                      </w:p>
                      <w:p>
                        <w:pPr>
                          <w:ind w:left="-57" w:right="-57"/>
                          <w:jc w:val="center"/>
                          <w:rPr>
                            <w:b/>
                            <w:sz w:val="20"/>
                          </w:rPr>
                        </w:pPr>
                        <w:r>
                          <w:rPr>
                            <w:b/>
                            <w:sz w:val="20"/>
                          </w:rPr>
                          <w:t>(ir metai)</w:t>
                        </w:r>
                      </w:p>
                    </w:tc>
                    <w:tc>
                      <w:tcPr>
                        <w:tcW w:w="447" w:type="pct"/>
                        <w:shd w:val="clear" w:color="auto" w:fill="auto"/>
                      </w:tcPr>
                      <w:p>
                        <w:pPr>
                          <w:ind w:left="-57" w:right="-57"/>
                          <w:jc w:val="center"/>
                          <w:rPr>
                            <w:b/>
                            <w:strike/>
                            <w:sz w:val="20"/>
                          </w:rPr>
                        </w:pPr>
                        <w:r>
                          <w:rPr>
                            <w:b/>
                            <w:sz w:val="20"/>
                          </w:rPr>
                          <w:t>Administruojan-čioji institucija</w:t>
                        </w:r>
                      </w:p>
                    </w:tc>
                    <w:tc>
                      <w:tcPr>
                        <w:tcW w:w="449" w:type="pct"/>
                        <w:shd w:val="clear" w:color="auto" w:fill="auto"/>
                      </w:tcPr>
                      <w:p>
                        <w:pPr>
                          <w:ind w:left="-57" w:right="-57"/>
                          <w:jc w:val="center"/>
                          <w:rPr>
                            <w:b/>
                            <w:sz w:val="20"/>
                          </w:rPr>
                        </w:pPr>
                        <w:r>
                          <w:rPr>
                            <w:b/>
                            <w:sz w:val="20"/>
                          </w:rPr>
                          <w:t>Dalyvaujanti institucija</w:t>
                        </w:r>
                      </w:p>
                    </w:tc>
                  </w:tr>
                  <w:tr>
                    <w:trPr>
                      <w:trHeight w:val="279"/>
                    </w:trPr>
                    <w:tc>
                      <w:tcPr>
                        <w:tcW w:w="449" w:type="pct"/>
                        <w:shd w:val="clear" w:color="auto" w:fill="auto"/>
                      </w:tcPr>
                      <w:p>
                        <w:pPr>
                          <w:ind w:left="-57" w:right="-57"/>
                          <w:jc w:val="center"/>
                          <w:rPr>
                            <w:b/>
                            <w:sz w:val="16"/>
                            <w:szCs w:val="16"/>
                          </w:rPr>
                        </w:pPr>
                        <w:r>
                          <w:rPr>
                            <w:b/>
                            <w:sz w:val="16"/>
                            <w:szCs w:val="16"/>
                          </w:rPr>
                          <w:t>1</w:t>
                        </w:r>
                      </w:p>
                    </w:tc>
                    <w:tc>
                      <w:tcPr>
                        <w:tcW w:w="346" w:type="pct"/>
                        <w:shd w:val="clear" w:color="auto" w:fill="auto"/>
                      </w:tcPr>
                      <w:p>
                        <w:pPr>
                          <w:ind w:left="-57" w:right="-57"/>
                          <w:jc w:val="center"/>
                          <w:rPr>
                            <w:b/>
                            <w:sz w:val="16"/>
                            <w:szCs w:val="16"/>
                          </w:rPr>
                        </w:pPr>
                        <w:r>
                          <w:rPr>
                            <w:b/>
                            <w:sz w:val="16"/>
                            <w:szCs w:val="16"/>
                          </w:rPr>
                          <w:t>2</w:t>
                        </w:r>
                      </w:p>
                    </w:tc>
                    <w:tc>
                      <w:tcPr>
                        <w:tcW w:w="386" w:type="pct"/>
                        <w:shd w:val="clear" w:color="auto" w:fill="auto"/>
                      </w:tcPr>
                      <w:p>
                        <w:pPr>
                          <w:ind w:left="-57" w:right="-57"/>
                          <w:jc w:val="center"/>
                          <w:rPr>
                            <w:b/>
                            <w:sz w:val="16"/>
                            <w:szCs w:val="16"/>
                          </w:rPr>
                        </w:pPr>
                        <w:r>
                          <w:rPr>
                            <w:b/>
                            <w:sz w:val="16"/>
                            <w:szCs w:val="16"/>
                          </w:rPr>
                          <w:t>3</w:t>
                        </w:r>
                      </w:p>
                    </w:tc>
                    <w:tc>
                      <w:tcPr>
                        <w:tcW w:w="259" w:type="pct"/>
                        <w:shd w:val="clear" w:color="auto" w:fill="auto"/>
                      </w:tcPr>
                      <w:p>
                        <w:pPr>
                          <w:ind w:left="-57" w:right="-57"/>
                          <w:jc w:val="center"/>
                          <w:rPr>
                            <w:b/>
                            <w:sz w:val="16"/>
                            <w:szCs w:val="16"/>
                          </w:rPr>
                        </w:pPr>
                        <w:r>
                          <w:rPr>
                            <w:b/>
                            <w:sz w:val="16"/>
                            <w:szCs w:val="16"/>
                          </w:rPr>
                          <w:t>4</w:t>
                        </w:r>
                      </w:p>
                    </w:tc>
                    <w:tc>
                      <w:tcPr>
                        <w:tcW w:w="386" w:type="pct"/>
                        <w:shd w:val="clear" w:color="auto" w:fill="auto"/>
                      </w:tcPr>
                      <w:p>
                        <w:pPr>
                          <w:ind w:left="-57" w:right="-57"/>
                          <w:jc w:val="center"/>
                          <w:rPr>
                            <w:b/>
                            <w:sz w:val="16"/>
                            <w:szCs w:val="16"/>
                          </w:rPr>
                        </w:pPr>
                        <w:r>
                          <w:rPr>
                            <w:b/>
                            <w:sz w:val="16"/>
                            <w:szCs w:val="16"/>
                          </w:rPr>
                          <w:t>5</w:t>
                        </w:r>
                      </w:p>
                    </w:tc>
                    <w:tc>
                      <w:tcPr>
                        <w:tcW w:w="449" w:type="pct"/>
                        <w:shd w:val="clear" w:color="auto" w:fill="auto"/>
                      </w:tcPr>
                      <w:p>
                        <w:pPr>
                          <w:ind w:left="-57" w:right="-57"/>
                          <w:jc w:val="center"/>
                          <w:rPr>
                            <w:b/>
                            <w:sz w:val="16"/>
                            <w:szCs w:val="16"/>
                          </w:rPr>
                        </w:pPr>
                        <w:r>
                          <w:rPr>
                            <w:b/>
                            <w:sz w:val="16"/>
                            <w:szCs w:val="16"/>
                          </w:rPr>
                          <w:t>6</w:t>
                        </w:r>
                      </w:p>
                    </w:tc>
                    <w:tc>
                      <w:tcPr>
                        <w:tcW w:w="360" w:type="pct"/>
                        <w:shd w:val="clear" w:color="auto" w:fill="auto"/>
                      </w:tcPr>
                      <w:p>
                        <w:pPr>
                          <w:ind w:left="-57" w:right="-57"/>
                          <w:jc w:val="center"/>
                          <w:rPr>
                            <w:b/>
                            <w:sz w:val="16"/>
                            <w:szCs w:val="16"/>
                          </w:rPr>
                        </w:pPr>
                        <w:r>
                          <w:rPr>
                            <w:b/>
                            <w:sz w:val="16"/>
                            <w:szCs w:val="16"/>
                          </w:rPr>
                          <w:t>7</w:t>
                        </w:r>
                      </w:p>
                    </w:tc>
                    <w:tc>
                      <w:tcPr>
                        <w:tcW w:w="383" w:type="pct"/>
                        <w:shd w:val="clear" w:color="auto" w:fill="auto"/>
                      </w:tcPr>
                      <w:p>
                        <w:pPr>
                          <w:ind w:left="-57" w:right="-57"/>
                          <w:jc w:val="center"/>
                          <w:rPr>
                            <w:b/>
                            <w:sz w:val="16"/>
                            <w:szCs w:val="16"/>
                          </w:rPr>
                        </w:pPr>
                        <w:r>
                          <w:rPr>
                            <w:b/>
                            <w:sz w:val="16"/>
                            <w:szCs w:val="16"/>
                          </w:rPr>
                          <w:t>8</w:t>
                        </w:r>
                      </w:p>
                    </w:tc>
                    <w:tc>
                      <w:tcPr>
                        <w:tcW w:w="638" w:type="pct"/>
                        <w:shd w:val="clear" w:color="auto" w:fill="auto"/>
                      </w:tcPr>
                      <w:p>
                        <w:pPr>
                          <w:ind w:left="-57" w:right="-57"/>
                          <w:jc w:val="center"/>
                          <w:rPr>
                            <w:b/>
                            <w:sz w:val="16"/>
                            <w:szCs w:val="16"/>
                          </w:rPr>
                        </w:pPr>
                        <w:r>
                          <w:rPr>
                            <w:b/>
                            <w:sz w:val="16"/>
                            <w:szCs w:val="16"/>
                          </w:rPr>
                          <w:t>9</w:t>
                        </w:r>
                      </w:p>
                    </w:tc>
                    <w:tc>
                      <w:tcPr>
                        <w:tcW w:w="448" w:type="pct"/>
                        <w:shd w:val="clear" w:color="auto" w:fill="auto"/>
                      </w:tcPr>
                      <w:p>
                        <w:pPr>
                          <w:ind w:left="-57" w:right="-57"/>
                          <w:jc w:val="center"/>
                          <w:rPr>
                            <w:b/>
                            <w:sz w:val="16"/>
                            <w:szCs w:val="16"/>
                          </w:rPr>
                        </w:pPr>
                        <w:r>
                          <w:rPr>
                            <w:b/>
                            <w:sz w:val="16"/>
                            <w:szCs w:val="16"/>
                          </w:rPr>
                          <w:t>10</w:t>
                        </w:r>
                      </w:p>
                    </w:tc>
                    <w:tc>
                      <w:tcPr>
                        <w:tcW w:w="447" w:type="pct"/>
                        <w:shd w:val="clear" w:color="auto" w:fill="auto"/>
                      </w:tcPr>
                      <w:p>
                        <w:pPr>
                          <w:ind w:left="-57" w:right="-57"/>
                          <w:jc w:val="center"/>
                          <w:rPr>
                            <w:b/>
                            <w:sz w:val="16"/>
                            <w:szCs w:val="16"/>
                          </w:rPr>
                        </w:pPr>
                        <w:r>
                          <w:rPr>
                            <w:b/>
                            <w:sz w:val="16"/>
                            <w:szCs w:val="16"/>
                          </w:rPr>
                          <w:t>11</w:t>
                        </w:r>
                      </w:p>
                    </w:tc>
                    <w:tc>
                      <w:tcPr>
                        <w:tcW w:w="449" w:type="pct"/>
                        <w:shd w:val="clear" w:color="auto" w:fill="auto"/>
                      </w:tcPr>
                      <w:p>
                        <w:pPr>
                          <w:ind w:left="-57" w:right="-57"/>
                          <w:jc w:val="center"/>
                          <w:rPr>
                            <w:b/>
                            <w:sz w:val="16"/>
                            <w:szCs w:val="16"/>
                          </w:rPr>
                        </w:pPr>
                        <w:r>
                          <w:rPr>
                            <w:b/>
                            <w:sz w:val="16"/>
                            <w:szCs w:val="16"/>
                          </w:rPr>
                          <w:t>12</w:t>
                        </w:r>
                      </w:p>
                    </w:tc>
                  </w:tr>
                  <w:tr>
                    <w:trPr>
                      <w:trHeight w:val="458"/>
                    </w:trPr>
                    <w:tc>
                      <w:tcPr>
                        <w:tcW w:w="449"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46" w:type="pct"/>
                        <w:vMerge w:val="restart"/>
                      </w:tcPr>
                      <w:p>
                        <w:pPr>
                          <w:ind w:left="-57" w:right="-57"/>
                          <w:jc w:val="center"/>
                          <w:rPr>
                            <w:sz w:val="18"/>
                            <w:szCs w:val="18"/>
                          </w:rPr>
                        </w:pPr>
                        <w:r>
                          <w:rPr>
                            <w:sz w:val="18"/>
                            <w:szCs w:val="18"/>
                          </w:rPr>
                          <w:t>R</w:t>
                        </w:r>
                      </w:p>
                    </w:tc>
                    <w:tc>
                      <w:tcPr>
                        <w:tcW w:w="386" w:type="pct"/>
                        <w:vMerge w:val="restart"/>
                      </w:tcPr>
                      <w:p>
                        <w:pPr>
                          <w:ind w:left="-57" w:right="-57"/>
                          <w:jc w:val="center"/>
                          <w:rPr>
                            <w:sz w:val="18"/>
                            <w:szCs w:val="18"/>
                          </w:rPr>
                        </w:pPr>
                        <w:r>
                          <w:rPr>
                            <w:sz w:val="18"/>
                            <w:szCs w:val="18"/>
                          </w:rPr>
                          <w:t>-</w:t>
                        </w:r>
                      </w:p>
                    </w:tc>
                    <w:tc>
                      <w:tcPr>
                        <w:tcW w:w="259" w:type="pct"/>
                        <w:vMerge w:val="restart"/>
                      </w:tcPr>
                      <w:p>
                        <w:pPr>
                          <w:ind w:left="-57" w:right="-57"/>
                          <w:jc w:val="center"/>
                          <w:rPr>
                            <w:sz w:val="18"/>
                            <w:szCs w:val="18"/>
                          </w:rPr>
                        </w:pPr>
                        <w:r>
                          <w:rPr>
                            <w:sz w:val="18"/>
                            <w:szCs w:val="18"/>
                          </w:rPr>
                          <w:t>-</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w:t>
                        </w:r>
                      </w:p>
                    </w:tc>
                    <w:tc>
                      <w:tcPr>
                        <w:tcW w:w="360" w:type="pct"/>
                        <w:vMerge w:val="restart"/>
                      </w:tcPr>
                      <w:p>
                        <w:pPr>
                          <w:ind w:left="-57" w:right="-57"/>
                          <w:jc w:val="center"/>
                          <w:rPr>
                            <w:sz w:val="18"/>
                            <w:szCs w:val="18"/>
                          </w:rPr>
                        </w:pPr>
                        <w:r>
                          <w:rPr>
                            <w:sz w:val="18"/>
                            <w:szCs w:val="18"/>
                          </w:rPr>
                          <w:t>-</w:t>
                        </w:r>
                      </w:p>
                    </w:tc>
                    <w:tc>
                      <w:tcPr>
                        <w:tcW w:w="383" w:type="pct"/>
                        <w:vMerge w:val="restart"/>
                      </w:tcPr>
                      <w:p>
                        <w:pPr>
                          <w:ind w:left="-57" w:right="-57"/>
                          <w:jc w:val="center"/>
                          <w:rPr>
                            <w:sz w:val="18"/>
                            <w:szCs w:val="18"/>
                          </w:rPr>
                        </w:pPr>
                        <w:r>
                          <w:rPr>
                            <w:sz w:val="18"/>
                            <w:szCs w:val="18"/>
                          </w:rPr>
                          <w:t>-</w:t>
                        </w:r>
                      </w:p>
                    </w:tc>
                    <w:tc>
                      <w:tcPr>
                        <w:tcW w:w="638" w:type="pct"/>
                      </w:tcPr>
                      <w:p>
                        <w:pPr>
                          <w:rPr>
                            <w:sz w:val="18"/>
                            <w:szCs w:val="18"/>
                          </w:rPr>
                        </w:pPr>
                        <w:r>
                          <w:rPr>
                            <w:color w:val="000000"/>
                            <w:sz w:val="20"/>
                          </w:rPr>
                          <w:t xml:space="preserve">P – </w:t>
                        </w:r>
                        <w:r>
                          <w:rPr>
                            <w:color w:val="000000"/>
                            <w:sz w:val="20"/>
                            <w:shd w:val="clear" w:color="auto" w:fill="FFFFFF"/>
                          </w:rPr>
                          <w:t>Teisės akto dėl Nacionalinės profesinio švietimo ir mokymo pažangos platformos sukūrimo projektas paskelbtas konsultacijoms su socialiniais partneriais ir suinteresuotosiomis šalimis </w:t>
                        </w:r>
                      </w:p>
                    </w:tc>
                    <w:tc>
                      <w:tcPr>
                        <w:tcW w:w="448" w:type="pct"/>
                      </w:tcPr>
                      <w:p>
                        <w:pPr>
                          <w:ind w:left="-57" w:right="-57"/>
                          <w:jc w:val="center"/>
                          <w:rPr>
                            <w:sz w:val="18"/>
                            <w:szCs w:val="18"/>
                          </w:rPr>
                        </w:pPr>
                        <w:r>
                          <w:rPr>
                            <w:sz w:val="18"/>
                            <w:szCs w:val="18"/>
                          </w:rPr>
                          <w:t>1</w:t>
                        </w:r>
                      </w:p>
                      <w:p>
                        <w:pPr>
                          <w:ind w:left="-57" w:right="-57"/>
                          <w:jc w:val="center"/>
                          <w:rPr>
                            <w:sz w:val="18"/>
                            <w:szCs w:val="18"/>
                          </w:rPr>
                        </w:pPr>
                        <w:r>
                          <w:rPr>
                            <w:color w:val="000000"/>
                            <w:sz w:val="20"/>
                          </w:rPr>
                          <w:t>(2022 m.)</w:t>
                        </w:r>
                      </w:p>
                    </w:tc>
                    <w:tc>
                      <w:tcPr>
                        <w:tcW w:w="447" w:type="pct"/>
                        <w:vMerge w:val="restart"/>
                      </w:tcPr>
                      <w:p>
                        <w:pPr>
                          <w:ind w:left="-57" w:right="-57"/>
                          <w:jc w:val="center"/>
                          <w:rPr>
                            <w:sz w:val="18"/>
                            <w:szCs w:val="18"/>
                          </w:rPr>
                        </w:pPr>
                        <w:r>
                          <w:rPr>
                            <w:color w:val="000000"/>
                            <w:sz w:val="20"/>
                          </w:rPr>
                          <w:t>ŠMSM</w:t>
                        </w:r>
                      </w:p>
                    </w:tc>
                    <w:tc>
                      <w:tcPr>
                        <w:tcW w:w="449" w:type="pct"/>
                        <w:vMerge w:val="restart"/>
                      </w:tcPr>
                      <w:p>
                        <w:pPr>
                          <w:ind w:left="-57" w:right="-57"/>
                          <w:jc w:val="center"/>
                          <w:rPr>
                            <w:sz w:val="18"/>
                            <w:szCs w:val="18"/>
                          </w:rPr>
                        </w:pPr>
                        <w:r>
                          <w:rPr>
                            <w:color w:val="000000"/>
                            <w:sz w:val="20"/>
                          </w:rPr>
                          <w:t>ŠMSM</w:t>
                        </w: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Nacionalinės profesinio mokymo pažangos platformos sukūrimą patvirtinančių teisės aktų įsigaliojimas</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P – Įsigalioję teisės aktai, kuriais nustatoma Paramos pameistrystei ir mokymuisi darbo vietoje schema </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448" w:type="pct"/>
                      </w:tcPr>
                      <w:p>
                        <w:pPr>
                          <w:ind w:left="-57" w:right="-57"/>
                          <w:jc w:val="center"/>
                          <w:rPr>
                            <w:color w:val="000000"/>
                            <w:sz w:val="20"/>
                          </w:rPr>
                        </w:pPr>
                        <w:r>
                          <w:rPr>
                            <w:color w:val="000000"/>
                            <w:sz w:val="20"/>
                          </w:rPr>
                          <w:t>1</w:t>
                        </w:r>
                      </w:p>
                      <w:p>
                        <w:pPr>
                          <w:ind w:left="-57" w:right="-57"/>
                          <w:jc w:val="center"/>
                          <w:rPr>
                            <w:sz w:val="18"/>
                            <w:szCs w:val="18"/>
                          </w:rPr>
                        </w:pPr>
                        <w:r>
                          <w:rPr>
                            <w:color w:val="000000"/>
                            <w:sz w:val="20"/>
                          </w:rPr>
                          <w:t>(2022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3800"/>
                    </w:trPr>
                    <w:tc>
                      <w:tcPr>
                        <w:tcW w:w="449" w:type="pct"/>
                      </w:tcPr>
                      <w:p>
                        <w:pPr>
                          <w:ind w:left="-57" w:right="-57"/>
                          <w:rPr>
                            <w:color w:val="000000"/>
                            <w:sz w:val="20"/>
                          </w:rPr>
                        </w:pPr>
                        <w:r>
                          <w:rPr>
                            <w:color w:val="000000"/>
                            <w:sz w:val="20"/>
                          </w:rPr>
                          <w:t>2. Priemonių profesinio mokymo programoms atnaujinti ar parengti, profesijos mokytojams ir meistrams praktikams pritraukti parengimas</w:t>
                        </w:r>
                      </w:p>
                    </w:tc>
                    <w:tc>
                      <w:tcPr>
                        <w:tcW w:w="346" w:type="pct"/>
                      </w:tcPr>
                      <w:p>
                        <w:pPr>
                          <w:ind w:left="-57" w:right="-57"/>
                          <w:rPr>
                            <w:sz w:val="18"/>
                            <w:szCs w:val="18"/>
                          </w:rPr>
                        </w:pPr>
                      </w:p>
                    </w:tc>
                    <w:tc>
                      <w:tcPr>
                        <w:tcW w:w="386" w:type="pct"/>
                      </w:tcPr>
                      <w:p>
                        <w:pPr>
                          <w:ind w:left="-57" w:right="-57"/>
                          <w:rPr>
                            <w:sz w:val="18"/>
                            <w:szCs w:val="18"/>
                          </w:rPr>
                        </w:pPr>
                      </w:p>
                    </w:tc>
                    <w:tc>
                      <w:tcPr>
                        <w:tcW w:w="259" w:type="pct"/>
                      </w:tcPr>
                      <w:p>
                        <w:pPr>
                          <w:ind w:left="-57" w:right="-57"/>
                          <w:rPr>
                            <w:sz w:val="18"/>
                            <w:szCs w:val="18"/>
                          </w:rPr>
                        </w:pPr>
                      </w:p>
                    </w:tc>
                    <w:tc>
                      <w:tcPr>
                        <w:tcW w:w="386" w:type="pct"/>
                      </w:tcPr>
                      <w:p>
                        <w:pPr>
                          <w:ind w:left="-57" w:right="-57"/>
                          <w:rPr>
                            <w:sz w:val="18"/>
                            <w:szCs w:val="18"/>
                          </w:rPr>
                        </w:pPr>
                      </w:p>
                    </w:tc>
                    <w:tc>
                      <w:tcPr>
                        <w:tcW w:w="449" w:type="pct"/>
                      </w:tcPr>
                      <w:p>
                        <w:pPr>
                          <w:ind w:left="-57" w:right="-57"/>
                          <w:rPr>
                            <w:sz w:val="18"/>
                            <w:szCs w:val="18"/>
                          </w:rPr>
                        </w:pPr>
                      </w:p>
                    </w:tc>
                    <w:tc>
                      <w:tcPr>
                        <w:tcW w:w="360" w:type="pct"/>
                      </w:tcPr>
                      <w:p>
                        <w:pPr>
                          <w:ind w:left="-57" w:right="-57"/>
                          <w:jc w:val="center"/>
                          <w:rPr>
                            <w:sz w:val="18"/>
                            <w:szCs w:val="18"/>
                          </w:rPr>
                        </w:pPr>
                      </w:p>
                    </w:tc>
                    <w:tc>
                      <w:tcPr>
                        <w:tcW w:w="383" w:type="pct"/>
                      </w:tcPr>
                      <w:p>
                        <w:pPr>
                          <w:ind w:left="-57" w:right="-57"/>
                          <w:rPr>
                            <w:sz w:val="20"/>
                            <w:highlight w:val="cyan"/>
                          </w:rPr>
                        </w:pPr>
                      </w:p>
                    </w:tc>
                    <w:tc>
                      <w:tcPr>
                        <w:tcW w:w="638" w:type="pct"/>
                      </w:tcPr>
                      <w:p>
                        <w:pPr>
                          <w:rPr>
                            <w:color w:val="000000"/>
                            <w:sz w:val="20"/>
                            <w:highlight w:val="cyan"/>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460"/>
                    </w:trPr>
                    <w:tc>
                      <w:tcPr>
                        <w:tcW w:w="449" w:type="pct"/>
                        <w:vMerge w:val="restart"/>
                      </w:tcPr>
                      <w:p>
                        <w:pPr>
                          <w:ind w:left="-57" w:right="-57"/>
                          <w:rPr>
                            <w:i/>
                            <w:sz w:val="18"/>
                            <w:szCs w:val="18"/>
                          </w:rPr>
                        </w:pPr>
                        <w:r>
                          <w:rPr>
                            <w:color w:val="000000"/>
                            <w:sz w:val="20"/>
                          </w:rPr>
                          <w:t xml:space="preserve">2.1. </w:t>
                        </w:r>
                        <w:r>
                          <w:rPr>
                            <w:sz w:val="20"/>
                          </w:rPr>
                          <w:t>Formaliojo profesinio mokymo programų atnaujinimas ir (ar) parengimas</w:t>
                        </w:r>
                      </w:p>
                    </w:tc>
                    <w:tc>
                      <w:tcPr>
                        <w:tcW w:w="346" w:type="pct"/>
                        <w:vMerge w:val="restart"/>
                      </w:tcPr>
                      <w:p>
                        <w:pPr>
                          <w:ind w:left="-57" w:right="-57"/>
                          <w:jc w:val="center"/>
                          <w:rPr>
                            <w:sz w:val="18"/>
                            <w:szCs w:val="18"/>
                          </w:rPr>
                        </w:pPr>
                        <w:r>
                          <w:rPr>
                            <w:sz w:val="18"/>
                            <w:szCs w:val="18"/>
                          </w:rPr>
                          <w:t>M</w:t>
                        </w:r>
                      </w:p>
                    </w:tc>
                    <w:tc>
                      <w:tcPr>
                        <w:tcW w:w="386" w:type="pct"/>
                        <w:vMerge w:val="restart"/>
                      </w:tcPr>
                      <w:p>
                        <w:pPr>
                          <w:ind w:left="-57" w:right="-57"/>
                          <w:jc w:val="center"/>
                          <w:rPr>
                            <w:sz w:val="18"/>
                            <w:szCs w:val="18"/>
                          </w:rPr>
                        </w:pPr>
                        <w:r>
                          <w:rPr>
                            <w:sz w:val="18"/>
                            <w:szCs w:val="18"/>
                          </w:rPr>
                          <w:t>ESFA</w:t>
                        </w:r>
                      </w:p>
                    </w:tc>
                    <w:tc>
                      <w:tcPr>
                        <w:tcW w:w="259" w:type="pct"/>
                        <w:vMerge w:val="restart"/>
                      </w:tcPr>
                      <w:p>
                        <w:pPr>
                          <w:ind w:left="-57" w:right="-57"/>
                          <w:jc w:val="center"/>
                          <w:rPr>
                            <w:sz w:val="18"/>
                            <w:szCs w:val="18"/>
                          </w:rPr>
                        </w:pPr>
                        <w:r>
                          <w:rPr>
                            <w:sz w:val="18"/>
                            <w:szCs w:val="18"/>
                          </w:rPr>
                          <w:t>P</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D</w:t>
                        </w:r>
                      </w:p>
                    </w:tc>
                    <w:tc>
                      <w:tcPr>
                        <w:tcW w:w="360" w:type="pct"/>
                      </w:tcPr>
                      <w:p>
                        <w:pPr>
                          <w:jc w:val="center"/>
                          <w:rPr>
                            <w:sz w:val="20"/>
                          </w:rPr>
                        </w:pPr>
                        <w:r>
                          <w:rPr>
                            <w:sz w:val="20"/>
                          </w:rPr>
                          <w:t>2 299,000</w:t>
                        </w:r>
                      </w:p>
                      <w:p>
                        <w:pPr>
                          <w:ind w:left="-57" w:right="-57"/>
                          <w:jc w:val="center"/>
                          <w:rPr>
                            <w:sz w:val="20"/>
                          </w:rPr>
                        </w:pPr>
                      </w:p>
                    </w:tc>
                    <w:tc>
                      <w:tcPr>
                        <w:tcW w:w="383" w:type="pct"/>
                      </w:tcPr>
                      <w:p>
                        <w:pPr>
                          <w:ind w:left="-57" w:right="-57"/>
                          <w:rPr>
                            <w:sz w:val="20"/>
                            <w:highlight w:val="cyan"/>
                          </w:rPr>
                        </w:pPr>
                        <w:r>
                          <w:rPr>
                            <w:sz w:val="20"/>
                          </w:rPr>
                          <w:t xml:space="preserve">Ekonomikos gaivinimo ir atsparumo didinimo priemonės (toliau </w:t>
                        </w:r>
                        <w:r>
                          <w:rPr>
                            <w:rFonts w:eastAsia="Calibri"/>
                            <w:sz w:val="20"/>
                          </w:rPr>
                          <w:t>–</w:t>
                        </w:r>
                        <w:r>
                          <w:rPr>
                            <w:sz w:val="20"/>
                          </w:rPr>
                          <w:t xml:space="preserve"> EGADP) ir </w:t>
                        </w:r>
                      </w:p>
                      <w:p>
                        <w:pPr>
                          <w:ind w:left="-57" w:right="-57"/>
                          <w:rPr>
                            <w:sz w:val="18"/>
                            <w:szCs w:val="18"/>
                          </w:rPr>
                        </w:pPr>
                        <w:r>
                          <w:rPr>
                            <w:bCs/>
                            <w:sz w:val="20"/>
                          </w:rPr>
                          <w:t>Valstybės biudžeto (toliau – VB) lėšos, skirtos 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w:t>
                        </w:r>
                        <w:r>
                          <w:rPr>
                            <w:bCs/>
                            <w:sz w:val="20"/>
                          </w:rPr>
                          <w:t>fondų lėšų projektų netinkamam finansuoti iš ES fondų lėšų pirkimo ir (arba) importo PVM</w:t>
                        </w:r>
                      </w:p>
                      <w:p>
                        <w:pPr>
                          <w:ind w:left="-57" w:right="-57"/>
                          <w:rPr>
                            <w:sz w:val="18"/>
                            <w:szCs w:val="18"/>
                          </w:rPr>
                        </w:pPr>
                      </w:p>
                    </w:tc>
                    <w:tc>
                      <w:tcPr>
                        <w:tcW w:w="638" w:type="pct"/>
                      </w:tcPr>
                      <w:p>
                        <w:pPr>
                          <w:rPr>
                            <w:sz w:val="18"/>
                            <w:szCs w:val="18"/>
                          </w:rPr>
                        </w:pPr>
                        <w:r>
                          <w:rPr>
                            <w:color w:val="000000"/>
                            <w:sz w:val="20"/>
                          </w:rPr>
                          <w:t xml:space="preserve">P – </w:t>
                        </w:r>
                        <w:r>
                          <w:rPr>
                            <w:sz w:val="20"/>
                            <w:lang w:eastAsia="nl-BE"/>
                          </w:rPr>
                          <w:t xml:space="preserve">Poreikių atnaujinti arba parengti naujas mokymo programas nustatymas, konsultuojantis su socialiniais partneriais </w:t>
                        </w:r>
                      </w:p>
                    </w:tc>
                    <w:tc>
                      <w:tcPr>
                        <w:tcW w:w="448" w:type="pct"/>
                      </w:tcPr>
                      <w:p>
                        <w:pPr>
                          <w:ind w:left="-57" w:right="-57"/>
                          <w:jc w:val="center"/>
                          <w:rPr>
                            <w:sz w:val="18"/>
                            <w:szCs w:val="18"/>
                          </w:rPr>
                        </w:pPr>
                        <w:r>
                          <w:rPr>
                            <w:sz w:val="18"/>
                            <w:szCs w:val="18"/>
                          </w:rPr>
                          <w:t>1</w:t>
                        </w:r>
                      </w:p>
                      <w:p>
                        <w:pPr>
                          <w:ind w:left="-57" w:right="-57"/>
                          <w:jc w:val="center"/>
                          <w:rPr>
                            <w:sz w:val="18"/>
                            <w:szCs w:val="18"/>
                          </w:rPr>
                        </w:pPr>
                        <w:r>
                          <w:rPr>
                            <w:sz w:val="18"/>
                            <w:szCs w:val="18"/>
                          </w:rPr>
                          <w:t>(2023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w:t>
                        </w:r>
                      </w:p>
                    </w:tc>
                  </w:tr>
                  <w:tr>
                    <w:trPr>
                      <w:trHeight w:val="458"/>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sz w:val="20"/>
                          </w:rPr>
                        </w:pPr>
                        <w:r>
                          <w:rPr>
                            <w:sz w:val="20"/>
                          </w:rPr>
                          <w:t>1 900,000</w:t>
                        </w:r>
                      </w:p>
                      <w:p>
                        <w:pPr>
                          <w:ind w:left="-57" w:right="-57"/>
                          <w:jc w:val="center"/>
                          <w:rPr>
                            <w:sz w:val="18"/>
                            <w:szCs w:val="18"/>
                          </w:rPr>
                        </w:pPr>
                      </w:p>
                    </w:tc>
                    <w:tc>
                      <w:tcPr>
                        <w:tcW w:w="383" w:type="pct"/>
                      </w:tcPr>
                      <w:p>
                        <w:pPr>
                          <w:ind w:left="-57" w:right="-57"/>
                          <w:rPr>
                            <w:sz w:val="18"/>
                            <w:szCs w:val="18"/>
                          </w:rPr>
                        </w:pPr>
                        <w:r>
                          <w:rPr>
                            <w:sz w:val="20"/>
                          </w:rPr>
                          <w:t>EGADP) lėšos</w:t>
                        </w:r>
                      </w:p>
                    </w:tc>
                    <w:tc>
                      <w:tcPr>
                        <w:tcW w:w="638" w:type="pct"/>
                      </w:tcPr>
                      <w:p>
                        <w:pPr>
                          <w:rPr>
                            <w:sz w:val="18"/>
                            <w:szCs w:val="18"/>
                          </w:rPr>
                        </w:pPr>
                        <w:r>
                          <w:rPr>
                            <w:color w:val="000000"/>
                            <w:sz w:val="20"/>
                          </w:rPr>
                          <w:t>P – Užregistruotos naujos ar atnaujintos profesinio mokymo programos, kurios yra prieinamos mokymo paslaugų teikėjams</w:t>
                        </w:r>
                      </w:p>
                    </w:tc>
                    <w:tc>
                      <w:tcPr>
                        <w:tcW w:w="448" w:type="pct"/>
                      </w:tcPr>
                      <w:p>
                        <w:pPr>
                          <w:ind w:left="-57" w:right="-57"/>
                          <w:jc w:val="center"/>
                          <w:rPr>
                            <w:color w:val="000000"/>
                            <w:sz w:val="20"/>
                          </w:rPr>
                        </w:pPr>
                        <w:r>
                          <w:rPr>
                            <w:color w:val="000000"/>
                            <w:sz w:val="20"/>
                          </w:rPr>
                          <w:t>95</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restart"/>
                      </w:tcPr>
                      <w:p>
                        <w:pPr>
                          <w:ind w:left="-57" w:right="-57"/>
                          <w:jc w:val="center"/>
                          <w:rPr>
                            <w:sz w:val="20"/>
                          </w:rPr>
                        </w:pPr>
                        <w:r>
                          <w:rPr>
                            <w:color w:val="000000"/>
                            <w:sz w:val="20"/>
                          </w:rPr>
                          <w:t>399,000</w:t>
                        </w:r>
                      </w:p>
                      <w:p>
                        <w:pPr>
                          <w:ind w:left="-57" w:right="-57"/>
                          <w:jc w:val="center"/>
                          <w:rPr>
                            <w:sz w:val="18"/>
                            <w:szCs w:val="18"/>
                          </w:rPr>
                        </w:pPr>
                      </w:p>
                    </w:tc>
                    <w:tc>
                      <w:tcPr>
                        <w:tcW w:w="383" w:type="pct"/>
                        <w:vMerge w:val="restart"/>
                      </w:tcPr>
                      <w:p>
                        <w:pPr>
                          <w:ind w:left="-57" w:right="-57"/>
                          <w:rPr>
                            <w:sz w:val="18"/>
                            <w:szCs w:val="18"/>
                          </w:rPr>
                        </w:pPr>
                        <w:r>
                          <w:rPr>
                            <w:bCs/>
                            <w:sz w:val="20"/>
                          </w:rPr>
                          <w:t>VB lėšos, skirtos apmokėti bendrai finansuojamų iš Europos Sąjungos (toliau</w:t>
                        </w:r>
                        <w:r>
                          <w:rPr>
                            <w:color w:val="000000"/>
                            <w:sz w:val="20"/>
                          </w:rPr>
                          <w:t xml:space="preserve"> </w:t>
                        </w:r>
                        <w:r>
                          <w:rPr>
                            <w:sz w:val="18"/>
                            <w:szCs w:val="18"/>
                          </w:rPr>
                          <w:t xml:space="preserve">– </w:t>
                        </w:r>
                        <w:r>
                          <w:rPr>
                            <w:sz w:val="20"/>
                          </w:rPr>
                          <w:t>ES)</w:t>
                        </w:r>
                        <w:r>
                          <w:rPr>
                            <w:sz w:val="18"/>
                            <w:szCs w:val="18"/>
                          </w:rPr>
                          <w:t xml:space="preserve"> </w:t>
                        </w:r>
                        <w:r>
                          <w:rPr>
                            <w:bCs/>
                            <w:sz w:val="20"/>
                          </w:rPr>
                          <w:t>fondų lėšų projektų netinkamam finansuoti iš ES fondų lėšų pirkimo ir (arba) importo PVM</w:t>
                        </w:r>
                      </w:p>
                      <w:p>
                        <w:pPr>
                          <w:ind w:left="-57" w:right="-57"/>
                          <w:rPr>
                            <w:sz w:val="18"/>
                            <w:szCs w:val="18"/>
                          </w:rPr>
                        </w:pPr>
                      </w:p>
                    </w:tc>
                    <w:tc>
                      <w:tcPr>
                        <w:tcW w:w="638" w:type="pct"/>
                      </w:tcPr>
                      <w:p>
                        <w:pPr>
                          <w:rPr>
                            <w:sz w:val="18"/>
                            <w:szCs w:val="18"/>
                          </w:rPr>
                        </w:pPr>
                        <w:r>
                          <w:rPr>
                            <w:color w:val="000000"/>
                            <w:sz w:val="20"/>
                          </w:rPr>
                          <w:t>P – Profesijos mokytojai ir (arba) meistrai, dalyvaujantys pameistrių ir praktikas atliekančių mokinių mokymo procese</w:t>
                        </w:r>
                      </w:p>
                    </w:tc>
                    <w:tc>
                      <w:tcPr>
                        <w:tcW w:w="448" w:type="pct"/>
                      </w:tcPr>
                      <w:p>
                        <w:pPr>
                          <w:ind w:left="-57" w:right="-57"/>
                          <w:jc w:val="center"/>
                          <w:rPr>
                            <w:color w:val="000000"/>
                            <w:sz w:val="20"/>
                          </w:rPr>
                        </w:pPr>
                        <w:r>
                          <w:rPr>
                            <w:color w:val="000000"/>
                            <w:sz w:val="20"/>
                          </w:rPr>
                          <w:t>1 000</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Švietimo ar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467"/>
                    </w:trPr>
                    <w:tc>
                      <w:tcPr>
                        <w:tcW w:w="449" w:type="pct"/>
                        <w:vMerge/>
                      </w:tcPr>
                      <w:p>
                        <w:pPr>
                          <w:ind w:left="-57" w:right="-57"/>
                          <w:rPr>
                            <w:i/>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20"/>
                            <w:lang w:eastAsia="lt-LT"/>
                          </w:rPr>
                        </w:pPr>
                        <w:r>
                          <w:rPr>
                            <w:color w:val="000000"/>
                            <w:sz w:val="20"/>
                          </w:rPr>
                          <w:t xml:space="preserve">R – </w:t>
                        </w:r>
                        <w:r>
                          <w:rPr>
                            <w:sz w:val="20"/>
                            <w:lang w:eastAsia="lt-LT"/>
                          </w:rPr>
                          <w:t>Švietimo ar mokymo veiklos dalyvių skaičius, iš jų skaitmeninių įgūdžių ugdymo veiklos dalyvių skaičius</w:t>
                        </w:r>
                      </w:p>
                      <w:p>
                        <w:pPr>
                          <w:rPr>
                            <w:sz w:val="18"/>
                            <w:szCs w:val="18"/>
                          </w:rPr>
                        </w:pP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val="restart"/>
                      </w:tcPr>
                      <w:p>
                        <w:pPr>
                          <w:ind w:left="-57" w:right="-57"/>
                          <w:rPr>
                            <w:color w:val="000000"/>
                            <w:sz w:val="20"/>
                          </w:rPr>
                        </w:pPr>
                        <w:r>
                          <w:rPr>
                            <w:sz w:val="20"/>
                          </w:rPr>
                          <w:t>2.2. Profesijos mokytojų ir (arba) meistrų kompetencijų tobulinimas</w:t>
                        </w:r>
                      </w:p>
                    </w:tc>
                    <w:tc>
                      <w:tcPr>
                        <w:tcW w:w="346" w:type="pct"/>
                        <w:vMerge w:val="restart"/>
                      </w:tcPr>
                      <w:p>
                        <w:pPr>
                          <w:ind w:left="-57" w:right="-57"/>
                          <w:jc w:val="center"/>
                          <w:rPr>
                            <w:sz w:val="18"/>
                            <w:szCs w:val="18"/>
                          </w:rPr>
                        </w:pPr>
                        <w:r>
                          <w:rPr>
                            <w:sz w:val="18"/>
                            <w:szCs w:val="18"/>
                          </w:rPr>
                          <w:t>M</w:t>
                        </w:r>
                      </w:p>
                    </w:tc>
                    <w:tc>
                      <w:tcPr>
                        <w:tcW w:w="386" w:type="pct"/>
                        <w:vMerge w:val="restart"/>
                      </w:tcPr>
                      <w:p>
                        <w:pPr>
                          <w:ind w:left="-57" w:right="-57"/>
                          <w:jc w:val="center"/>
                          <w:rPr>
                            <w:sz w:val="18"/>
                            <w:szCs w:val="18"/>
                          </w:rPr>
                        </w:pPr>
                        <w:r>
                          <w:rPr>
                            <w:sz w:val="18"/>
                            <w:szCs w:val="18"/>
                          </w:rPr>
                          <w:t>ESFA</w:t>
                        </w:r>
                      </w:p>
                    </w:tc>
                    <w:tc>
                      <w:tcPr>
                        <w:tcW w:w="259" w:type="pct"/>
                        <w:vMerge w:val="restart"/>
                      </w:tcPr>
                      <w:p>
                        <w:pPr>
                          <w:ind w:left="-57" w:right="-57"/>
                          <w:jc w:val="center"/>
                          <w:rPr>
                            <w:sz w:val="18"/>
                            <w:szCs w:val="18"/>
                          </w:rPr>
                        </w:pPr>
                        <w:r>
                          <w:rPr>
                            <w:sz w:val="18"/>
                            <w:szCs w:val="18"/>
                          </w:rPr>
                          <w:t>P</w:t>
                        </w:r>
                      </w:p>
                    </w:tc>
                    <w:tc>
                      <w:tcPr>
                        <w:tcW w:w="386" w:type="pct"/>
                        <w:vMerge w:val="restart"/>
                      </w:tcPr>
                      <w:p>
                        <w:pPr>
                          <w:ind w:left="-57" w:right="-57"/>
                          <w:jc w:val="center"/>
                          <w:rPr>
                            <w:sz w:val="18"/>
                            <w:szCs w:val="18"/>
                          </w:rPr>
                        </w:pPr>
                        <w:r>
                          <w:rPr>
                            <w:sz w:val="18"/>
                            <w:szCs w:val="18"/>
                          </w:rPr>
                          <w:t>Ne</w:t>
                        </w:r>
                      </w:p>
                    </w:tc>
                    <w:tc>
                      <w:tcPr>
                        <w:tcW w:w="449" w:type="pct"/>
                        <w:vMerge w:val="restart"/>
                      </w:tcPr>
                      <w:p>
                        <w:pPr>
                          <w:ind w:left="-57" w:right="-57"/>
                          <w:jc w:val="center"/>
                          <w:rPr>
                            <w:sz w:val="18"/>
                            <w:szCs w:val="18"/>
                          </w:rPr>
                        </w:pPr>
                        <w:r>
                          <w:rPr>
                            <w:sz w:val="18"/>
                            <w:szCs w:val="18"/>
                          </w:rPr>
                          <w:t>D</w:t>
                        </w:r>
                      </w:p>
                    </w:tc>
                    <w:tc>
                      <w:tcPr>
                        <w:tcW w:w="360" w:type="pct"/>
                      </w:tcPr>
                      <w:p>
                        <w:pPr>
                          <w:jc w:val="center"/>
                          <w:rPr>
                            <w:sz w:val="20"/>
                          </w:rPr>
                        </w:pPr>
                        <w:r>
                          <w:rPr>
                            <w:sz w:val="20"/>
                          </w:rPr>
                          <w:t>3 751,000</w:t>
                        </w:r>
                      </w:p>
                      <w:p>
                        <w:pPr>
                          <w:ind w:left="-57" w:right="-57"/>
                          <w:jc w:val="center"/>
                          <w:rPr>
                            <w:sz w:val="18"/>
                            <w:szCs w:val="18"/>
                          </w:rPr>
                        </w:pPr>
                      </w:p>
                    </w:tc>
                    <w:tc>
                      <w:tcPr>
                        <w:tcW w:w="383" w:type="pct"/>
                      </w:tcPr>
                      <w:p>
                        <w:pPr>
                          <w:ind w:left="-57" w:right="-57"/>
                          <w:rPr>
                            <w:bCs/>
                            <w:sz w:val="20"/>
                            <w:highlight w:val="cyan"/>
                          </w:rPr>
                        </w:pPr>
                        <w:r>
                          <w:rPr>
                            <w:sz w:val="20"/>
                          </w:rPr>
                          <w:t xml:space="preserve">EGADP ir </w:t>
                        </w:r>
                      </w:p>
                      <w:p>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448" w:type="pct"/>
                      </w:tcPr>
                      <w:p>
                        <w:pPr>
                          <w:ind w:left="-57" w:right="-57"/>
                          <w:jc w:val="center"/>
                          <w:rPr>
                            <w:sz w:val="18"/>
                            <w:szCs w:val="18"/>
                          </w:rPr>
                        </w:pPr>
                        <w:r>
                          <w:rPr>
                            <w:sz w:val="18"/>
                            <w:szCs w:val="18"/>
                          </w:rPr>
                          <w:t>1</w:t>
                        </w:r>
                      </w:p>
                      <w:p>
                        <w:pPr>
                          <w:ind w:left="-57" w:right="-57"/>
                          <w:jc w:val="center"/>
                          <w:rPr>
                            <w:sz w:val="18"/>
                            <w:szCs w:val="18"/>
                          </w:rPr>
                        </w:pPr>
                        <w:r>
                          <w:rPr>
                            <w:sz w:val="18"/>
                            <w:szCs w:val="18"/>
                          </w:rPr>
                          <w:t>(2023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w:t>
                        </w: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sz w:val="20"/>
                          </w:rPr>
                        </w:pPr>
                        <w:r>
                          <w:rPr>
                            <w:sz w:val="20"/>
                          </w:rPr>
                          <w:t>3 100,000</w:t>
                        </w:r>
                      </w:p>
                      <w:p>
                        <w:pPr>
                          <w:ind w:left="-57" w:right="-57"/>
                          <w:jc w:val="center"/>
                          <w:rPr>
                            <w:sz w:val="18"/>
                            <w:szCs w:val="18"/>
                          </w:rPr>
                        </w:pPr>
                      </w:p>
                    </w:tc>
                    <w:tc>
                      <w:tcPr>
                        <w:tcW w:w="383" w:type="pct"/>
                      </w:tcPr>
                      <w:p>
                        <w:pPr>
                          <w:ind w:left="-57" w:right="-57"/>
                          <w:rPr>
                            <w:sz w:val="18"/>
                            <w:szCs w:val="18"/>
                          </w:rPr>
                        </w:pPr>
                        <w:r>
                          <w:rPr>
                            <w:sz w:val="20"/>
                          </w:rPr>
                          <w:t>EGADP lėšos</w:t>
                        </w:r>
                      </w:p>
                      <w:p>
                        <w:pPr>
                          <w:ind w:left="-57" w:right="-57"/>
                          <w:rPr>
                            <w:sz w:val="18"/>
                            <w:szCs w:val="18"/>
                          </w:rPr>
                        </w:pPr>
                      </w:p>
                    </w:tc>
                    <w:tc>
                      <w:tcPr>
                        <w:tcW w:w="638" w:type="pct"/>
                      </w:tcPr>
                      <w:p>
                        <w:pPr>
                          <w:rPr>
                            <w:sz w:val="18"/>
                            <w:szCs w:val="18"/>
                          </w:rPr>
                        </w:pPr>
                        <w:r>
                          <w:rPr>
                            <w:color w:val="000000"/>
                            <w:sz w:val="20"/>
                          </w:rPr>
                          <w:t>P – Užregistruotos naujos ar atnaujintos profesinio mokymo programos, kurios yra prieinamos mokymo paslaugų teikėjams</w:t>
                        </w:r>
                      </w:p>
                    </w:tc>
                    <w:tc>
                      <w:tcPr>
                        <w:tcW w:w="448" w:type="pct"/>
                      </w:tcPr>
                      <w:p>
                        <w:pPr>
                          <w:ind w:left="-57" w:right="-57"/>
                          <w:jc w:val="center"/>
                          <w:rPr>
                            <w:color w:val="000000"/>
                            <w:sz w:val="20"/>
                          </w:rPr>
                        </w:pPr>
                        <w:r>
                          <w:rPr>
                            <w:color w:val="000000"/>
                            <w:sz w:val="20"/>
                          </w:rPr>
                          <w:t>95</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restart"/>
                      </w:tcPr>
                      <w:p>
                        <w:pPr>
                          <w:ind w:left="-57" w:right="-57"/>
                          <w:jc w:val="center"/>
                          <w:rPr>
                            <w:sz w:val="18"/>
                            <w:szCs w:val="18"/>
                          </w:rPr>
                        </w:pPr>
                        <w:r>
                          <w:rPr>
                            <w:sz w:val="20"/>
                          </w:rPr>
                          <w:t>651,000</w:t>
                        </w:r>
                      </w:p>
                      <w:p>
                        <w:pPr>
                          <w:ind w:left="-57" w:right="-57"/>
                          <w:jc w:val="center"/>
                          <w:rPr>
                            <w:sz w:val="18"/>
                            <w:szCs w:val="18"/>
                          </w:rPr>
                        </w:pPr>
                      </w:p>
                    </w:tc>
                    <w:tc>
                      <w:tcPr>
                        <w:tcW w:w="383" w:type="pct"/>
                        <w:vMerge w:val="restart"/>
                      </w:tcPr>
                      <w:p>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P – Profesijos mokytojai ir (arba) meistrai, dalyvaujantys pameistrių ir praktikas atliekančių mokinių mokymo procese</w:t>
                        </w:r>
                      </w:p>
                    </w:tc>
                    <w:tc>
                      <w:tcPr>
                        <w:tcW w:w="448" w:type="pct"/>
                      </w:tcPr>
                      <w:p>
                        <w:pPr>
                          <w:ind w:right="-57"/>
                          <w:jc w:val="center"/>
                          <w:rPr>
                            <w:color w:val="000000"/>
                            <w:sz w:val="20"/>
                          </w:rPr>
                        </w:pPr>
                        <w:r>
                          <w:rPr>
                            <w:color w:val="000000"/>
                            <w:sz w:val="20"/>
                          </w:rPr>
                          <w:t>1 000</w:t>
                        </w:r>
                      </w:p>
                      <w:p>
                        <w:pPr>
                          <w:ind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color w:val="000000"/>
                            <w:sz w:val="20"/>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tcPr>
                      <w:p>
                        <w:pPr>
                          <w:ind w:left="-57" w:right="-57"/>
                          <w:rPr>
                            <w:sz w:val="18"/>
                            <w:szCs w:val="18"/>
                          </w:rPr>
                        </w:pPr>
                        <w:r>
                          <w:rPr>
                            <w:color w:val="000000"/>
                            <w:sz w:val="20"/>
                          </w:rPr>
                          <w:t>3. Priemonių bendrajam ugdymui ir profesiniam mokymui suartinti parengimas</w:t>
                        </w:r>
                      </w:p>
                    </w:tc>
                    <w:tc>
                      <w:tcPr>
                        <w:tcW w:w="346" w:type="pct"/>
                      </w:tcPr>
                      <w:p>
                        <w:pPr>
                          <w:ind w:left="-57" w:right="-57"/>
                          <w:jc w:val="center"/>
                          <w:rPr>
                            <w:sz w:val="18"/>
                            <w:szCs w:val="18"/>
                          </w:rPr>
                        </w:pPr>
                      </w:p>
                    </w:tc>
                    <w:tc>
                      <w:tcPr>
                        <w:tcW w:w="386" w:type="pct"/>
                      </w:tcPr>
                      <w:p>
                        <w:pPr>
                          <w:ind w:left="-57" w:right="-57"/>
                          <w:jc w:val="center"/>
                          <w:rPr>
                            <w:sz w:val="18"/>
                            <w:szCs w:val="18"/>
                          </w:rPr>
                        </w:pPr>
                      </w:p>
                    </w:tc>
                    <w:tc>
                      <w:tcPr>
                        <w:tcW w:w="259" w:type="pct"/>
                      </w:tcPr>
                      <w:p>
                        <w:pPr>
                          <w:ind w:left="-57" w:right="-57"/>
                          <w:jc w:val="center"/>
                          <w:rPr>
                            <w:sz w:val="18"/>
                            <w:szCs w:val="18"/>
                          </w:rPr>
                        </w:pPr>
                      </w:p>
                    </w:tc>
                    <w:tc>
                      <w:tcPr>
                        <w:tcW w:w="386" w:type="pct"/>
                      </w:tcPr>
                      <w:p>
                        <w:pPr>
                          <w:ind w:left="-57" w:right="-57"/>
                          <w:jc w:val="center"/>
                          <w:rPr>
                            <w:sz w:val="18"/>
                            <w:szCs w:val="18"/>
                          </w:rPr>
                        </w:pPr>
                      </w:p>
                    </w:tc>
                    <w:tc>
                      <w:tcPr>
                        <w:tcW w:w="449" w:type="pct"/>
                      </w:tcPr>
                      <w:p>
                        <w:pPr>
                          <w:ind w:left="-57" w:right="-57"/>
                          <w:jc w:val="center"/>
                          <w:rPr>
                            <w:sz w:val="18"/>
                            <w:szCs w:val="18"/>
                          </w:rPr>
                        </w:pPr>
                      </w:p>
                    </w:tc>
                    <w:tc>
                      <w:tcPr>
                        <w:tcW w:w="360" w:type="pct"/>
                      </w:tcPr>
                      <w:p>
                        <w:pPr>
                          <w:ind w:left="-57" w:right="-57"/>
                          <w:jc w:val="center"/>
                          <w:rPr>
                            <w:sz w:val="18"/>
                            <w:szCs w:val="18"/>
                          </w:rPr>
                        </w:pPr>
                      </w:p>
                    </w:tc>
                    <w:tc>
                      <w:tcPr>
                        <w:tcW w:w="383" w:type="pct"/>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233"/>
                    </w:trPr>
                    <w:tc>
                      <w:tcPr>
                        <w:tcW w:w="449"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Profesinio mokymo įstaigos</w:t>
                        </w:r>
                      </w:p>
                    </w:tc>
                    <w:tc>
                      <w:tcPr>
                        <w:tcW w:w="259" w:type="pct"/>
                        <w:vMerge w:val="restart"/>
                      </w:tcPr>
                      <w:p>
                        <w:pPr>
                          <w:ind w:left="-57" w:right="-57"/>
                          <w:jc w:val="center"/>
                          <w:rPr>
                            <w:sz w:val="18"/>
                            <w:szCs w:val="18"/>
                          </w:rPr>
                        </w:pPr>
                        <w:r>
                          <w:rPr>
                            <w:color w:val="000000"/>
                            <w:sz w:val="20"/>
                          </w:rPr>
                          <w:t>TA</w:t>
                        </w:r>
                      </w:p>
                    </w:tc>
                    <w:tc>
                      <w:tcPr>
                        <w:tcW w:w="386" w:type="pct"/>
                        <w:vMerge w:val="restart"/>
                      </w:tcPr>
                      <w:p>
                        <w:pPr>
                          <w:jc w:val="center"/>
                          <w:rPr>
                            <w:sz w:val="18"/>
                            <w:szCs w:val="18"/>
                          </w:rPr>
                        </w:pPr>
                        <w:r>
                          <w:rPr>
                            <w:color w:val="000000"/>
                            <w:sz w:val="20"/>
                          </w:rPr>
                          <w:t>Taip</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18"/>
                            <w:szCs w:val="18"/>
                          </w:rPr>
                        </w:pPr>
                        <w:r>
                          <w:rPr>
                            <w:color w:val="000000"/>
                            <w:sz w:val="20"/>
                          </w:rPr>
                          <w:t>1 960,000</w:t>
                        </w:r>
                      </w:p>
                    </w:tc>
                    <w:tc>
                      <w:tcPr>
                        <w:tcW w:w="383" w:type="pct"/>
                        <w:vMerge w:val="restart"/>
                      </w:tcPr>
                      <w:p>
                        <w:pPr>
                          <w:ind w:left="-57" w:right="-57"/>
                          <w:rPr>
                            <w:sz w:val="18"/>
                            <w:szCs w:val="18"/>
                          </w:rPr>
                        </w:pPr>
                        <w:r>
                          <w:rPr>
                            <w:sz w:val="20"/>
                          </w:rPr>
                          <w:t>EGADP lėšos</w:t>
                        </w:r>
                      </w:p>
                    </w:tc>
                    <w:tc>
                      <w:tcPr>
                        <w:tcW w:w="638" w:type="pct"/>
                      </w:tcPr>
                      <w:p>
                        <w:pPr>
                          <w:rPr>
                            <w:sz w:val="18"/>
                            <w:szCs w:val="18"/>
                          </w:rPr>
                        </w:pPr>
                        <w:r>
                          <w:rPr>
                            <w:color w:val="000000"/>
                            <w:sz w:val="20"/>
                          </w:rPr>
                          <w:t>R – Mokinių, kurie mokosi pagal pagrindinio ir vidurinio ugdymo programas bendrojo ugdymo mokyklose ir baigusių pirminio profesinio mokymo programos modulius, skaičiaus padidėjimas</w:t>
                        </w:r>
                      </w:p>
                    </w:tc>
                    <w:tc>
                      <w:tcPr>
                        <w:tcW w:w="448" w:type="pct"/>
                      </w:tcPr>
                      <w:p>
                        <w:pPr>
                          <w:ind w:left="-57" w:right="-57"/>
                          <w:jc w:val="center"/>
                          <w:rPr>
                            <w:color w:val="000000"/>
                            <w:sz w:val="20"/>
                          </w:rPr>
                        </w:pPr>
                        <w:r>
                          <w:rPr>
                            <w:color w:val="000000"/>
                            <w:sz w:val="20"/>
                          </w:rPr>
                          <w:t>4 900</w:t>
                        </w:r>
                      </w:p>
                      <w:p>
                        <w:pPr>
                          <w:ind w:left="-57" w:right="-57"/>
                          <w:jc w:val="center"/>
                          <w:rPr>
                            <w:sz w:val="18"/>
                            <w:szCs w:val="18"/>
                          </w:rPr>
                        </w:pPr>
                        <w:r>
                          <w:rPr>
                            <w:color w:val="000000"/>
                            <w:sz w:val="20"/>
                          </w:rPr>
                          <w:t>(2026 m.)</w:t>
                        </w:r>
                      </w:p>
                    </w:tc>
                    <w:tc>
                      <w:tcPr>
                        <w:tcW w:w="447" w:type="pct"/>
                        <w:vMerge w:val="restart"/>
                      </w:tcPr>
                      <w:p>
                        <w:pPr>
                          <w:ind w:left="-57" w:right="-57"/>
                          <w:jc w:val="center"/>
                          <w:rPr>
                            <w:sz w:val="18"/>
                            <w:szCs w:val="18"/>
                          </w:rPr>
                        </w:pPr>
                        <w:r>
                          <w:rPr>
                            <w:sz w:val="18"/>
                            <w:szCs w:val="18"/>
                          </w:rPr>
                          <w:t>CPVA</w:t>
                        </w:r>
                      </w:p>
                    </w:tc>
                    <w:tc>
                      <w:tcPr>
                        <w:tcW w:w="449" w:type="pct"/>
                        <w:vMerge w:val="restart"/>
                      </w:tcPr>
                      <w:p>
                        <w:pPr>
                          <w:ind w:left="-57" w:right="-57"/>
                          <w:jc w:val="center"/>
                          <w:rPr>
                            <w:sz w:val="18"/>
                            <w:szCs w:val="18"/>
                          </w:rPr>
                        </w:pPr>
                        <w:r>
                          <w:rPr>
                            <w:sz w:val="18"/>
                            <w:szCs w:val="18"/>
                          </w:rPr>
                          <w:t>ŠMSM, SADM, EIM, ŽŪM</w:t>
                        </w: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448" w:type="pct"/>
                      </w:tcPr>
                      <w:p>
                        <w:pPr>
                          <w:ind w:left="-57" w:right="-57"/>
                          <w:jc w:val="center"/>
                          <w:rPr>
                            <w:color w:val="000000"/>
                            <w:sz w:val="20"/>
                          </w:rPr>
                        </w:pPr>
                        <w:r>
                          <w:rPr>
                            <w:color w:val="000000"/>
                            <w:sz w:val="20"/>
                          </w:rPr>
                          <w:t>4 900</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pPr>
                          <w:ind w:left="-57" w:right="-57"/>
                          <w:jc w:val="center"/>
                          <w:rPr>
                            <w:color w:val="000000"/>
                            <w:sz w:val="20"/>
                          </w:rPr>
                        </w:pPr>
                        <w:r>
                          <w:rPr>
                            <w:color w:val="000000"/>
                            <w:sz w:val="20"/>
                          </w:rPr>
                          <w:t>n/a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Paramą gaunančių 15–29 metų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tcPr>
                      <w:p>
                        <w:pPr>
                          <w:ind w:left="-57" w:right="-57"/>
                          <w:rPr>
                            <w:sz w:val="18"/>
                            <w:szCs w:val="18"/>
                          </w:rPr>
                        </w:pPr>
                      </w:p>
                    </w:tc>
                    <w:tc>
                      <w:tcPr>
                        <w:tcW w:w="346" w:type="pct"/>
                        <w:vMerge/>
                      </w:tcPr>
                      <w:p>
                        <w:pPr>
                          <w:ind w:left="-57" w:right="-57"/>
                          <w:rPr>
                            <w:sz w:val="18"/>
                            <w:szCs w:val="18"/>
                          </w:rPr>
                        </w:pPr>
                      </w:p>
                    </w:tc>
                    <w:tc>
                      <w:tcPr>
                        <w:tcW w:w="386" w:type="pct"/>
                        <w:vMerge/>
                      </w:tcPr>
                      <w:p>
                        <w:pPr>
                          <w:ind w:left="-57" w:right="-57"/>
                          <w:rPr>
                            <w:sz w:val="18"/>
                            <w:szCs w:val="18"/>
                          </w:rPr>
                        </w:pPr>
                      </w:p>
                    </w:tc>
                    <w:tc>
                      <w:tcPr>
                        <w:tcW w:w="259" w:type="pct"/>
                        <w:vMerge/>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20"/>
                            <w:lang w:eastAsia="lt-LT"/>
                          </w:rPr>
                        </w:pPr>
                        <w:r>
                          <w:rPr>
                            <w:color w:val="000000"/>
                            <w:sz w:val="20"/>
                          </w:rPr>
                          <w:t xml:space="preserve">R – </w:t>
                        </w:r>
                        <w:r>
                          <w:rPr>
                            <w:sz w:val="20"/>
                            <w:lang w:eastAsia="lt-LT"/>
                          </w:rPr>
                          <w:t>Švietimo ar mokymo veiklos dalyvių skaičius, iš jų skaitmeninių įgūdžių ugdymo veiklos dalyvių skaičius</w:t>
                        </w:r>
                      </w:p>
                      <w:p>
                        <w:pPr>
                          <w:rPr>
                            <w:sz w:val="18"/>
                            <w:szCs w:val="18"/>
                          </w:rPr>
                        </w:pP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tcPr>
                      <w:p>
                        <w:pPr>
                          <w:ind w:left="-57" w:right="-57"/>
                          <w:jc w:val="center"/>
                          <w:rPr>
                            <w:sz w:val="18"/>
                            <w:szCs w:val="18"/>
                          </w:rPr>
                        </w:pPr>
                      </w:p>
                    </w:tc>
                    <w:tc>
                      <w:tcPr>
                        <w:tcW w:w="449" w:type="pct"/>
                        <w:vMerge/>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 xml:space="preserve">3.2. Eksperimentinių profesinio mokymo programų plėtojimas </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Profesinio mokymo įstaigos</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sz w:val="18"/>
                            <w:szCs w:val="18"/>
                          </w:rPr>
                          <w:t>D</w:t>
                        </w:r>
                      </w:p>
                    </w:tc>
                    <w:tc>
                      <w:tcPr>
                        <w:tcW w:w="360" w:type="pct"/>
                        <w:vMerge w:val="restart"/>
                      </w:tcPr>
                      <w:p>
                        <w:pPr>
                          <w:ind w:left="-57" w:right="-57"/>
                          <w:jc w:val="center"/>
                          <w:rPr>
                            <w:sz w:val="18"/>
                            <w:szCs w:val="18"/>
                          </w:rPr>
                        </w:pPr>
                        <w:r>
                          <w:rPr>
                            <w:color w:val="000000"/>
                            <w:sz w:val="20"/>
                          </w:rPr>
                          <w:t>4 040,000</w:t>
                        </w:r>
                      </w:p>
                    </w:tc>
                    <w:tc>
                      <w:tcPr>
                        <w:tcW w:w="383" w:type="pct"/>
                        <w:vMerge w:val="restart"/>
                      </w:tcPr>
                      <w:p>
                        <w:pPr>
                          <w:ind w:left="-57" w:right="-57"/>
                          <w:rPr>
                            <w:sz w:val="18"/>
                            <w:szCs w:val="18"/>
                          </w:rPr>
                        </w:pPr>
                        <w:r>
                          <w:rPr>
                            <w:sz w:val="20"/>
                          </w:rPr>
                          <w:t xml:space="preserve">EGADP lėšos </w:t>
                        </w:r>
                      </w:p>
                    </w:tc>
                    <w:tc>
                      <w:tcPr>
                        <w:tcW w:w="638" w:type="pct"/>
                      </w:tcPr>
                      <w:p>
                        <w:pPr>
                          <w:rPr>
                            <w:sz w:val="18"/>
                            <w:szCs w:val="18"/>
                          </w:rPr>
                        </w:pPr>
                        <w:r>
                          <w:rPr>
                            <w:color w:val="000000"/>
                            <w:sz w:val="20"/>
                          </w:rPr>
                          <w:t xml:space="preserve">P – </w:t>
                        </w:r>
                        <w:r>
                          <w:rPr>
                            <w:sz w:val="20"/>
                            <w:lang w:eastAsia="lt-LT"/>
                          </w:rPr>
                          <w:t>Paramą gavę pagrindinio ugdymo programų mokiniai, besimokantys pagal eksperimentines profesinio mokymo programas</w:t>
                        </w:r>
                      </w:p>
                    </w:tc>
                    <w:tc>
                      <w:tcPr>
                        <w:tcW w:w="448" w:type="pct"/>
                      </w:tcPr>
                      <w:p>
                        <w:pPr>
                          <w:ind w:right="-57"/>
                          <w:jc w:val="center"/>
                          <w:rPr>
                            <w:color w:val="000000"/>
                            <w:sz w:val="20"/>
                          </w:rPr>
                        </w:pPr>
                        <w:r>
                          <w:rPr>
                            <w:color w:val="000000"/>
                            <w:sz w:val="20"/>
                          </w:rPr>
                          <w:t>4 000</w:t>
                        </w:r>
                      </w:p>
                      <w:p>
                        <w:pPr>
                          <w:ind w:right="-57"/>
                          <w:jc w:val="center"/>
                          <w:rPr>
                            <w:sz w:val="18"/>
                            <w:szCs w:val="18"/>
                          </w:rPr>
                        </w:pPr>
                        <w:r>
                          <w:rPr>
                            <w:color w:val="000000"/>
                            <w:sz w:val="20"/>
                          </w:rPr>
                          <w:t>(2026 m.)</w:t>
                        </w:r>
                      </w:p>
                    </w:tc>
                    <w:tc>
                      <w:tcPr>
                        <w:tcW w:w="447" w:type="pct"/>
                        <w:vMerge w:val="restart"/>
                      </w:tcPr>
                      <w:p>
                        <w:pPr>
                          <w:ind w:right="-57"/>
                          <w:jc w:val="center"/>
                          <w:rPr>
                            <w:sz w:val="18"/>
                            <w:szCs w:val="18"/>
                          </w:rPr>
                        </w:pPr>
                        <w:r>
                          <w:rPr>
                            <w:color w:val="000000"/>
                            <w:sz w:val="20"/>
                          </w:rPr>
                          <w:t>CPVA</w:t>
                        </w:r>
                      </w:p>
                    </w:tc>
                    <w:tc>
                      <w:tcPr>
                        <w:tcW w:w="449" w:type="pct"/>
                        <w:vMerge w:val="restart"/>
                      </w:tcPr>
                      <w:p>
                        <w:pPr>
                          <w:ind w:right="-57"/>
                          <w:jc w:val="center"/>
                          <w:rPr>
                            <w:sz w:val="18"/>
                            <w:szCs w:val="18"/>
                          </w:rPr>
                        </w:pPr>
                        <w:r>
                          <w:rPr>
                            <w:color w:val="000000"/>
                            <w:sz w:val="20"/>
                          </w:rPr>
                          <w:t>ŠMSM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color w:val="000000"/>
                            <w:sz w:val="20"/>
                          </w:rPr>
                        </w:pPr>
                        <w:r>
                          <w:rPr>
                            <w:sz w:val="20"/>
                            <w:lang w:eastAsia="lt-LT"/>
                          </w:rPr>
                          <w:t>Paramą gavę pagrindinio ugdymo programų mokiniai, besimokantys pagal eksperimentines profesinio mokymo programas</w:t>
                        </w:r>
                      </w:p>
                    </w:tc>
                    <w:tc>
                      <w:tcPr>
                        <w:tcW w:w="448" w:type="pct"/>
                      </w:tcPr>
                      <w:p>
                        <w:pPr>
                          <w:ind w:left="-57" w:right="-57"/>
                          <w:jc w:val="center"/>
                          <w:rPr>
                            <w:sz w:val="20"/>
                          </w:rPr>
                        </w:pPr>
                        <w:r>
                          <w:rPr>
                            <w:sz w:val="20"/>
                          </w:rPr>
                          <w:t>1050</w:t>
                        </w:r>
                      </w:p>
                      <w:p>
                        <w:pPr>
                          <w:ind w:left="-57" w:right="-57"/>
                          <w:jc w:val="center"/>
                          <w:rPr>
                            <w:color w:val="000000"/>
                            <w:sz w:val="20"/>
                          </w:rPr>
                        </w:pPr>
                        <w:r>
                          <w:rPr>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 xml:space="preserve">Švietimo ar mokymo veiklos dalyvių skaičius, iš jų švietimo ar mokymo veiklos (išskyrus skaitmeninių įgūdžių ugdymą) dalyvių skaičius </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R – Paramą gaunančių 15–29 metų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46" w:type="pct"/>
                        <w:vMerge w:val="restart"/>
                      </w:tcPr>
                      <w:p>
                        <w:pPr>
                          <w:ind w:left="-57" w:right="-57"/>
                          <w:jc w:val="center"/>
                          <w:rPr>
                            <w:sz w:val="18"/>
                            <w:szCs w:val="18"/>
                          </w:rPr>
                        </w:pPr>
                        <w:r>
                          <w:rPr>
                            <w:color w:val="000000"/>
                            <w:sz w:val="20"/>
                          </w:rPr>
                          <w:t>M</w:t>
                        </w:r>
                      </w:p>
                    </w:tc>
                    <w:tc>
                      <w:tcPr>
                        <w:tcW w:w="386" w:type="pct"/>
                        <w:vMerge w:val="restart"/>
                      </w:tcPr>
                      <w:p>
                        <w:pPr>
                          <w:ind w:left="-57" w:right="-57"/>
                          <w:jc w:val="center"/>
                          <w:rPr>
                            <w:sz w:val="18"/>
                            <w:szCs w:val="18"/>
                          </w:rPr>
                        </w:pPr>
                        <w:r>
                          <w:rPr>
                            <w:color w:val="000000"/>
                            <w:sz w:val="20"/>
                          </w:rPr>
                          <w:t>ESFA ir profesinio mokymo įstaigos</w:t>
                        </w:r>
                      </w:p>
                    </w:tc>
                    <w:tc>
                      <w:tcPr>
                        <w:tcW w:w="259" w:type="pct"/>
                        <w:vMerge w:val="restart"/>
                      </w:tcPr>
                      <w:p>
                        <w:pPr>
                          <w:ind w:right="-57"/>
                          <w:jc w:val="center"/>
                          <w:rPr>
                            <w:sz w:val="18"/>
                            <w:szCs w:val="18"/>
                          </w:rPr>
                        </w:pPr>
                        <w:r>
                          <w:rPr>
                            <w:color w:val="000000"/>
                            <w:sz w:val="20"/>
                          </w:rPr>
                          <w:t>Pj</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color w:val="000000"/>
                            <w:sz w:val="20"/>
                          </w:rPr>
                          <w:t>D</w:t>
                        </w:r>
                      </w:p>
                    </w:tc>
                    <w:tc>
                      <w:tcPr>
                        <w:tcW w:w="360" w:type="pct"/>
                      </w:tcPr>
                      <w:p>
                        <w:pPr>
                          <w:jc w:val="center"/>
                          <w:rPr>
                            <w:color w:val="000000"/>
                            <w:sz w:val="20"/>
                          </w:rPr>
                        </w:pPr>
                        <w:r>
                          <w:rPr>
                            <w:color w:val="000000"/>
                            <w:sz w:val="20"/>
                          </w:rPr>
                          <w:t>19 105,000</w:t>
                        </w:r>
                      </w:p>
                      <w:p>
                        <w:pPr>
                          <w:ind w:left="-57" w:right="-57"/>
                          <w:jc w:val="center"/>
                          <w:rPr>
                            <w:sz w:val="18"/>
                            <w:szCs w:val="18"/>
                          </w:rPr>
                        </w:pPr>
                      </w:p>
                      <w:p>
                        <w:pPr>
                          <w:ind w:left="-57" w:right="-57"/>
                          <w:jc w:val="center"/>
                          <w:rPr>
                            <w:sz w:val="18"/>
                            <w:szCs w:val="18"/>
                          </w:rPr>
                        </w:pPr>
                      </w:p>
                    </w:tc>
                    <w:tc>
                      <w:tcPr>
                        <w:tcW w:w="383" w:type="pct"/>
                      </w:tcPr>
                      <w:p>
                        <w:pPr>
                          <w:ind w:left="-57" w:right="-57"/>
                          <w:rPr>
                            <w:sz w:val="18"/>
                            <w:szCs w:val="18"/>
                          </w:rPr>
                        </w:pPr>
                        <w:r>
                          <w:rPr>
                            <w:sz w:val="20"/>
                          </w:rPr>
                          <w:t>EGADP ir</w:t>
                        </w:r>
                      </w:p>
                      <w:p>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pPr>
                          <w:rPr>
                            <w:sz w:val="18"/>
                            <w:szCs w:val="18"/>
                          </w:rPr>
                        </w:pPr>
                      </w:p>
                    </w:tc>
                    <w:tc>
                      <w:tcPr>
                        <w:tcW w:w="448" w:type="pct"/>
                      </w:tcPr>
                      <w:p>
                        <w:pPr>
                          <w:ind w:left="-57" w:right="-57"/>
                          <w:jc w:val="center"/>
                          <w:rPr>
                            <w:sz w:val="18"/>
                            <w:szCs w:val="18"/>
                          </w:rPr>
                        </w:pP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color w:val="000000"/>
                            <w:sz w:val="20"/>
                          </w:rPr>
                        </w:pPr>
                        <w:r>
                          <w:rPr>
                            <w:color w:val="000000"/>
                            <w:sz w:val="20"/>
                          </w:rPr>
                          <w:t>19 000,000</w:t>
                        </w:r>
                      </w:p>
                      <w:p>
                        <w:pPr>
                          <w:ind w:left="-57" w:right="-57"/>
                          <w:jc w:val="center"/>
                          <w:rPr>
                            <w:sz w:val="18"/>
                            <w:szCs w:val="18"/>
                          </w:rPr>
                        </w:pPr>
                      </w:p>
                    </w:tc>
                    <w:tc>
                      <w:tcPr>
                        <w:tcW w:w="383" w:type="pct"/>
                      </w:tcPr>
                      <w:p>
                        <w:pPr>
                          <w:ind w:left="-57" w:right="-57"/>
                          <w:rPr>
                            <w:sz w:val="18"/>
                            <w:szCs w:val="18"/>
                          </w:rPr>
                        </w:pPr>
                        <w:r>
                          <w:rPr>
                            <w:sz w:val="20"/>
                          </w:rPr>
                          <w:t>EGADP lėšos</w:t>
                        </w:r>
                      </w:p>
                      <w:p>
                        <w:pPr>
                          <w:ind w:left="-57" w:right="-57"/>
                          <w:rPr>
                            <w:sz w:val="18"/>
                            <w:szCs w:val="18"/>
                          </w:rPr>
                        </w:pPr>
                      </w:p>
                    </w:tc>
                    <w:tc>
                      <w:tcPr>
                        <w:tcW w:w="638" w:type="pct"/>
                      </w:tcPr>
                      <w:p>
                        <w:pPr>
                          <w:rPr>
                            <w:sz w:val="18"/>
                            <w:szCs w:val="18"/>
                          </w:rPr>
                        </w:pPr>
                        <w:r>
                          <w:rPr>
                            <w:color w:val="000000"/>
                            <w:sz w:val="20"/>
                          </w:rPr>
                          <w:t xml:space="preserve">P – </w:t>
                        </w:r>
                        <w:r>
                          <w:rPr>
                            <w:sz w:val="20"/>
                            <w:lang w:eastAsia="lt-LT"/>
                          </w:rPr>
                          <w:t xml:space="preserve">Įgyvendintos profesinio mokymo programos pameistrystės forma </w:t>
                        </w:r>
                      </w:p>
                    </w:tc>
                    <w:tc>
                      <w:tcPr>
                        <w:tcW w:w="448" w:type="pct"/>
                      </w:tcPr>
                      <w:p>
                        <w:pPr>
                          <w:ind w:left="-57" w:right="-57"/>
                          <w:jc w:val="center"/>
                          <w:rPr>
                            <w:color w:val="000000"/>
                            <w:sz w:val="20"/>
                          </w:rPr>
                        </w:pPr>
                        <w:r>
                          <w:rPr>
                            <w:color w:val="000000"/>
                            <w:sz w:val="20"/>
                          </w:rPr>
                          <w:t>3 866</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restart"/>
                      </w:tcPr>
                      <w:p>
                        <w:pPr>
                          <w:ind w:left="-57" w:right="-57"/>
                          <w:jc w:val="center"/>
                          <w:rPr>
                            <w:sz w:val="18"/>
                            <w:szCs w:val="18"/>
                          </w:rPr>
                        </w:pPr>
                        <w:r>
                          <w:rPr>
                            <w:color w:val="000000"/>
                            <w:sz w:val="20"/>
                          </w:rPr>
                          <w:t>105,000</w:t>
                        </w:r>
                      </w:p>
                    </w:tc>
                    <w:tc>
                      <w:tcPr>
                        <w:tcW w:w="383" w:type="pct"/>
                        <w:vMerge w:val="restart"/>
                      </w:tcPr>
                      <w:p>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 xml:space="preserve">R – </w:t>
                        </w:r>
                        <w:r>
                          <w:rPr>
                            <w:sz w:val="20"/>
                          </w:rPr>
                          <w:t>Švietimo ar mokymo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R – Paramą gaunančių 15–29 metų jaunuolių skaičius</w:t>
                        </w:r>
                      </w:p>
                    </w:tc>
                    <w:tc>
                      <w:tcPr>
                        <w:tcW w:w="448" w:type="pct"/>
                      </w:tcPr>
                      <w:p>
                        <w:pPr>
                          <w:ind w:left="-57" w:right="-57"/>
                          <w:jc w:val="center"/>
                          <w:rPr>
                            <w:color w:val="000000"/>
                            <w:sz w:val="20"/>
                          </w:rPr>
                        </w:pPr>
                        <w:r>
                          <w:rPr>
                            <w:color w:val="000000"/>
                            <w:sz w:val="20"/>
                          </w:rPr>
                          <w:t>n / a</w:t>
                        </w:r>
                      </w:p>
                      <w:p>
                        <w:pPr>
                          <w:ind w:right="-57"/>
                          <w:jc w:val="center"/>
                          <w:rPr>
                            <w:b/>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tcPr>
                      <w:p>
                        <w:pPr>
                          <w:ind w:left="-57" w:right="-57"/>
                          <w:jc w:val="center"/>
                          <w:rPr>
                            <w:sz w:val="18"/>
                            <w:szCs w:val="18"/>
                          </w:rPr>
                        </w:pPr>
                      </w:p>
                    </w:tc>
                    <w:tc>
                      <w:tcPr>
                        <w:tcW w:w="383" w:type="pct"/>
                        <w:vMerge/>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Pj</w:t>
                        </w:r>
                      </w:p>
                    </w:tc>
                    <w:tc>
                      <w:tcPr>
                        <w:tcW w:w="386" w:type="pct"/>
                        <w:vMerge w:val="restart"/>
                      </w:tcPr>
                      <w:p>
                        <w:pPr>
                          <w:ind w:left="-57" w:right="-57"/>
                          <w:jc w:val="center"/>
                          <w:rPr>
                            <w:sz w:val="18"/>
                            <w:szCs w:val="18"/>
                          </w:rPr>
                        </w:pPr>
                        <w:r>
                          <w:rPr>
                            <w:color w:val="000000"/>
                            <w:sz w:val="20"/>
                          </w:rPr>
                          <w:t>Taip</w:t>
                        </w:r>
                      </w:p>
                    </w:tc>
                    <w:tc>
                      <w:tcPr>
                        <w:tcW w:w="449" w:type="pct"/>
                        <w:vMerge w:val="restart"/>
                      </w:tcPr>
                      <w:p>
                        <w:pPr>
                          <w:ind w:left="-57" w:right="-57"/>
                          <w:jc w:val="center"/>
                          <w:rPr>
                            <w:sz w:val="18"/>
                            <w:szCs w:val="18"/>
                          </w:rPr>
                        </w:pPr>
                        <w:r>
                          <w:rPr>
                            <w:color w:val="000000"/>
                            <w:sz w:val="20"/>
                          </w:rPr>
                          <w:t>D</w:t>
                        </w:r>
                      </w:p>
                    </w:tc>
                    <w:tc>
                      <w:tcPr>
                        <w:tcW w:w="360" w:type="pct"/>
                      </w:tcPr>
                      <w:p>
                        <w:pPr>
                          <w:jc w:val="center"/>
                          <w:rPr>
                            <w:color w:val="000000"/>
                            <w:sz w:val="20"/>
                          </w:rPr>
                        </w:pPr>
                        <w:r>
                          <w:rPr>
                            <w:color w:val="000000"/>
                            <w:sz w:val="20"/>
                          </w:rPr>
                          <w:t>7 260,000</w:t>
                        </w:r>
                      </w:p>
                      <w:p>
                        <w:pPr>
                          <w:ind w:left="-57" w:right="-57"/>
                          <w:jc w:val="center"/>
                          <w:rPr>
                            <w:sz w:val="18"/>
                            <w:szCs w:val="18"/>
                          </w:rPr>
                        </w:pPr>
                      </w:p>
                    </w:tc>
                    <w:tc>
                      <w:tcPr>
                        <w:tcW w:w="383" w:type="pct"/>
                      </w:tcPr>
                      <w:p>
                        <w:pPr>
                          <w:ind w:left="-57" w:right="-57"/>
                          <w:rPr>
                            <w:sz w:val="18"/>
                            <w:szCs w:val="18"/>
                          </w:rPr>
                        </w:pPr>
                        <w:r>
                          <w:rPr>
                            <w:sz w:val="20"/>
                          </w:rPr>
                          <w:t xml:space="preserve">EGADP ir </w:t>
                        </w:r>
                        <w:r>
                          <w:rPr>
                            <w:bCs/>
                            <w:sz w:val="20"/>
                          </w:rPr>
                          <w:t>VB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48" w:type="pct"/>
                      </w:tcPr>
                      <w:p>
                        <w:pPr>
                          <w:ind w:left="-57" w:right="-57"/>
                          <w:jc w:val="center"/>
                          <w:rPr>
                            <w:color w:val="000000"/>
                            <w:sz w:val="20"/>
                          </w:rPr>
                        </w:pPr>
                        <w:r>
                          <w:rPr>
                            <w:color w:val="000000"/>
                            <w:sz w:val="20"/>
                          </w:rPr>
                          <w:t>12 394</w:t>
                        </w:r>
                      </w:p>
                      <w:p>
                        <w:pPr>
                          <w:ind w:left="-57" w:right="-57"/>
                          <w:jc w:val="center"/>
                          <w:rPr>
                            <w:sz w:val="18"/>
                            <w:szCs w:val="18"/>
                          </w:rPr>
                        </w:pPr>
                        <w:r>
                          <w:rPr>
                            <w:color w:val="000000"/>
                            <w:sz w:val="20"/>
                          </w:rPr>
                          <w:t>(2026 m.)</w:t>
                        </w: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w:t>
                        </w: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sz w:val="18"/>
                            <w:szCs w:val="18"/>
                          </w:rPr>
                        </w:pPr>
                        <w:r>
                          <w:rPr>
                            <w:color w:val="000000"/>
                            <w:sz w:val="20"/>
                          </w:rPr>
                          <w:t>6 000,000</w:t>
                        </w:r>
                      </w:p>
                      <w:p>
                        <w:pPr>
                          <w:ind w:left="-57" w:right="-57"/>
                          <w:jc w:val="center"/>
                          <w:rPr>
                            <w:sz w:val="18"/>
                            <w:szCs w:val="18"/>
                          </w:rPr>
                        </w:pPr>
                      </w:p>
                    </w:tc>
                    <w:tc>
                      <w:tcPr>
                        <w:tcW w:w="383" w:type="pct"/>
                      </w:tcPr>
                      <w:p>
                        <w:pPr>
                          <w:ind w:left="-57" w:right="-57"/>
                          <w:rPr>
                            <w:sz w:val="18"/>
                            <w:szCs w:val="18"/>
                          </w:rPr>
                        </w:pPr>
                        <w:r>
                          <w:rPr>
                            <w:sz w:val="20"/>
                          </w:rPr>
                          <w:t>EGADP lėšos</w:t>
                        </w:r>
                      </w:p>
                    </w:tc>
                    <w:tc>
                      <w:tcPr>
                        <w:tcW w:w="638" w:type="pct"/>
                      </w:tcPr>
                      <w:p>
                        <w:pPr>
                          <w:rPr>
                            <w:sz w:val="18"/>
                            <w:szCs w:val="18"/>
                          </w:rPr>
                        </w:pPr>
                        <w:r>
                          <w:rPr>
                            <w:color w:val="000000"/>
                            <w:sz w:val="20"/>
                          </w:rPr>
                          <w:t xml:space="preserve">R – </w:t>
                        </w:r>
                        <w:r>
                          <w:rPr>
                            <w:sz w:val="20"/>
                          </w:rPr>
                          <w:t xml:space="preserve">Švietimo ar mokymo veiklos dalyvių skaičius </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restart"/>
                      </w:tcPr>
                      <w:p>
                        <w:pPr>
                          <w:ind w:left="-57" w:right="-57"/>
                          <w:jc w:val="center"/>
                          <w:rPr>
                            <w:sz w:val="18"/>
                            <w:szCs w:val="18"/>
                          </w:rPr>
                        </w:pPr>
                        <w:r>
                          <w:rPr>
                            <w:color w:val="000000"/>
                            <w:sz w:val="20"/>
                          </w:rPr>
                          <w:t>1 260,000</w:t>
                        </w:r>
                      </w:p>
                    </w:tc>
                    <w:tc>
                      <w:tcPr>
                        <w:tcW w:w="383" w:type="pct"/>
                        <w:vMerge w:val="restart"/>
                      </w:tcPr>
                      <w:p>
                        <w:pPr>
                          <w:jc w:val="center"/>
                          <w:rPr>
                            <w:sz w:val="18"/>
                            <w:szCs w:val="18"/>
                          </w:rPr>
                        </w:pPr>
                        <w:r>
                          <w:rPr>
                            <w:bCs/>
                            <w:sz w:val="20"/>
                          </w:rPr>
                          <w:t>VB lėšos, skirtos apmokėti bendrai finansuojamų iš ES fondų lėšų projektų netinkamam finansuoti iš ES fondų lėšų pirkimo ir (arba) importo PVM</w:t>
                        </w:r>
                      </w:p>
                    </w:tc>
                    <w:tc>
                      <w:tcPr>
                        <w:tcW w:w="638" w:type="pct"/>
                      </w:tcPr>
                      <w:p>
                        <w:pPr>
                          <w:rPr>
                            <w:sz w:val="18"/>
                            <w:szCs w:val="18"/>
                          </w:rPr>
                        </w:pPr>
                        <w:r>
                          <w:rPr>
                            <w:color w:val="000000"/>
                            <w:sz w:val="20"/>
                          </w:rPr>
                          <w:t xml:space="preserve">R – </w:t>
                        </w:r>
                        <w:r>
                          <w:rPr>
                            <w:sz w:val="20"/>
                            <w:lang w:eastAsia="lt-LT"/>
                          </w:rPr>
                          <w:t>Švietimo ar mokymo veiklos dalyvių skaičius, iš jų švietimo ar mokymo veiklos (išskyrus skaitmeninių įgūdžių ugdymą)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R – Paramą gaunančių 15–29 metų jaunuolių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vMerge/>
                        <w:vAlign w:val="center"/>
                      </w:tcPr>
                      <w:p>
                        <w:pPr>
                          <w:ind w:left="-57" w:right="-57"/>
                          <w:jc w:val="center"/>
                          <w:rPr>
                            <w:sz w:val="18"/>
                            <w:szCs w:val="18"/>
                          </w:rPr>
                        </w:pPr>
                      </w:p>
                    </w:tc>
                    <w:tc>
                      <w:tcPr>
                        <w:tcW w:w="383" w:type="pct"/>
                        <w:vMerge/>
                        <w:vAlign w:val="center"/>
                      </w:tcPr>
                      <w:p>
                        <w:pPr>
                          <w:ind w:left="-57" w:right="-57"/>
                          <w:rPr>
                            <w:sz w:val="18"/>
                            <w:szCs w:val="18"/>
                          </w:rPr>
                        </w:pPr>
                      </w:p>
                    </w:tc>
                    <w:tc>
                      <w:tcPr>
                        <w:tcW w:w="638" w:type="pct"/>
                      </w:tcPr>
                      <w:p>
                        <w:pPr>
                          <w:rPr>
                            <w:sz w:val="18"/>
                            <w:szCs w:val="18"/>
                          </w:rPr>
                        </w:pPr>
                        <w:r>
                          <w:rPr>
                            <w:color w:val="000000"/>
                            <w:sz w:val="20"/>
                          </w:rPr>
                          <w:t xml:space="preserve">R – </w:t>
                        </w:r>
                        <w:r>
                          <w:rPr>
                            <w:sz w:val="20"/>
                            <w:lang w:eastAsia="lt-LT"/>
                          </w:rPr>
                          <w:t>Švietimo ar mokymo veiklos dalyvių skaičius, iš jų skaitmeninių įgūdžių ugdymo veiklos dalyvių skaičius</w:t>
                        </w:r>
                      </w:p>
                    </w:tc>
                    <w:tc>
                      <w:tcPr>
                        <w:tcW w:w="448" w:type="pct"/>
                      </w:tcPr>
                      <w:p>
                        <w:pPr>
                          <w:ind w:left="-57" w:right="-57"/>
                          <w:jc w:val="center"/>
                          <w:rPr>
                            <w:color w:val="000000"/>
                            <w:sz w:val="20"/>
                          </w:rPr>
                        </w:pPr>
                        <w:r>
                          <w:rPr>
                            <w:color w:val="000000"/>
                            <w:sz w:val="20"/>
                          </w:rPr>
                          <w:t>n / a</w:t>
                        </w:r>
                      </w:p>
                      <w:p>
                        <w:pPr>
                          <w:ind w:left="-57" w:right="-57"/>
                          <w:jc w:val="center"/>
                          <w:rPr>
                            <w:sz w:val="18"/>
                            <w:szCs w:val="18"/>
                          </w:rPr>
                        </w:pPr>
                        <w:r>
                          <w:rPr>
                            <w:color w:val="000000"/>
                            <w:sz w:val="20"/>
                          </w:rPr>
                          <w:t>(2026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46" w:type="pct"/>
                        <w:vAlign w:val="center"/>
                      </w:tcPr>
                      <w:p>
                        <w:pPr>
                          <w:ind w:left="-57" w:right="-57"/>
                          <w:rPr>
                            <w:sz w:val="18"/>
                            <w:szCs w:val="18"/>
                          </w:rPr>
                        </w:pPr>
                      </w:p>
                    </w:tc>
                    <w:tc>
                      <w:tcPr>
                        <w:tcW w:w="386" w:type="pct"/>
                        <w:vAlign w:val="center"/>
                      </w:tcPr>
                      <w:p>
                        <w:pPr>
                          <w:ind w:left="-57" w:right="-57"/>
                          <w:rPr>
                            <w:sz w:val="18"/>
                            <w:szCs w:val="18"/>
                          </w:rPr>
                        </w:pPr>
                      </w:p>
                    </w:tc>
                    <w:tc>
                      <w:tcPr>
                        <w:tcW w:w="259" w:type="pct"/>
                        <w:vAlign w:val="center"/>
                      </w:tcPr>
                      <w:p>
                        <w:pPr>
                          <w:ind w:left="-57" w:right="-57"/>
                          <w:rPr>
                            <w:sz w:val="18"/>
                            <w:szCs w:val="18"/>
                          </w:rPr>
                        </w:pPr>
                      </w:p>
                    </w:tc>
                    <w:tc>
                      <w:tcPr>
                        <w:tcW w:w="386" w:type="pct"/>
                      </w:tcPr>
                      <w:p>
                        <w:pPr>
                          <w:ind w:left="-57" w:right="-57"/>
                          <w:rPr>
                            <w:sz w:val="18"/>
                            <w:szCs w:val="18"/>
                          </w:rPr>
                        </w:pPr>
                      </w:p>
                    </w:tc>
                    <w:tc>
                      <w:tcPr>
                        <w:tcW w:w="449" w:type="pct"/>
                      </w:tcPr>
                      <w:p>
                        <w:pPr>
                          <w:ind w:left="-57" w:right="-57"/>
                          <w:rPr>
                            <w:sz w:val="18"/>
                            <w:szCs w:val="18"/>
                          </w:rPr>
                        </w:pPr>
                      </w:p>
                    </w:tc>
                    <w:tc>
                      <w:tcPr>
                        <w:tcW w:w="360" w:type="pct"/>
                        <w:vAlign w:val="center"/>
                      </w:tcPr>
                      <w:p>
                        <w:pPr>
                          <w:ind w:left="-57" w:right="-57"/>
                          <w:jc w:val="center"/>
                          <w:rPr>
                            <w:sz w:val="18"/>
                            <w:szCs w:val="18"/>
                          </w:rPr>
                        </w:pPr>
                      </w:p>
                    </w:tc>
                    <w:tc>
                      <w:tcPr>
                        <w:tcW w:w="383" w:type="pct"/>
                        <w:vAlign w:val="center"/>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vAlign w:val="center"/>
                      </w:tcPr>
                      <w:p>
                        <w:pPr>
                          <w:ind w:left="-57" w:right="-57"/>
                          <w:jc w:val="center"/>
                          <w:rPr>
                            <w:sz w:val="18"/>
                            <w:szCs w:val="18"/>
                          </w:rPr>
                        </w:pPr>
                      </w:p>
                    </w:tc>
                    <w:tc>
                      <w:tcPr>
                        <w:tcW w:w="449" w:type="pct"/>
                        <w:vAlign w:val="center"/>
                      </w:tcPr>
                      <w:p>
                        <w:pPr>
                          <w:ind w:left="-57" w:right="-57"/>
                          <w:jc w:val="center"/>
                          <w:rPr>
                            <w:sz w:val="18"/>
                            <w:szCs w:val="18"/>
                          </w:rPr>
                        </w:pPr>
                      </w:p>
                    </w:tc>
                  </w:tr>
                  <w:tr>
                    <w:trPr>
                      <w:trHeight w:val="2845"/>
                    </w:trPr>
                    <w:tc>
                      <w:tcPr>
                        <w:tcW w:w="449" w:type="pct"/>
                        <w:vMerge w:val="restart"/>
                      </w:tcPr>
                      <w:p>
                        <w:pPr>
                          <w:ind w:left="-57" w:right="-57"/>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tcPr>
                      <w:p>
                        <w:pPr>
                          <w:jc w:val="center"/>
                          <w:rPr>
                            <w:sz w:val="20"/>
                          </w:rPr>
                        </w:pPr>
                        <w:r>
                          <w:rPr>
                            <w:color w:val="000000"/>
                            <w:sz w:val="20"/>
                          </w:rPr>
                          <w:t>953,236</w:t>
                        </w:r>
                      </w:p>
                      <w:p>
                        <w:pPr>
                          <w:jc w:val="center"/>
                          <w:rPr>
                            <w:sz w:val="20"/>
                          </w:rPr>
                        </w:pPr>
                      </w:p>
                      <w:p>
                        <w:pPr>
                          <w:ind w:left="-57" w:right="-57"/>
                          <w:jc w:val="center"/>
                          <w:rPr>
                            <w:sz w:val="18"/>
                            <w:szCs w:val="18"/>
                          </w:rPr>
                        </w:pPr>
                      </w:p>
                    </w:tc>
                    <w:tc>
                      <w:tcPr>
                        <w:tcW w:w="383" w:type="pct"/>
                      </w:tcPr>
                      <w:p>
                        <w:pPr>
                          <w:ind w:left="-57" w:right="-57"/>
                          <w:rPr>
                            <w:rFonts w:eastAsia="Calibri"/>
                            <w:sz w:val="20"/>
                          </w:rPr>
                        </w:pPr>
                        <w:r>
                          <w:rPr>
                            <w:rFonts w:eastAsia="Calibri"/>
                            <w:sz w:val="20"/>
                          </w:rPr>
                          <w:t xml:space="preserve">2021–2027 m. ES fondų ir </w:t>
                        </w:r>
                      </w:p>
                      <w:p>
                        <w:pPr>
                          <w:ind w:left="-57" w:right="-57"/>
                          <w:rPr>
                            <w:sz w:val="18"/>
                            <w:szCs w:val="18"/>
                          </w:rPr>
                        </w:pPr>
                        <w:r>
                          <w:rPr>
                            <w:color w:val="000000"/>
                            <w:sz w:val="20"/>
                          </w:rPr>
                          <w:t xml:space="preserve">Bendrojo finansavimo (toliau – </w:t>
                        </w:r>
                        <w:r>
                          <w:rPr>
                            <w:sz w:val="20"/>
                          </w:rPr>
                          <w:t>BF)</w:t>
                        </w:r>
                        <w:r>
                          <w:rPr>
                            <w:bCs/>
                            <w:sz w:val="20"/>
                          </w:rPr>
                          <w:t xml:space="preserve"> lėšos</w:t>
                        </w:r>
                      </w:p>
                    </w:tc>
                    <w:tc>
                      <w:tcPr>
                        <w:tcW w:w="638"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pPr>
                          <w:ind w:left="-57" w:right="-57"/>
                          <w:jc w:val="center"/>
                          <w:rPr>
                            <w:color w:val="000000"/>
                            <w:sz w:val="20"/>
                          </w:rPr>
                        </w:pPr>
                        <w:r>
                          <w:rPr>
                            <w:color w:val="000000"/>
                            <w:sz w:val="20"/>
                          </w:rPr>
                          <w:t>4</w:t>
                        </w:r>
                      </w:p>
                      <w:p>
                        <w:pPr>
                          <w:ind w:left="-57" w:right="-57"/>
                          <w:jc w:val="center"/>
                          <w:rPr>
                            <w:sz w:val="18"/>
                            <w:szCs w:val="18"/>
                          </w:rPr>
                        </w:pPr>
                        <w:r>
                          <w:rPr>
                            <w:color w:val="000000"/>
                            <w:sz w:val="20"/>
                          </w:rPr>
                          <w:t>(2029 m.)</w:t>
                        </w:r>
                      </w:p>
                    </w:tc>
                    <w:tc>
                      <w:tcPr>
                        <w:tcW w:w="447" w:type="pct"/>
                        <w:vMerge w:val="restart"/>
                      </w:tcPr>
                      <w:p>
                        <w:pPr>
                          <w:ind w:left="-57" w:right="-57"/>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744"/>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ind w:left="-57" w:right="-57"/>
                          <w:jc w:val="center"/>
                          <w:rPr>
                            <w:sz w:val="18"/>
                            <w:szCs w:val="18"/>
                          </w:rPr>
                        </w:pPr>
                        <w:r>
                          <w:rPr>
                            <w:color w:val="000000"/>
                            <w:sz w:val="20"/>
                          </w:rPr>
                          <w:t>476,618</w:t>
                        </w:r>
                      </w:p>
                    </w:tc>
                    <w:tc>
                      <w:tcPr>
                        <w:tcW w:w="383" w:type="pct"/>
                      </w:tcPr>
                      <w:p>
                        <w:pPr>
                          <w:ind w:left="-57" w:right="-57"/>
                          <w:rPr>
                            <w:sz w:val="18"/>
                            <w:szCs w:val="18"/>
                          </w:rPr>
                        </w:pPr>
                        <w:r>
                          <w:rPr>
                            <w:rFonts w:eastAsia="Calibri"/>
                            <w:sz w:val="20"/>
                          </w:rPr>
                          <w:t>2021–2027 m. ES fondų lėšos</w:t>
                        </w:r>
                      </w:p>
                    </w:tc>
                    <w:tc>
                      <w:tcPr>
                        <w:tcW w:w="638" w:type="pct"/>
                        <w:vMerge w:val="restart"/>
                      </w:tcPr>
                      <w:p>
                        <w:pPr>
                          <w:rPr>
                            <w:sz w:val="18"/>
                            <w:szCs w:val="18"/>
                          </w:rPr>
                        </w:pPr>
                        <w:r>
                          <w:rPr>
                            <w:color w:val="000000"/>
                            <w:sz w:val="20"/>
                          </w:rPr>
                          <w:t xml:space="preserve">P – </w:t>
                        </w:r>
                        <w:r>
                          <w:rPr>
                            <w:sz w:val="20"/>
                            <w:lang w:eastAsia="lt-LT"/>
                          </w:rPr>
                          <w:t>Nepalankias sąlygas turinčių asmenų grupių mokiniai, kuriems buvo skirta parama profesinio mokymo prieinamumui gerinti</w:t>
                        </w:r>
                      </w:p>
                    </w:tc>
                    <w:tc>
                      <w:tcPr>
                        <w:tcW w:w="448" w:type="pct"/>
                        <w:vMerge w:val="restart"/>
                      </w:tcPr>
                      <w:p>
                        <w:pPr>
                          <w:ind w:left="-57" w:right="-57"/>
                          <w:jc w:val="center"/>
                          <w:rPr>
                            <w:color w:val="000000"/>
                            <w:sz w:val="20"/>
                          </w:rPr>
                        </w:pPr>
                        <w:r>
                          <w:rPr>
                            <w:color w:val="000000"/>
                            <w:sz w:val="20"/>
                          </w:rPr>
                          <w:t>130</w:t>
                        </w:r>
                      </w:p>
                      <w:p>
                        <w:pPr>
                          <w:ind w:left="-57" w:right="-57"/>
                          <w:jc w:val="center"/>
                          <w:rPr>
                            <w:sz w:val="18"/>
                            <w:szCs w:val="18"/>
                          </w:rPr>
                        </w:pPr>
                        <w:r>
                          <w:rPr>
                            <w:color w:val="000000"/>
                            <w:sz w:val="20"/>
                          </w:rPr>
                          <w:t>(2029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1482"/>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ind w:left="-57" w:right="-57"/>
                          <w:jc w:val="center"/>
                          <w:rPr>
                            <w:sz w:val="18"/>
                            <w:szCs w:val="18"/>
                          </w:rPr>
                        </w:pPr>
                        <w:r>
                          <w:rPr>
                            <w:color w:val="000000"/>
                            <w:sz w:val="20"/>
                          </w:rPr>
                          <w:t>476,618</w:t>
                        </w:r>
                      </w:p>
                    </w:tc>
                    <w:tc>
                      <w:tcPr>
                        <w:tcW w:w="383" w:type="pct"/>
                      </w:tcPr>
                      <w:p>
                        <w:pPr>
                          <w:ind w:left="-57" w:right="-57"/>
                          <w:rPr>
                            <w:sz w:val="18"/>
                            <w:szCs w:val="18"/>
                          </w:rPr>
                        </w:pPr>
                        <w:r>
                          <w:rPr>
                            <w:color w:val="000000"/>
                            <w:sz w:val="20"/>
                          </w:rPr>
                          <w:t xml:space="preserve">Bendrojo finansavimo (toliau – </w:t>
                        </w:r>
                        <w:r>
                          <w:rPr>
                            <w:sz w:val="20"/>
                          </w:rPr>
                          <w:t>BF)</w:t>
                        </w:r>
                        <w:r>
                          <w:rPr>
                            <w:bCs/>
                            <w:sz w:val="20"/>
                          </w:rPr>
                          <w:t xml:space="preserve"> lėšos</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233"/>
                    </w:trPr>
                    <w:tc>
                      <w:tcPr>
                        <w:tcW w:w="449"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46" w:type="pct"/>
                        <w:vMerge w:val="restart"/>
                      </w:tcPr>
                      <w:p>
                        <w:pPr>
                          <w:ind w:left="-57" w:right="-57"/>
                          <w:jc w:val="center"/>
                          <w:rPr>
                            <w:sz w:val="18"/>
                            <w:szCs w:val="18"/>
                          </w:rPr>
                        </w:pPr>
                        <w:r>
                          <w:rPr>
                            <w:color w:val="000000"/>
                            <w:sz w:val="20"/>
                          </w:rPr>
                          <w:t>I</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sz w:val="18"/>
                            <w:szCs w:val="18"/>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tcPr>
                      <w:p>
                        <w:pPr>
                          <w:ind w:left="-57" w:right="-57"/>
                          <w:jc w:val="center"/>
                          <w:rPr>
                            <w:sz w:val="20"/>
                          </w:rPr>
                        </w:pPr>
                        <w:r>
                          <w:rPr>
                            <w:color w:val="000000"/>
                            <w:sz w:val="20"/>
                          </w:rPr>
                          <w:t>4 729,147</w:t>
                        </w:r>
                      </w:p>
                      <w:p>
                        <w:pPr>
                          <w:ind w:left="-57" w:right="-57"/>
                          <w:jc w:val="center"/>
                          <w:rPr>
                            <w:sz w:val="18"/>
                            <w:szCs w:val="18"/>
                          </w:rPr>
                        </w:pPr>
                      </w:p>
                    </w:tc>
                    <w:tc>
                      <w:tcPr>
                        <w:tcW w:w="383" w:type="pct"/>
                      </w:tcPr>
                      <w:p>
                        <w:pPr>
                          <w:rPr>
                            <w:rFonts w:eastAsia="Calibri"/>
                            <w:sz w:val="20"/>
                          </w:rPr>
                        </w:pPr>
                        <w:r>
                          <w:rPr>
                            <w:rFonts w:eastAsia="Calibri"/>
                            <w:sz w:val="20"/>
                          </w:rPr>
                          <w:t>2021–2027 m. ES fondų ir</w:t>
                        </w:r>
                      </w:p>
                      <w:p>
                        <w:pPr>
                          <w:rPr>
                            <w:sz w:val="18"/>
                            <w:szCs w:val="18"/>
                          </w:rPr>
                        </w:pPr>
                        <w:r>
                          <w:rPr>
                            <w:sz w:val="20"/>
                          </w:rPr>
                          <w:t>BF</w:t>
                        </w:r>
                        <w:r>
                          <w:rPr>
                            <w:bCs/>
                            <w:sz w:val="20"/>
                          </w:rPr>
                          <w:t xml:space="preserve"> lėšos</w:t>
                        </w:r>
                      </w:p>
                    </w:tc>
                    <w:tc>
                      <w:tcPr>
                        <w:tcW w:w="638"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448" w:type="pct"/>
                      </w:tcPr>
                      <w:p>
                        <w:pPr>
                          <w:ind w:left="-57" w:right="-57"/>
                          <w:jc w:val="center"/>
                          <w:rPr>
                            <w:color w:val="000000"/>
                            <w:sz w:val="20"/>
                          </w:rPr>
                        </w:pPr>
                        <w:r>
                          <w:rPr>
                            <w:color w:val="000000"/>
                            <w:sz w:val="20"/>
                          </w:rPr>
                          <w:t>4</w:t>
                        </w:r>
                      </w:p>
                      <w:p>
                        <w:pPr>
                          <w:ind w:left="-57" w:right="-57"/>
                          <w:jc w:val="center"/>
                          <w:rPr>
                            <w:sz w:val="18"/>
                            <w:szCs w:val="18"/>
                          </w:rPr>
                        </w:pPr>
                        <w:r>
                          <w:rPr>
                            <w:color w:val="000000"/>
                            <w:sz w:val="20"/>
                          </w:rPr>
                          <w:t>(2029 m.)</w:t>
                        </w:r>
                      </w:p>
                    </w:tc>
                    <w:tc>
                      <w:tcPr>
                        <w:tcW w:w="447" w:type="pct"/>
                        <w:vMerge w:val="restart"/>
                      </w:tcPr>
                      <w:p>
                        <w:pPr>
                          <w:jc w:val="center"/>
                          <w:rPr>
                            <w:sz w:val="18"/>
                            <w:szCs w:val="18"/>
                          </w:rPr>
                        </w:pPr>
                        <w:r>
                          <w:rPr>
                            <w:color w:val="000000"/>
                            <w:sz w:val="20"/>
                          </w:rPr>
                          <w:t>CPVA</w:t>
                        </w:r>
                      </w:p>
                    </w:tc>
                    <w:tc>
                      <w:tcPr>
                        <w:tcW w:w="449" w:type="pct"/>
                        <w:vMerge w:val="restart"/>
                      </w:tcPr>
                      <w:p>
                        <w:pPr>
                          <w:ind w:left="-57" w:right="-57"/>
                          <w:jc w:val="center"/>
                          <w:rPr>
                            <w:sz w:val="18"/>
                            <w:szCs w:val="18"/>
                          </w:rPr>
                        </w:pPr>
                        <w:r>
                          <w:rPr>
                            <w:color w:val="000000"/>
                            <w:sz w:val="20"/>
                          </w:rPr>
                          <w:t>ŠMSM, SADM, EIM, ŽŪM</w:t>
                        </w:r>
                      </w:p>
                    </w:tc>
                  </w:tr>
                  <w:tr>
                    <w:trPr>
                      <w:trHeight w:val="1482"/>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ind w:left="-57" w:right="-57"/>
                          <w:jc w:val="center"/>
                          <w:rPr>
                            <w:sz w:val="18"/>
                            <w:szCs w:val="18"/>
                          </w:rPr>
                        </w:pPr>
                        <w:r>
                          <w:rPr>
                            <w:color w:val="000000"/>
                            <w:sz w:val="20"/>
                          </w:rPr>
                          <w:t>4 019,775</w:t>
                        </w:r>
                      </w:p>
                    </w:tc>
                    <w:tc>
                      <w:tcPr>
                        <w:tcW w:w="383" w:type="pct"/>
                      </w:tcPr>
                      <w:p>
                        <w:pPr>
                          <w:ind w:left="-57" w:right="-57"/>
                          <w:rPr>
                            <w:sz w:val="18"/>
                            <w:szCs w:val="18"/>
                          </w:rPr>
                        </w:pPr>
                        <w:r>
                          <w:rPr>
                            <w:rFonts w:eastAsia="Calibri"/>
                            <w:sz w:val="20"/>
                          </w:rPr>
                          <w:t>2021–2027 m. ES fondų lėšos</w:t>
                        </w:r>
                      </w:p>
                    </w:tc>
                    <w:tc>
                      <w:tcPr>
                        <w:tcW w:w="638" w:type="pct"/>
                        <w:vMerge w:val="restart"/>
                      </w:tcPr>
                      <w:p>
                        <w:pPr>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448" w:type="pct"/>
                        <w:vMerge w:val="restart"/>
                      </w:tcPr>
                      <w:p>
                        <w:pPr>
                          <w:ind w:left="-57" w:right="-57"/>
                          <w:jc w:val="center"/>
                          <w:rPr>
                            <w:color w:val="000000"/>
                            <w:sz w:val="20"/>
                          </w:rPr>
                        </w:pPr>
                        <w:r>
                          <w:rPr>
                            <w:color w:val="000000"/>
                            <w:sz w:val="20"/>
                          </w:rPr>
                          <w:t>660</w:t>
                        </w:r>
                      </w:p>
                      <w:p>
                        <w:pPr>
                          <w:ind w:left="-57" w:right="-57"/>
                          <w:jc w:val="center"/>
                          <w:rPr>
                            <w:sz w:val="18"/>
                            <w:szCs w:val="18"/>
                          </w:rPr>
                        </w:pPr>
                        <w:r>
                          <w:rPr>
                            <w:color w:val="000000"/>
                            <w:sz w:val="20"/>
                          </w:rPr>
                          <w:t>(2029 m.)</w:t>
                        </w: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1195"/>
                    </w:trPr>
                    <w:tc>
                      <w:tcPr>
                        <w:tcW w:w="449" w:type="pct"/>
                        <w:vMerge/>
                        <w:vAlign w:val="center"/>
                      </w:tcPr>
                      <w:p>
                        <w:pPr>
                          <w:ind w:left="-57" w:right="-57"/>
                          <w:rPr>
                            <w:sz w:val="18"/>
                            <w:szCs w:val="18"/>
                          </w:rPr>
                        </w:pPr>
                      </w:p>
                    </w:tc>
                    <w:tc>
                      <w:tcPr>
                        <w:tcW w:w="346" w:type="pct"/>
                        <w:vMerge/>
                        <w:vAlign w:val="center"/>
                      </w:tcPr>
                      <w:p>
                        <w:pPr>
                          <w:ind w:left="-57" w:right="-57"/>
                          <w:rPr>
                            <w:sz w:val="18"/>
                            <w:szCs w:val="18"/>
                          </w:rPr>
                        </w:pPr>
                      </w:p>
                    </w:tc>
                    <w:tc>
                      <w:tcPr>
                        <w:tcW w:w="386" w:type="pct"/>
                        <w:vMerge/>
                        <w:vAlign w:val="center"/>
                      </w:tcPr>
                      <w:p>
                        <w:pPr>
                          <w:ind w:left="-57" w:right="-57"/>
                          <w:rPr>
                            <w:sz w:val="18"/>
                            <w:szCs w:val="18"/>
                          </w:rPr>
                        </w:pPr>
                      </w:p>
                    </w:tc>
                    <w:tc>
                      <w:tcPr>
                        <w:tcW w:w="259" w:type="pct"/>
                        <w:vMerge/>
                        <w:vAlign w:val="center"/>
                      </w:tcPr>
                      <w:p>
                        <w:pPr>
                          <w:ind w:left="-57" w:right="-57"/>
                          <w:rPr>
                            <w:sz w:val="18"/>
                            <w:szCs w:val="18"/>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ind w:left="-57" w:right="-57"/>
                          <w:jc w:val="center"/>
                          <w:rPr>
                            <w:sz w:val="18"/>
                            <w:szCs w:val="18"/>
                          </w:rPr>
                        </w:pPr>
                        <w:r>
                          <w:rPr>
                            <w:color w:val="000000"/>
                            <w:sz w:val="20"/>
                          </w:rPr>
                          <w:t>709,372</w:t>
                        </w:r>
                      </w:p>
                    </w:tc>
                    <w:tc>
                      <w:tcPr>
                        <w:tcW w:w="383" w:type="pct"/>
                      </w:tcPr>
                      <w:p>
                        <w:pPr>
                          <w:ind w:left="-57" w:right="-57"/>
                          <w:rPr>
                            <w:sz w:val="18"/>
                            <w:szCs w:val="18"/>
                          </w:rPr>
                        </w:pPr>
                        <w:r>
                          <w:rPr>
                            <w:sz w:val="20"/>
                          </w:rPr>
                          <w:t>BF</w:t>
                        </w:r>
                        <w:r>
                          <w:rPr>
                            <w:bCs/>
                            <w:sz w:val="20"/>
                          </w:rPr>
                          <w:t xml:space="preserve"> lėšos</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vAlign w:val="center"/>
                      </w:tcPr>
                      <w:p>
                        <w:pPr>
                          <w:ind w:left="-57" w:right="-57"/>
                          <w:jc w:val="center"/>
                          <w:rPr>
                            <w:sz w:val="18"/>
                            <w:szCs w:val="18"/>
                          </w:rPr>
                        </w:pPr>
                      </w:p>
                    </w:tc>
                    <w:tc>
                      <w:tcPr>
                        <w:tcW w:w="449" w:type="pct"/>
                        <w:vMerge/>
                        <w:vAlign w:val="center"/>
                      </w:tcPr>
                      <w:p>
                        <w:pPr>
                          <w:ind w:left="-57" w:right="-57"/>
                          <w:jc w:val="center"/>
                          <w:rPr>
                            <w:sz w:val="18"/>
                            <w:szCs w:val="18"/>
                          </w:rPr>
                        </w:pPr>
                      </w:p>
                    </w:tc>
                  </w:tr>
                  <w:tr>
                    <w:trPr>
                      <w:trHeight w:val="1150"/>
                    </w:trPr>
                    <w:tc>
                      <w:tcPr>
                        <w:tcW w:w="449" w:type="pc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46" w:type="pct"/>
                      </w:tcPr>
                      <w:p>
                        <w:pPr>
                          <w:ind w:left="-57" w:right="-57"/>
                          <w:rPr>
                            <w:sz w:val="18"/>
                            <w:szCs w:val="18"/>
                          </w:rPr>
                        </w:pPr>
                      </w:p>
                    </w:tc>
                    <w:tc>
                      <w:tcPr>
                        <w:tcW w:w="386" w:type="pct"/>
                      </w:tcPr>
                      <w:p>
                        <w:pPr>
                          <w:ind w:left="-57" w:right="-57"/>
                          <w:rPr>
                            <w:sz w:val="18"/>
                            <w:szCs w:val="18"/>
                          </w:rPr>
                        </w:pPr>
                      </w:p>
                    </w:tc>
                    <w:tc>
                      <w:tcPr>
                        <w:tcW w:w="259" w:type="pct"/>
                      </w:tcPr>
                      <w:p>
                        <w:pPr>
                          <w:ind w:left="-57" w:right="-57"/>
                          <w:rPr>
                            <w:sz w:val="18"/>
                            <w:szCs w:val="18"/>
                          </w:rPr>
                        </w:pPr>
                      </w:p>
                    </w:tc>
                    <w:tc>
                      <w:tcPr>
                        <w:tcW w:w="386" w:type="pct"/>
                      </w:tcPr>
                      <w:p>
                        <w:pPr>
                          <w:rPr>
                            <w:sz w:val="18"/>
                            <w:szCs w:val="18"/>
                          </w:rPr>
                        </w:pPr>
                      </w:p>
                    </w:tc>
                    <w:tc>
                      <w:tcPr>
                        <w:tcW w:w="449" w:type="pct"/>
                      </w:tcPr>
                      <w:p>
                        <w:pPr>
                          <w:ind w:left="-57" w:right="-57"/>
                          <w:rPr>
                            <w:sz w:val="18"/>
                            <w:szCs w:val="18"/>
                          </w:rPr>
                        </w:pPr>
                      </w:p>
                    </w:tc>
                    <w:tc>
                      <w:tcPr>
                        <w:tcW w:w="360" w:type="pct"/>
                      </w:tcPr>
                      <w:p>
                        <w:pPr>
                          <w:ind w:left="-57" w:right="-57"/>
                          <w:jc w:val="center"/>
                          <w:rPr>
                            <w:sz w:val="18"/>
                            <w:szCs w:val="18"/>
                          </w:rPr>
                        </w:pPr>
                      </w:p>
                    </w:tc>
                    <w:tc>
                      <w:tcPr>
                        <w:tcW w:w="383" w:type="pct"/>
                      </w:tcPr>
                      <w:p>
                        <w:pPr>
                          <w:ind w:left="-57" w:right="-57"/>
                          <w:rPr>
                            <w:sz w:val="18"/>
                            <w:szCs w:val="18"/>
                          </w:rPr>
                        </w:pPr>
                      </w:p>
                    </w:tc>
                    <w:tc>
                      <w:tcPr>
                        <w:tcW w:w="638" w:type="pct"/>
                      </w:tcPr>
                      <w:p>
                        <w:pPr>
                          <w:rPr>
                            <w:sz w:val="18"/>
                            <w:szCs w:val="18"/>
                          </w:rPr>
                        </w:pPr>
                      </w:p>
                    </w:tc>
                    <w:tc>
                      <w:tcPr>
                        <w:tcW w:w="448" w:type="pct"/>
                      </w:tcPr>
                      <w:p>
                        <w:pPr>
                          <w:ind w:left="-57" w:right="-57"/>
                          <w:jc w:val="center"/>
                          <w:rPr>
                            <w:sz w:val="18"/>
                            <w:szCs w:val="18"/>
                          </w:rPr>
                        </w:pPr>
                      </w:p>
                    </w:tc>
                    <w:tc>
                      <w:tcPr>
                        <w:tcW w:w="447" w:type="pct"/>
                      </w:tcPr>
                      <w:p>
                        <w:pPr>
                          <w:ind w:left="-57" w:right="-57"/>
                          <w:jc w:val="center"/>
                          <w:rPr>
                            <w:sz w:val="18"/>
                            <w:szCs w:val="18"/>
                          </w:rPr>
                        </w:pPr>
                      </w:p>
                    </w:tc>
                    <w:tc>
                      <w:tcPr>
                        <w:tcW w:w="449" w:type="pct"/>
                      </w:tcPr>
                      <w:p>
                        <w:pPr>
                          <w:ind w:left="-57" w:right="-57"/>
                          <w:jc w:val="center"/>
                          <w:rPr>
                            <w:sz w:val="18"/>
                            <w:szCs w:val="18"/>
                          </w:rPr>
                        </w:pPr>
                      </w:p>
                    </w:tc>
                  </w:tr>
                  <w:tr>
                    <w:trPr>
                      <w:trHeight w:val="688"/>
                    </w:trPr>
                    <w:tc>
                      <w:tcPr>
                        <w:tcW w:w="449" w:type="pct"/>
                        <w:vMerge w:val="restart"/>
                      </w:tcPr>
                      <w:p>
                        <w:pPr>
                          <w:ind w:left="-57" w:right="-57"/>
                          <w:rPr>
                            <w:color w:val="000000"/>
                            <w:sz w:val="20"/>
                          </w:rPr>
                        </w:pPr>
                        <w:r>
                          <w:rPr>
                            <w:color w:val="000000"/>
                            <w:sz w:val="20"/>
                          </w:rPr>
                          <w:t>7.1 Investicijų į profesinio mokymo infrastruktūrą poreikio analizė</w:t>
                        </w:r>
                      </w:p>
                    </w:tc>
                    <w:tc>
                      <w:tcPr>
                        <w:tcW w:w="346" w:type="pct"/>
                        <w:vMerge w:val="restart"/>
                      </w:tcPr>
                      <w:p>
                        <w:pPr>
                          <w:ind w:left="-57" w:right="-57"/>
                          <w:jc w:val="center"/>
                          <w:rPr>
                            <w:color w:val="000000"/>
                            <w:sz w:val="20"/>
                          </w:rPr>
                        </w:pPr>
                        <w:r>
                          <w:rPr>
                            <w:color w:val="000000"/>
                            <w:sz w:val="20"/>
                          </w:rPr>
                          <w:t>A</w:t>
                        </w:r>
                      </w:p>
                    </w:tc>
                    <w:tc>
                      <w:tcPr>
                        <w:tcW w:w="386" w:type="pct"/>
                        <w:vMerge w:val="restart"/>
                      </w:tcPr>
                      <w:p>
                        <w:pPr>
                          <w:ind w:left="-57" w:right="-57"/>
                          <w:jc w:val="center"/>
                          <w:rPr>
                            <w:color w:val="000000"/>
                            <w:sz w:val="20"/>
                          </w:rPr>
                        </w:pPr>
                        <w:r>
                          <w:rPr>
                            <w:color w:val="000000"/>
                            <w:sz w:val="20"/>
                          </w:rPr>
                          <w:t>ESFA</w:t>
                        </w:r>
                      </w:p>
                    </w:tc>
                    <w:tc>
                      <w:tcPr>
                        <w:tcW w:w="259" w:type="pct"/>
                        <w:vMerge w:val="restart"/>
                      </w:tcPr>
                      <w:p>
                        <w:pPr>
                          <w:ind w:left="-57" w:right="-57"/>
                          <w:jc w:val="center"/>
                          <w:rPr>
                            <w:color w:val="000000"/>
                            <w:sz w:val="20"/>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tcPr>
                      <w:p>
                        <w:pPr>
                          <w:jc w:val="center"/>
                          <w:rPr>
                            <w:color w:val="000000"/>
                            <w:sz w:val="20"/>
                          </w:rPr>
                        </w:pPr>
                        <w:r>
                          <w:rPr>
                            <w:sz w:val="20"/>
                          </w:rPr>
                          <w:t>800,000</w:t>
                        </w:r>
                      </w:p>
                      <w:p>
                        <w:pPr>
                          <w:jc w:val="center"/>
                          <w:rPr>
                            <w:color w:val="000000"/>
                            <w:sz w:val="20"/>
                          </w:rPr>
                        </w:pPr>
                      </w:p>
                    </w:tc>
                    <w:tc>
                      <w:tcPr>
                        <w:tcW w:w="383" w:type="pct"/>
                      </w:tcPr>
                      <w:p>
                        <w:pPr>
                          <w:ind w:left="-57" w:right="-57"/>
                          <w:rPr>
                            <w:rFonts w:eastAsia="Calibri"/>
                            <w:sz w:val="20"/>
                          </w:rPr>
                        </w:pPr>
                        <w:r>
                          <w:rPr>
                            <w:rFonts w:eastAsia="Calibri"/>
                            <w:sz w:val="20"/>
                          </w:rPr>
                          <w:t>2021–2027 m. ES fondų ir</w:t>
                        </w:r>
                      </w:p>
                      <w:p>
                        <w:pPr>
                          <w:ind w:left="-57" w:right="-57"/>
                          <w:rPr>
                            <w:sz w:val="20"/>
                          </w:rPr>
                        </w:pPr>
                        <w:r>
                          <w:rPr>
                            <w:sz w:val="20"/>
                          </w:rPr>
                          <w:t>BF</w:t>
                        </w:r>
                        <w:r>
                          <w:rPr>
                            <w:bCs/>
                            <w:sz w:val="20"/>
                          </w:rPr>
                          <w:t xml:space="preserve"> lėšos</w:t>
                        </w:r>
                      </w:p>
                    </w:tc>
                    <w:tc>
                      <w:tcPr>
                        <w:tcW w:w="638" w:type="pct"/>
                        <w:vMerge w:val="restart"/>
                      </w:tcPr>
                      <w:p>
                        <w:pPr>
                          <w:rPr>
                            <w:color w:val="000000"/>
                            <w:sz w:val="20"/>
                          </w:rPr>
                        </w:pPr>
                        <w:r>
                          <w:rPr>
                            <w:color w:val="000000"/>
                            <w:sz w:val="20"/>
                          </w:rPr>
                          <w:t>P – Investicijų į profesinio mokymo infrastruktūrą poreikio analizė</w:t>
                        </w:r>
                      </w:p>
                    </w:tc>
                    <w:tc>
                      <w:tcPr>
                        <w:tcW w:w="448" w:type="pct"/>
                        <w:vMerge w:val="restart"/>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(2025 m.)</w:t>
                        </w:r>
                      </w:p>
                    </w:tc>
                    <w:tc>
                      <w:tcPr>
                        <w:tcW w:w="447" w:type="pct"/>
                        <w:vMerge w:val="restart"/>
                      </w:tcPr>
                      <w:p>
                        <w:pPr>
                          <w:ind w:left="-57" w:right="-57"/>
                          <w:jc w:val="center"/>
                          <w:rPr>
                            <w:color w:val="000000"/>
                            <w:sz w:val="20"/>
                          </w:rPr>
                        </w:pPr>
                        <w:r>
                          <w:rPr>
                            <w:color w:val="000000"/>
                            <w:sz w:val="20"/>
                          </w:rPr>
                          <w:t>CPVA</w:t>
                        </w:r>
                      </w:p>
                    </w:tc>
                    <w:tc>
                      <w:tcPr>
                        <w:tcW w:w="449" w:type="pct"/>
                        <w:vMerge w:val="restart"/>
                      </w:tcPr>
                      <w:p>
                        <w:pPr>
                          <w:ind w:left="-57" w:right="-57"/>
                          <w:jc w:val="center"/>
                          <w:rPr>
                            <w:color w:val="000000"/>
                            <w:sz w:val="20"/>
                          </w:rPr>
                        </w:pPr>
                        <w:r>
                          <w:rPr>
                            <w:color w:val="000000"/>
                            <w:sz w:val="20"/>
                          </w:rPr>
                          <w:t>ŠMSM, SADM, EIM, ŽŪM</w:t>
                        </w:r>
                      </w:p>
                    </w:tc>
                  </w:tr>
                  <w:tr>
                    <w:trPr>
                      <w:trHeight w:val="688"/>
                    </w:trPr>
                    <w:tc>
                      <w:tcPr>
                        <w:tcW w:w="449" w:type="pct"/>
                        <w:vMerge/>
                      </w:tcPr>
                      <w:p>
                        <w:pPr>
                          <w:ind w:left="-57" w:right="-57"/>
                          <w:rPr>
                            <w:color w:val="000000"/>
                            <w:sz w:val="20"/>
                          </w:rPr>
                        </w:pPr>
                      </w:p>
                    </w:tc>
                    <w:tc>
                      <w:tcPr>
                        <w:tcW w:w="346" w:type="pct"/>
                        <w:vMerge/>
                      </w:tcPr>
                      <w:p>
                        <w:pPr>
                          <w:ind w:left="-57" w:right="-57"/>
                          <w:jc w:val="center"/>
                          <w:rPr>
                            <w:color w:val="000000"/>
                            <w:sz w:val="20"/>
                          </w:rPr>
                        </w:pPr>
                      </w:p>
                    </w:tc>
                    <w:tc>
                      <w:tcPr>
                        <w:tcW w:w="386" w:type="pct"/>
                        <w:vMerge/>
                      </w:tcPr>
                      <w:p>
                        <w:pPr>
                          <w:ind w:left="-57" w:right="-57"/>
                          <w:jc w:val="center"/>
                          <w:rPr>
                            <w:color w:val="000000"/>
                            <w:sz w:val="20"/>
                          </w:rPr>
                        </w:pPr>
                      </w:p>
                    </w:tc>
                    <w:tc>
                      <w:tcPr>
                        <w:tcW w:w="259" w:type="pct"/>
                        <w:vMerge/>
                      </w:tcPr>
                      <w:p>
                        <w:pPr>
                          <w:ind w:left="-57" w:right="-57"/>
                          <w:jc w:val="center"/>
                          <w:rPr>
                            <w:color w:val="000000"/>
                            <w:sz w:val="20"/>
                          </w:rPr>
                        </w:pPr>
                      </w:p>
                    </w:tc>
                    <w:tc>
                      <w:tcPr>
                        <w:tcW w:w="386" w:type="pct"/>
                        <w:vMerge/>
                      </w:tcPr>
                      <w:p>
                        <w:pPr>
                          <w:ind w:left="-57" w:right="-57"/>
                          <w:jc w:val="center"/>
                          <w:rPr>
                            <w:sz w:val="18"/>
                            <w:szCs w:val="18"/>
                          </w:rPr>
                        </w:pPr>
                      </w:p>
                    </w:tc>
                    <w:tc>
                      <w:tcPr>
                        <w:tcW w:w="449" w:type="pct"/>
                        <w:vMerge/>
                      </w:tcPr>
                      <w:p>
                        <w:pPr>
                          <w:ind w:left="-57" w:right="-57"/>
                          <w:jc w:val="center"/>
                          <w:rPr>
                            <w:color w:val="000000"/>
                            <w:sz w:val="20"/>
                          </w:rPr>
                        </w:pPr>
                      </w:p>
                    </w:tc>
                    <w:tc>
                      <w:tcPr>
                        <w:tcW w:w="360" w:type="pct"/>
                      </w:tcPr>
                      <w:p>
                        <w:pPr>
                          <w:jc w:val="center"/>
                          <w:rPr>
                            <w:sz w:val="20"/>
                          </w:rPr>
                        </w:pPr>
                        <w:r>
                          <w:rPr>
                            <w:sz w:val="20"/>
                          </w:rPr>
                          <w:t>680,000</w:t>
                        </w:r>
                      </w:p>
                    </w:tc>
                    <w:tc>
                      <w:tcPr>
                        <w:tcW w:w="383" w:type="pct"/>
                      </w:tcPr>
                      <w:p>
                        <w:pPr>
                          <w:ind w:left="-57" w:right="-57"/>
                          <w:rPr>
                            <w:rFonts w:eastAsia="Calibri"/>
                            <w:sz w:val="20"/>
                          </w:rPr>
                        </w:pPr>
                        <w:r>
                          <w:rPr>
                            <w:rFonts w:eastAsia="Calibri"/>
                            <w:sz w:val="20"/>
                          </w:rPr>
                          <w:t>2021–2027 m. ES fondų lėšos</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tcPr>
                      <w:p>
                        <w:pPr>
                          <w:ind w:left="-57" w:right="-57"/>
                          <w:jc w:val="center"/>
                          <w:rPr>
                            <w:color w:val="000000"/>
                            <w:sz w:val="20"/>
                          </w:rPr>
                        </w:pPr>
                      </w:p>
                    </w:tc>
                    <w:tc>
                      <w:tcPr>
                        <w:tcW w:w="449" w:type="pct"/>
                        <w:vMerge/>
                      </w:tcPr>
                      <w:p>
                        <w:pPr>
                          <w:ind w:left="-57" w:right="-57"/>
                          <w:jc w:val="center"/>
                          <w:rPr>
                            <w:color w:val="000000"/>
                            <w:sz w:val="20"/>
                          </w:rPr>
                        </w:pPr>
                      </w:p>
                    </w:tc>
                  </w:tr>
                  <w:tr>
                    <w:trPr>
                      <w:trHeight w:val="380"/>
                    </w:trPr>
                    <w:tc>
                      <w:tcPr>
                        <w:tcW w:w="449" w:type="pct"/>
                        <w:vMerge/>
                      </w:tcPr>
                      <w:p>
                        <w:pPr>
                          <w:ind w:left="-57" w:right="-57"/>
                          <w:rPr>
                            <w:color w:val="000000"/>
                            <w:sz w:val="20"/>
                          </w:rPr>
                        </w:pPr>
                      </w:p>
                    </w:tc>
                    <w:tc>
                      <w:tcPr>
                        <w:tcW w:w="346" w:type="pct"/>
                        <w:vMerge/>
                      </w:tcPr>
                      <w:p>
                        <w:pPr>
                          <w:ind w:left="-57" w:right="-57"/>
                          <w:jc w:val="center"/>
                          <w:rPr>
                            <w:color w:val="000000"/>
                            <w:sz w:val="20"/>
                          </w:rPr>
                        </w:pPr>
                      </w:p>
                    </w:tc>
                    <w:tc>
                      <w:tcPr>
                        <w:tcW w:w="386" w:type="pct"/>
                        <w:vMerge/>
                      </w:tcPr>
                      <w:p>
                        <w:pPr>
                          <w:ind w:left="-57" w:right="-57"/>
                          <w:jc w:val="center"/>
                          <w:rPr>
                            <w:color w:val="000000"/>
                            <w:sz w:val="20"/>
                          </w:rPr>
                        </w:pPr>
                      </w:p>
                    </w:tc>
                    <w:tc>
                      <w:tcPr>
                        <w:tcW w:w="259" w:type="pct"/>
                        <w:vMerge/>
                      </w:tcPr>
                      <w:p>
                        <w:pPr>
                          <w:ind w:left="-57" w:right="-57"/>
                          <w:jc w:val="center"/>
                          <w:rPr>
                            <w:color w:val="000000"/>
                            <w:sz w:val="20"/>
                          </w:rPr>
                        </w:pPr>
                      </w:p>
                    </w:tc>
                    <w:tc>
                      <w:tcPr>
                        <w:tcW w:w="386" w:type="pct"/>
                        <w:vMerge/>
                      </w:tcPr>
                      <w:p>
                        <w:pPr>
                          <w:ind w:left="-57" w:right="-57"/>
                          <w:jc w:val="center"/>
                          <w:rPr>
                            <w:sz w:val="18"/>
                            <w:szCs w:val="18"/>
                          </w:rPr>
                        </w:pPr>
                      </w:p>
                    </w:tc>
                    <w:tc>
                      <w:tcPr>
                        <w:tcW w:w="449" w:type="pct"/>
                        <w:vMerge/>
                      </w:tcPr>
                      <w:p>
                        <w:pPr>
                          <w:ind w:left="-57" w:right="-57"/>
                          <w:jc w:val="center"/>
                          <w:rPr>
                            <w:color w:val="000000"/>
                            <w:sz w:val="20"/>
                          </w:rPr>
                        </w:pPr>
                      </w:p>
                    </w:tc>
                    <w:tc>
                      <w:tcPr>
                        <w:tcW w:w="360" w:type="pct"/>
                      </w:tcPr>
                      <w:p>
                        <w:pPr>
                          <w:jc w:val="center"/>
                          <w:rPr>
                            <w:sz w:val="20"/>
                          </w:rPr>
                        </w:pPr>
                        <w:r>
                          <w:rPr>
                            <w:color w:val="000000"/>
                            <w:sz w:val="20"/>
                          </w:rPr>
                          <w:t>120,000</w:t>
                        </w:r>
                      </w:p>
                    </w:tc>
                    <w:tc>
                      <w:tcPr>
                        <w:tcW w:w="383" w:type="pct"/>
                      </w:tcPr>
                      <w:p>
                        <w:pPr>
                          <w:ind w:left="-57" w:right="-57"/>
                          <w:rPr>
                            <w:rFonts w:eastAsia="Calibri"/>
                            <w:sz w:val="20"/>
                          </w:rPr>
                        </w:pPr>
                        <w:r>
                          <w:rPr>
                            <w:sz w:val="20"/>
                          </w:rPr>
                          <w:t>BF</w:t>
                        </w:r>
                        <w:r>
                          <w:rPr>
                            <w:bCs/>
                            <w:sz w:val="20"/>
                          </w:rPr>
                          <w:t xml:space="preserve"> lėšos</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tcPr>
                      <w:p>
                        <w:pPr>
                          <w:ind w:left="-57" w:right="-57"/>
                          <w:jc w:val="center"/>
                          <w:rPr>
                            <w:color w:val="000000"/>
                            <w:sz w:val="20"/>
                          </w:rPr>
                        </w:pPr>
                      </w:p>
                    </w:tc>
                    <w:tc>
                      <w:tcPr>
                        <w:tcW w:w="449" w:type="pct"/>
                        <w:vMerge/>
                      </w:tcPr>
                      <w:p>
                        <w:pPr>
                          <w:ind w:left="-57" w:right="-57"/>
                          <w:jc w:val="center"/>
                          <w:rPr>
                            <w:color w:val="000000"/>
                            <w:sz w:val="20"/>
                          </w:rPr>
                        </w:pPr>
                      </w:p>
                    </w:tc>
                  </w:tr>
                  <w:tr>
                    <w:trPr>
                      <w:trHeight w:val="233"/>
                    </w:trPr>
                    <w:tc>
                      <w:tcPr>
                        <w:tcW w:w="449" w:type="pct"/>
                        <w:vMerge w:val="restart"/>
                      </w:tcPr>
                      <w:p>
                        <w:pPr>
                          <w:ind w:left="-57" w:right="-57"/>
                          <w:rPr>
                            <w:color w:val="000000"/>
                            <w:sz w:val="20"/>
                          </w:rPr>
                        </w:pPr>
                        <w:r>
                          <w:rPr>
                            <w:color w:val="000000"/>
                            <w:sz w:val="20"/>
                          </w:rPr>
                          <w:t xml:space="preserve">7.2 </w:t>
                        </w:r>
                        <w:r>
                          <w:rPr>
                            <w:bCs/>
                            <w:sz w:val="20"/>
                          </w:rPr>
                          <w:t xml:space="preserve">Profesinio mokymo įstaigų regionuose </w:t>
                        </w:r>
                        <w:r>
                          <w:rPr>
                            <w:sz w:val="20"/>
                          </w:rPr>
                          <w:t>aprūpinimas praktiniam profesiniam mokymui reikalinga įranga ir priemonėmis</w:t>
                        </w:r>
                      </w:p>
                    </w:tc>
                    <w:tc>
                      <w:tcPr>
                        <w:tcW w:w="346" w:type="pct"/>
                        <w:vMerge w:val="restart"/>
                      </w:tcPr>
                      <w:p>
                        <w:pPr>
                          <w:ind w:left="-57" w:right="-57"/>
                          <w:jc w:val="center"/>
                          <w:rPr>
                            <w:color w:val="000000"/>
                            <w:sz w:val="20"/>
                          </w:rPr>
                        </w:pPr>
                        <w:r>
                          <w:rPr>
                            <w:color w:val="000000"/>
                            <w:sz w:val="20"/>
                          </w:rPr>
                          <w:t>I</w:t>
                        </w:r>
                      </w:p>
                    </w:tc>
                    <w:tc>
                      <w:tcPr>
                        <w:tcW w:w="386" w:type="pct"/>
                        <w:vMerge w:val="restart"/>
                      </w:tcPr>
                      <w:p>
                        <w:pPr>
                          <w:ind w:left="-57" w:right="-57"/>
                          <w:jc w:val="center"/>
                          <w:rPr>
                            <w:color w:val="000000"/>
                            <w:sz w:val="20"/>
                          </w:rPr>
                        </w:pPr>
                        <w:r>
                          <w:rPr>
                            <w:color w:val="000000"/>
                            <w:sz w:val="20"/>
                          </w:rPr>
                          <w:t xml:space="preserve">Profesinio mokymo įstaigos </w:t>
                        </w:r>
                      </w:p>
                    </w:tc>
                    <w:tc>
                      <w:tcPr>
                        <w:tcW w:w="259" w:type="pct"/>
                        <w:vMerge w:val="restart"/>
                      </w:tcPr>
                      <w:p>
                        <w:pPr>
                          <w:ind w:left="-57" w:right="-57"/>
                          <w:jc w:val="center"/>
                          <w:rPr>
                            <w:color w:val="000000"/>
                            <w:sz w:val="20"/>
                          </w:rPr>
                        </w:pPr>
                        <w:r>
                          <w:rPr>
                            <w:color w:val="000000"/>
                            <w:sz w:val="20"/>
                          </w:rPr>
                          <w:t>P</w:t>
                        </w: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color w:val="000000"/>
                            <w:sz w:val="20"/>
                          </w:rPr>
                          <w:t>D</w:t>
                        </w:r>
                      </w:p>
                    </w:tc>
                    <w:tc>
                      <w:tcPr>
                        <w:tcW w:w="360" w:type="pct"/>
                      </w:tcPr>
                      <w:p>
                        <w:pPr>
                          <w:jc w:val="center"/>
                          <w:rPr>
                            <w:color w:val="000000"/>
                            <w:sz w:val="20"/>
                          </w:rPr>
                        </w:pPr>
                        <w:r>
                          <w:rPr>
                            <w:sz w:val="20"/>
                          </w:rPr>
                          <w:t>38 062,145</w:t>
                        </w:r>
                      </w:p>
                    </w:tc>
                    <w:tc>
                      <w:tcPr>
                        <w:tcW w:w="383" w:type="pct"/>
                      </w:tcPr>
                      <w:p>
                        <w:pPr>
                          <w:ind w:left="-57" w:right="-57"/>
                          <w:rPr>
                            <w:sz w:val="20"/>
                          </w:rPr>
                        </w:pPr>
                        <w:r>
                          <w:rPr>
                            <w:rFonts w:eastAsia="Calibri"/>
                            <w:sz w:val="20"/>
                          </w:rPr>
                          <w:t>2021–2027 m. ES fondų ir</w:t>
                        </w:r>
                      </w:p>
                      <w:p>
                        <w:pPr>
                          <w:ind w:left="-57" w:right="-57"/>
                          <w:rPr>
                            <w:sz w:val="20"/>
                          </w:rPr>
                        </w:pPr>
                        <w:r>
                          <w:rPr>
                            <w:sz w:val="20"/>
                          </w:rPr>
                          <w:t>BF</w:t>
                        </w:r>
                        <w:r>
                          <w:rPr>
                            <w:bCs/>
                            <w:sz w:val="20"/>
                          </w:rPr>
                          <w:t xml:space="preserve"> lėšos</w:t>
                        </w:r>
                      </w:p>
                    </w:tc>
                    <w:tc>
                      <w:tcPr>
                        <w:tcW w:w="638" w:type="pct"/>
                      </w:tcPr>
                      <w:p>
                        <w:pPr>
                          <w:rPr>
                            <w:color w:val="000000"/>
                            <w:sz w:val="20"/>
                          </w:rPr>
                        </w:pPr>
                        <w:r>
                          <w:rPr>
                            <w:color w:val="000000"/>
                            <w:sz w:val="20"/>
                          </w:rPr>
                          <w:t>R – Naujos arba modernizuotos švietimo infrastruktūros naudotojų skaičius per metus</w:t>
                        </w:r>
                      </w:p>
                    </w:tc>
                    <w:tc>
                      <w:tcPr>
                        <w:tcW w:w="448" w:type="pct"/>
                      </w:tcPr>
                      <w:p>
                        <w:pPr>
                          <w:ind w:left="-57" w:right="-57"/>
                          <w:jc w:val="center"/>
                          <w:rPr>
                            <w:color w:val="000000"/>
                            <w:sz w:val="20"/>
                          </w:rPr>
                        </w:pPr>
                        <w:r>
                          <w:rPr>
                            <w:color w:val="000000"/>
                            <w:sz w:val="20"/>
                          </w:rPr>
                          <w:t>22 860</w:t>
                        </w:r>
                      </w:p>
                      <w:p>
                        <w:pPr>
                          <w:ind w:left="-57" w:right="-57"/>
                          <w:jc w:val="center"/>
                          <w:rPr>
                            <w:color w:val="000000"/>
                            <w:sz w:val="20"/>
                          </w:rPr>
                        </w:pPr>
                        <w:r>
                          <w:rPr>
                            <w:color w:val="000000"/>
                            <w:sz w:val="20"/>
                          </w:rPr>
                          <w:t>(2029 m.)</w:t>
                        </w:r>
                      </w:p>
                    </w:tc>
                    <w:tc>
                      <w:tcPr>
                        <w:tcW w:w="447" w:type="pct"/>
                        <w:vMerge w:val="restart"/>
                      </w:tcPr>
                      <w:p>
                        <w:pPr>
                          <w:ind w:left="-57" w:right="-57"/>
                          <w:jc w:val="center"/>
                          <w:rPr>
                            <w:color w:val="000000"/>
                            <w:sz w:val="20"/>
                          </w:rPr>
                        </w:pPr>
                        <w:r>
                          <w:rPr>
                            <w:color w:val="000000"/>
                            <w:sz w:val="20"/>
                          </w:rPr>
                          <w:t>CPVA</w:t>
                        </w:r>
                      </w:p>
                    </w:tc>
                    <w:tc>
                      <w:tcPr>
                        <w:tcW w:w="449" w:type="pct"/>
                        <w:vMerge w:val="restart"/>
                      </w:tcPr>
                      <w:p>
                        <w:pPr>
                          <w:ind w:left="-57" w:right="-57"/>
                          <w:jc w:val="center"/>
                          <w:rPr>
                            <w:color w:val="000000"/>
                            <w:sz w:val="20"/>
                          </w:rPr>
                        </w:pPr>
                        <w:r>
                          <w:rPr>
                            <w:color w:val="000000"/>
                            <w:sz w:val="20"/>
                          </w:rPr>
                          <w:t>ŠMSM, SADM, EIM, ŽŪM</w:t>
                        </w:r>
                      </w:p>
                    </w:tc>
                  </w:tr>
                  <w:tr>
                    <w:trPr>
                      <w:trHeight w:val="918"/>
                    </w:trPr>
                    <w:tc>
                      <w:tcPr>
                        <w:tcW w:w="449" w:type="pct"/>
                        <w:vMerge/>
                      </w:tcPr>
                      <w:p>
                        <w:pPr>
                          <w:ind w:left="-57" w:right="-57"/>
                          <w:rPr>
                            <w:color w:val="000000"/>
                            <w:sz w:val="20"/>
                          </w:rPr>
                        </w:pPr>
                      </w:p>
                    </w:tc>
                    <w:tc>
                      <w:tcPr>
                        <w:tcW w:w="346" w:type="pct"/>
                        <w:vMerge/>
                        <w:vAlign w:val="center"/>
                      </w:tcPr>
                      <w:p>
                        <w:pPr>
                          <w:ind w:left="-57" w:right="-57"/>
                          <w:rPr>
                            <w:color w:val="000000"/>
                            <w:sz w:val="20"/>
                          </w:rPr>
                        </w:pPr>
                      </w:p>
                    </w:tc>
                    <w:tc>
                      <w:tcPr>
                        <w:tcW w:w="386" w:type="pct"/>
                        <w:vMerge/>
                        <w:vAlign w:val="center"/>
                      </w:tcPr>
                      <w:p>
                        <w:pPr>
                          <w:ind w:left="-57" w:right="-57"/>
                          <w:rPr>
                            <w:color w:val="000000"/>
                            <w:sz w:val="20"/>
                          </w:rPr>
                        </w:pPr>
                      </w:p>
                    </w:tc>
                    <w:tc>
                      <w:tcPr>
                        <w:tcW w:w="259" w:type="pct"/>
                        <w:vMerge/>
                        <w:vAlign w:val="center"/>
                      </w:tcPr>
                      <w:p>
                        <w:pPr>
                          <w:ind w:left="-57" w:right="-57"/>
                          <w:rPr>
                            <w:color w:val="000000"/>
                            <w:sz w:val="20"/>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color w:val="000000"/>
                            <w:sz w:val="20"/>
                          </w:rPr>
                        </w:pPr>
                        <w:r>
                          <w:rPr>
                            <w:sz w:val="20"/>
                          </w:rPr>
                          <w:t>32 352,823</w:t>
                        </w:r>
                      </w:p>
                    </w:tc>
                    <w:tc>
                      <w:tcPr>
                        <w:tcW w:w="383" w:type="pct"/>
                      </w:tcPr>
                      <w:p>
                        <w:pPr>
                          <w:ind w:left="-57" w:right="-57"/>
                          <w:rPr>
                            <w:sz w:val="20"/>
                          </w:rPr>
                        </w:pPr>
                        <w:r>
                          <w:rPr>
                            <w:rFonts w:eastAsia="Calibri"/>
                            <w:sz w:val="20"/>
                          </w:rPr>
                          <w:t>2021–2027 m. ES fondų lėšos</w:t>
                        </w:r>
                      </w:p>
                    </w:tc>
                    <w:tc>
                      <w:tcPr>
                        <w:tcW w:w="638" w:type="pct"/>
                        <w:vMerge w:val="restart"/>
                      </w:tcPr>
                      <w:p>
                        <w:pPr>
                          <w:rPr>
                            <w:color w:val="000000"/>
                            <w:sz w:val="20"/>
                          </w:rPr>
                        </w:pPr>
                        <w:r>
                          <w:rPr>
                            <w:color w:val="000000"/>
                            <w:sz w:val="20"/>
                            <w:shd w:val="clear" w:color="auto" w:fill="FFFFFF"/>
                          </w:rPr>
                          <w:t>P – Naujos arba modernizuotos švietimo infrastruktūros mokymo klasių talpumas </w:t>
                        </w:r>
                      </w:p>
                    </w:tc>
                    <w:tc>
                      <w:tcPr>
                        <w:tcW w:w="448" w:type="pct"/>
                        <w:vMerge w:val="restart"/>
                      </w:tcPr>
                      <w:p>
                        <w:pPr>
                          <w:ind w:left="-57" w:right="-57"/>
                          <w:jc w:val="center"/>
                          <w:rPr>
                            <w:color w:val="000000"/>
                            <w:sz w:val="20"/>
                            <w:bdr w:val="none" w:sz="0" w:space="0" w:color="auto" w:frame="1"/>
                          </w:rPr>
                        </w:pPr>
                        <w:r>
                          <w:rPr>
                            <w:color w:val="000000"/>
                            <w:sz w:val="20"/>
                            <w:bdr w:val="none" w:sz="0" w:space="0" w:color="auto" w:frame="1"/>
                          </w:rPr>
                          <w:t>28 575</w:t>
                        </w:r>
                      </w:p>
                      <w:p>
                        <w:pPr>
                          <w:ind w:left="-57" w:right="-57"/>
                          <w:jc w:val="center"/>
                          <w:rPr>
                            <w:color w:val="000000"/>
                            <w:sz w:val="20"/>
                          </w:rPr>
                        </w:pPr>
                        <w:r>
                          <w:rPr>
                            <w:color w:val="000000"/>
                            <w:sz w:val="20"/>
                          </w:rPr>
                          <w:t>(2029 m.)</w:t>
                        </w:r>
                      </w:p>
                    </w:tc>
                    <w:tc>
                      <w:tcPr>
                        <w:tcW w:w="447" w:type="pct"/>
                        <w:vMerge/>
                        <w:vAlign w:val="center"/>
                      </w:tcPr>
                      <w:p>
                        <w:pPr>
                          <w:ind w:left="-57" w:right="-57"/>
                          <w:jc w:val="center"/>
                          <w:rPr>
                            <w:color w:val="000000"/>
                            <w:sz w:val="20"/>
                          </w:rPr>
                        </w:pPr>
                      </w:p>
                    </w:tc>
                    <w:tc>
                      <w:tcPr>
                        <w:tcW w:w="449" w:type="pct"/>
                        <w:vMerge/>
                        <w:vAlign w:val="center"/>
                      </w:tcPr>
                      <w:p>
                        <w:pPr>
                          <w:ind w:left="-57" w:right="-57"/>
                          <w:jc w:val="center"/>
                          <w:rPr>
                            <w:color w:val="000000"/>
                            <w:sz w:val="20"/>
                          </w:rPr>
                        </w:pPr>
                      </w:p>
                    </w:tc>
                  </w:tr>
                  <w:tr>
                    <w:trPr>
                      <w:trHeight w:val="655"/>
                    </w:trPr>
                    <w:tc>
                      <w:tcPr>
                        <w:tcW w:w="449" w:type="pct"/>
                        <w:vMerge/>
                      </w:tcPr>
                      <w:p>
                        <w:pPr>
                          <w:ind w:left="-57" w:right="-57"/>
                          <w:rPr>
                            <w:color w:val="000000"/>
                            <w:sz w:val="20"/>
                          </w:rPr>
                        </w:pPr>
                      </w:p>
                    </w:tc>
                    <w:tc>
                      <w:tcPr>
                        <w:tcW w:w="346" w:type="pct"/>
                        <w:vMerge/>
                        <w:vAlign w:val="center"/>
                      </w:tcPr>
                      <w:p>
                        <w:pPr>
                          <w:ind w:left="-57" w:right="-57"/>
                          <w:rPr>
                            <w:color w:val="000000"/>
                            <w:sz w:val="20"/>
                          </w:rPr>
                        </w:pPr>
                      </w:p>
                    </w:tc>
                    <w:tc>
                      <w:tcPr>
                        <w:tcW w:w="386" w:type="pct"/>
                        <w:vMerge/>
                        <w:vAlign w:val="center"/>
                      </w:tcPr>
                      <w:p>
                        <w:pPr>
                          <w:ind w:left="-57" w:right="-57"/>
                          <w:rPr>
                            <w:color w:val="000000"/>
                            <w:sz w:val="20"/>
                          </w:rPr>
                        </w:pPr>
                      </w:p>
                    </w:tc>
                    <w:tc>
                      <w:tcPr>
                        <w:tcW w:w="259" w:type="pct"/>
                        <w:vMerge/>
                        <w:vAlign w:val="center"/>
                      </w:tcPr>
                      <w:p>
                        <w:pPr>
                          <w:ind w:left="-57" w:right="-57"/>
                          <w:rPr>
                            <w:color w:val="000000"/>
                            <w:sz w:val="20"/>
                          </w:rPr>
                        </w:pPr>
                      </w:p>
                    </w:tc>
                    <w:tc>
                      <w:tcPr>
                        <w:tcW w:w="386" w:type="pct"/>
                        <w:vMerge/>
                      </w:tcPr>
                      <w:p>
                        <w:pPr>
                          <w:ind w:left="-57" w:right="-57"/>
                          <w:rPr>
                            <w:sz w:val="18"/>
                            <w:szCs w:val="18"/>
                          </w:rPr>
                        </w:pPr>
                      </w:p>
                    </w:tc>
                    <w:tc>
                      <w:tcPr>
                        <w:tcW w:w="449" w:type="pct"/>
                        <w:vMerge/>
                      </w:tcPr>
                      <w:p>
                        <w:pPr>
                          <w:ind w:left="-57" w:right="-57"/>
                          <w:rPr>
                            <w:sz w:val="18"/>
                            <w:szCs w:val="18"/>
                          </w:rPr>
                        </w:pPr>
                      </w:p>
                    </w:tc>
                    <w:tc>
                      <w:tcPr>
                        <w:tcW w:w="360" w:type="pct"/>
                      </w:tcPr>
                      <w:p>
                        <w:pPr>
                          <w:jc w:val="center"/>
                          <w:rPr>
                            <w:color w:val="000000"/>
                            <w:sz w:val="20"/>
                          </w:rPr>
                        </w:pPr>
                        <w:r>
                          <w:rPr>
                            <w:sz w:val="20"/>
                          </w:rPr>
                          <w:t xml:space="preserve">5 709,322 </w:t>
                        </w:r>
                        <w:r>
                          <w:rPr>
                            <w:color w:val="000000"/>
                            <w:sz w:val="20"/>
                          </w:rPr>
                          <w:t xml:space="preserve"> </w:t>
                        </w:r>
                      </w:p>
                    </w:tc>
                    <w:tc>
                      <w:tcPr>
                        <w:tcW w:w="383" w:type="pct"/>
                      </w:tcPr>
                      <w:p>
                        <w:pPr>
                          <w:ind w:left="-57" w:right="-57"/>
                          <w:rPr>
                            <w:sz w:val="20"/>
                          </w:rPr>
                        </w:pPr>
                        <w:r>
                          <w:rPr>
                            <w:sz w:val="20"/>
                          </w:rPr>
                          <w:t>BF</w:t>
                        </w:r>
                        <w:r>
                          <w:rPr>
                            <w:bCs/>
                            <w:sz w:val="20"/>
                          </w:rPr>
                          <w:t xml:space="preserve"> lėšos</w:t>
                        </w:r>
                      </w:p>
                    </w:tc>
                    <w:tc>
                      <w:tcPr>
                        <w:tcW w:w="638" w:type="pct"/>
                        <w:vMerge/>
                      </w:tcPr>
                      <w:p>
                        <w:pPr>
                          <w:rPr>
                            <w:color w:val="000000"/>
                            <w:sz w:val="20"/>
                            <w:shd w:val="clear" w:color="auto" w:fill="FFFFFF"/>
                          </w:rPr>
                        </w:pPr>
                      </w:p>
                    </w:tc>
                    <w:tc>
                      <w:tcPr>
                        <w:tcW w:w="448" w:type="pct"/>
                        <w:vMerge/>
                      </w:tcPr>
                      <w:p>
                        <w:pPr>
                          <w:ind w:left="-57" w:right="-57"/>
                          <w:jc w:val="center"/>
                          <w:rPr>
                            <w:color w:val="000000"/>
                            <w:sz w:val="20"/>
                            <w:bdr w:val="none" w:sz="0" w:space="0" w:color="auto" w:frame="1"/>
                          </w:rPr>
                        </w:pPr>
                      </w:p>
                    </w:tc>
                    <w:tc>
                      <w:tcPr>
                        <w:tcW w:w="447" w:type="pct"/>
                        <w:vMerge/>
                        <w:vAlign w:val="center"/>
                      </w:tcPr>
                      <w:p>
                        <w:pPr>
                          <w:ind w:left="-57" w:right="-57"/>
                          <w:jc w:val="center"/>
                          <w:rPr>
                            <w:color w:val="000000"/>
                            <w:sz w:val="20"/>
                          </w:rPr>
                        </w:pPr>
                      </w:p>
                    </w:tc>
                    <w:tc>
                      <w:tcPr>
                        <w:tcW w:w="449" w:type="pct"/>
                        <w:vMerge/>
                        <w:vAlign w:val="center"/>
                      </w:tcPr>
                      <w:p>
                        <w:pPr>
                          <w:ind w:left="-57" w:right="-57"/>
                          <w:jc w:val="center"/>
                          <w:rPr>
                            <w:color w:val="000000"/>
                            <w:sz w:val="20"/>
                          </w:rPr>
                        </w:pPr>
                      </w:p>
                    </w:tc>
                  </w:tr>
                  <w:tr>
                    <w:trPr>
                      <w:trHeight w:val="1992"/>
                    </w:trPr>
                    <w:tc>
                      <w:tcPr>
                        <w:tcW w:w="449" w:type="pct"/>
                        <w:vMerge w:val="restar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46" w:type="pct"/>
                        <w:vMerge w:val="restart"/>
                      </w:tcPr>
                      <w:p>
                        <w:pPr>
                          <w:ind w:left="-57" w:right="-57"/>
                          <w:jc w:val="center"/>
                          <w:rPr>
                            <w:sz w:val="18"/>
                            <w:szCs w:val="18"/>
                          </w:rPr>
                        </w:pPr>
                        <w:r>
                          <w:rPr>
                            <w:color w:val="000000"/>
                            <w:sz w:val="20"/>
                          </w:rPr>
                          <w:t>K</w:t>
                        </w:r>
                      </w:p>
                    </w:tc>
                    <w:tc>
                      <w:tcPr>
                        <w:tcW w:w="386" w:type="pct"/>
                        <w:vMerge w:val="restart"/>
                      </w:tcPr>
                      <w:p>
                        <w:pPr>
                          <w:ind w:left="-57" w:right="-57"/>
                          <w:jc w:val="center"/>
                          <w:rPr>
                            <w:sz w:val="18"/>
                            <w:szCs w:val="18"/>
                          </w:rPr>
                        </w:pPr>
                        <w:r>
                          <w:rPr>
                            <w:color w:val="000000"/>
                            <w:sz w:val="20"/>
                          </w:rPr>
                          <w:t>ESFA</w:t>
                        </w:r>
                      </w:p>
                    </w:tc>
                    <w:tc>
                      <w:tcPr>
                        <w:tcW w:w="259" w:type="pct"/>
                        <w:vMerge w:val="restart"/>
                      </w:tcPr>
                      <w:p>
                        <w:pPr>
                          <w:ind w:left="-57" w:right="-57"/>
                          <w:jc w:val="center"/>
                          <w:rPr>
                            <w:color w:val="000000"/>
                            <w:sz w:val="20"/>
                          </w:rPr>
                        </w:pPr>
                        <w:r>
                          <w:rPr>
                            <w:color w:val="000000"/>
                            <w:sz w:val="20"/>
                          </w:rPr>
                          <w:t>P</w:t>
                        </w:r>
                      </w:p>
                      <w:p>
                        <w:pPr>
                          <w:ind w:left="-57" w:right="-57"/>
                          <w:jc w:val="center"/>
                          <w:rPr>
                            <w:color w:val="000000"/>
                            <w:sz w:val="20"/>
                          </w:rPr>
                        </w:pPr>
                      </w:p>
                      <w:p>
                        <w:pPr>
                          <w:ind w:left="-57" w:right="-57"/>
                          <w:jc w:val="center"/>
                          <w:rPr>
                            <w:color w:val="000000"/>
                            <w:sz w:val="20"/>
                          </w:rPr>
                        </w:pPr>
                      </w:p>
                      <w:p>
                        <w:pPr>
                          <w:ind w:left="-57" w:right="-57"/>
                          <w:jc w:val="center"/>
                          <w:rPr>
                            <w:color w:val="000000"/>
                            <w:sz w:val="20"/>
                          </w:rPr>
                        </w:pPr>
                      </w:p>
                      <w:p>
                        <w:pPr>
                          <w:ind w:left="-57" w:right="-57"/>
                          <w:jc w:val="center"/>
                          <w:rPr>
                            <w:color w:val="000000"/>
                            <w:sz w:val="20"/>
                          </w:rPr>
                        </w:pPr>
                      </w:p>
                      <w:p>
                        <w:pPr>
                          <w:ind w:left="-57" w:right="-57"/>
                          <w:jc w:val="center"/>
                          <w:rPr>
                            <w:sz w:val="18"/>
                            <w:szCs w:val="18"/>
                          </w:rPr>
                        </w:pPr>
                      </w:p>
                    </w:tc>
                    <w:tc>
                      <w:tcPr>
                        <w:tcW w:w="386" w:type="pct"/>
                        <w:vMerge w:val="restart"/>
                      </w:tcPr>
                      <w:p>
                        <w:pPr>
                          <w:ind w:left="-57" w:right="-57"/>
                          <w:jc w:val="center"/>
                          <w:rPr>
                            <w:sz w:val="18"/>
                            <w:szCs w:val="18"/>
                          </w:rPr>
                        </w:pPr>
                        <w:r>
                          <w:rPr>
                            <w:sz w:val="18"/>
                            <w:szCs w:val="18"/>
                          </w:rPr>
                          <w:t>Taip</w:t>
                        </w:r>
                      </w:p>
                    </w:tc>
                    <w:tc>
                      <w:tcPr>
                        <w:tcW w:w="449" w:type="pct"/>
                        <w:vMerge w:val="restart"/>
                      </w:tcPr>
                      <w:p>
                        <w:pPr>
                          <w:ind w:left="-57" w:right="-57"/>
                          <w:jc w:val="center"/>
                          <w:rPr>
                            <w:sz w:val="18"/>
                            <w:szCs w:val="18"/>
                          </w:rPr>
                        </w:pPr>
                        <w:r>
                          <w:rPr>
                            <w:sz w:val="18"/>
                            <w:szCs w:val="18"/>
                          </w:rPr>
                          <w:t>D</w:t>
                        </w:r>
                      </w:p>
                    </w:tc>
                    <w:tc>
                      <w:tcPr>
                        <w:tcW w:w="360" w:type="pct"/>
                      </w:tcPr>
                      <w:p>
                        <w:pPr>
                          <w:jc w:val="center"/>
                          <w:rPr>
                            <w:sz w:val="18"/>
                            <w:szCs w:val="18"/>
                          </w:rPr>
                        </w:pPr>
                        <w:r>
                          <w:rPr>
                            <w:color w:val="000000"/>
                            <w:sz w:val="20"/>
                          </w:rPr>
                          <w:t>1 210,000</w:t>
                        </w:r>
                      </w:p>
                    </w:tc>
                    <w:tc>
                      <w:tcPr>
                        <w:tcW w:w="383" w:type="pct"/>
                      </w:tcPr>
                      <w:p>
                        <w:pPr>
                          <w:ind w:left="-57" w:right="-57"/>
                          <w:rPr>
                            <w:sz w:val="20"/>
                          </w:rPr>
                        </w:pPr>
                        <w:r>
                          <w:rPr>
                            <w:sz w:val="20"/>
                          </w:rPr>
                          <w:t>EGADP ir</w:t>
                        </w:r>
                      </w:p>
                      <w:p>
                        <w:pPr>
                          <w:ind w:left="-57" w:right="-57"/>
                          <w:rPr>
                            <w:sz w:val="18"/>
                            <w:szCs w:val="18"/>
                          </w:rPr>
                        </w:pPr>
                        <w:r>
                          <w:rPr>
                            <w:bCs/>
                            <w:sz w:val="20"/>
                          </w:rPr>
                          <w:t>VB lėšos, skirtos apmokėti bendrai finansuojamų iš ES fondų lėšų projektų netinkamam finansuoti iš ES fondų lėšų pirkimo ir (arba) importo PVM</w:t>
                        </w:r>
                      </w:p>
                    </w:tc>
                    <w:tc>
                      <w:tcPr>
                        <w:tcW w:w="638" w:type="pct"/>
                        <w:vMerge w:val="restart"/>
                      </w:tcPr>
                      <w:p>
                        <w:pPr>
                          <w:rPr>
                            <w:sz w:val="18"/>
                            <w:szCs w:val="18"/>
                          </w:rPr>
                        </w:pPr>
                        <w:r>
                          <w:rPr>
                            <w:color w:val="000000"/>
                            <w:sz w:val="20"/>
                          </w:rPr>
                          <w:t>R – Profesinio mokymo įstaigų, organizuojančių profesinio mokymo programas pameistrystės forma, dalis</w:t>
                        </w:r>
                      </w:p>
                    </w:tc>
                    <w:tc>
                      <w:tcPr>
                        <w:tcW w:w="448" w:type="pct"/>
                        <w:vMerge w:val="restart"/>
                      </w:tcPr>
                      <w:p>
                        <w:pPr>
                          <w:ind w:left="-57" w:right="-57"/>
                          <w:jc w:val="center"/>
                          <w:rPr>
                            <w:color w:val="000000"/>
                            <w:sz w:val="20"/>
                          </w:rPr>
                        </w:pPr>
                        <w:r>
                          <w:rPr>
                            <w:color w:val="000000"/>
                            <w:sz w:val="20"/>
                          </w:rPr>
                          <w:t>100</w:t>
                        </w:r>
                      </w:p>
                      <w:p>
                        <w:pPr>
                          <w:ind w:left="-57" w:right="-57"/>
                          <w:jc w:val="center"/>
                          <w:rPr>
                            <w:sz w:val="18"/>
                            <w:szCs w:val="18"/>
                          </w:rPr>
                        </w:pPr>
                        <w:r>
                          <w:rPr>
                            <w:color w:val="000000"/>
                            <w:sz w:val="20"/>
                          </w:rPr>
                          <w:t>(2026 m.)</w:t>
                        </w:r>
                      </w:p>
                    </w:tc>
                    <w:tc>
                      <w:tcPr>
                        <w:tcW w:w="447" w:type="pct"/>
                        <w:vMerge w:val="restart"/>
                        <w:vAlign w:val="center"/>
                      </w:tcPr>
                      <w:p>
                        <w:pPr>
                          <w:ind w:left="-57" w:right="-57"/>
                          <w:jc w:val="center"/>
                          <w:rPr>
                            <w:sz w:val="18"/>
                            <w:szCs w:val="18"/>
                          </w:rPr>
                        </w:pPr>
                        <w:r>
                          <w:rPr>
                            <w:color w:val="000000"/>
                            <w:sz w:val="20"/>
                          </w:rPr>
                          <w:t>CPVA</w:t>
                        </w:r>
                      </w:p>
                    </w:tc>
                    <w:tc>
                      <w:tcPr>
                        <w:tcW w:w="449" w:type="pct"/>
                        <w:vMerge w:val="restart"/>
                        <w:vAlign w:val="center"/>
                      </w:tcPr>
                      <w:p>
                        <w:pPr>
                          <w:ind w:left="-57" w:right="-57"/>
                          <w:jc w:val="center"/>
                          <w:rPr>
                            <w:sz w:val="18"/>
                            <w:szCs w:val="18"/>
                          </w:rPr>
                        </w:pPr>
                        <w:r>
                          <w:rPr>
                            <w:color w:val="000000"/>
                            <w:sz w:val="20"/>
                          </w:rPr>
                          <w:t>ŠMSM, SADM, EIM, ŽŪM“</w:t>
                        </w:r>
                      </w:p>
                    </w:tc>
                  </w:tr>
                  <w:tr>
                    <w:trPr>
                      <w:trHeight w:val="549"/>
                    </w:trPr>
                    <w:tc>
                      <w:tcPr>
                        <w:tcW w:w="449" w:type="pct"/>
                        <w:vMerge/>
                      </w:tcPr>
                      <w:p>
                        <w:pPr>
                          <w:ind w:left="-57" w:right="-57"/>
                          <w:rPr>
                            <w:color w:val="000000"/>
                            <w:sz w:val="20"/>
                          </w:rPr>
                        </w:pPr>
                      </w:p>
                    </w:tc>
                    <w:tc>
                      <w:tcPr>
                        <w:tcW w:w="346" w:type="pct"/>
                        <w:vMerge/>
                      </w:tcPr>
                      <w:p>
                        <w:pPr>
                          <w:ind w:left="-57" w:right="-57"/>
                          <w:jc w:val="center"/>
                          <w:rPr>
                            <w:color w:val="000000"/>
                            <w:sz w:val="20"/>
                          </w:rPr>
                        </w:pPr>
                      </w:p>
                    </w:tc>
                    <w:tc>
                      <w:tcPr>
                        <w:tcW w:w="386" w:type="pct"/>
                        <w:vMerge/>
                      </w:tcPr>
                      <w:p>
                        <w:pPr>
                          <w:ind w:left="-57" w:right="-57"/>
                          <w:jc w:val="center"/>
                          <w:rPr>
                            <w:color w:val="000000"/>
                            <w:sz w:val="20"/>
                          </w:rPr>
                        </w:pPr>
                      </w:p>
                    </w:tc>
                    <w:tc>
                      <w:tcPr>
                        <w:tcW w:w="259" w:type="pct"/>
                        <w:vMerge/>
                      </w:tcPr>
                      <w:p>
                        <w:pPr>
                          <w:ind w:left="-57" w:right="-57"/>
                          <w:jc w:val="center"/>
                          <w:rPr>
                            <w:color w:val="000000"/>
                            <w:sz w:val="20"/>
                          </w:rPr>
                        </w:pPr>
                      </w:p>
                    </w:tc>
                    <w:tc>
                      <w:tcPr>
                        <w:tcW w:w="386" w:type="pct"/>
                        <w:vMerge/>
                      </w:tcPr>
                      <w:p>
                        <w:pPr>
                          <w:ind w:left="-57" w:right="-57"/>
                          <w:jc w:val="center"/>
                          <w:rPr>
                            <w:sz w:val="18"/>
                            <w:szCs w:val="18"/>
                          </w:rPr>
                        </w:pPr>
                      </w:p>
                    </w:tc>
                    <w:tc>
                      <w:tcPr>
                        <w:tcW w:w="449" w:type="pct"/>
                        <w:vMerge/>
                      </w:tcPr>
                      <w:p>
                        <w:pPr>
                          <w:ind w:left="-57" w:right="-57"/>
                          <w:jc w:val="center"/>
                          <w:rPr>
                            <w:sz w:val="18"/>
                            <w:szCs w:val="18"/>
                          </w:rPr>
                        </w:pPr>
                      </w:p>
                    </w:tc>
                    <w:tc>
                      <w:tcPr>
                        <w:tcW w:w="360" w:type="pct"/>
                      </w:tcPr>
                      <w:p>
                        <w:pPr>
                          <w:jc w:val="center"/>
                          <w:rPr>
                            <w:color w:val="000000"/>
                            <w:sz w:val="20"/>
                          </w:rPr>
                        </w:pPr>
                        <w:r>
                          <w:rPr>
                            <w:color w:val="000000"/>
                            <w:sz w:val="20"/>
                          </w:rPr>
                          <w:t>1 000,000</w:t>
                        </w:r>
                      </w:p>
                    </w:tc>
                    <w:tc>
                      <w:tcPr>
                        <w:tcW w:w="383" w:type="pct"/>
                      </w:tcPr>
                      <w:p>
                        <w:pPr>
                          <w:ind w:left="-57" w:right="-57"/>
                          <w:rPr>
                            <w:sz w:val="20"/>
                          </w:rPr>
                        </w:pPr>
                        <w:r>
                          <w:rPr>
                            <w:sz w:val="20"/>
                          </w:rPr>
                          <w:t>EGADP lėšos</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vAlign w:val="center"/>
                      </w:tcPr>
                      <w:p>
                        <w:pPr>
                          <w:ind w:left="-57" w:right="-57"/>
                          <w:jc w:val="center"/>
                          <w:rPr>
                            <w:color w:val="000000"/>
                            <w:sz w:val="20"/>
                          </w:rPr>
                        </w:pPr>
                      </w:p>
                    </w:tc>
                    <w:tc>
                      <w:tcPr>
                        <w:tcW w:w="449" w:type="pct"/>
                        <w:vMerge/>
                        <w:vAlign w:val="center"/>
                      </w:tcPr>
                      <w:p>
                        <w:pPr>
                          <w:ind w:left="-57" w:right="-57"/>
                          <w:jc w:val="center"/>
                          <w:rPr>
                            <w:color w:val="000000"/>
                            <w:sz w:val="20"/>
                          </w:rPr>
                        </w:pPr>
                      </w:p>
                    </w:tc>
                  </w:tr>
                  <w:tr>
                    <w:trPr>
                      <w:trHeight w:val="1992"/>
                    </w:trPr>
                    <w:tc>
                      <w:tcPr>
                        <w:tcW w:w="449" w:type="pct"/>
                        <w:vMerge/>
                      </w:tcPr>
                      <w:p>
                        <w:pPr>
                          <w:ind w:left="-57" w:right="-57"/>
                          <w:rPr>
                            <w:color w:val="000000"/>
                            <w:sz w:val="20"/>
                          </w:rPr>
                        </w:pPr>
                      </w:p>
                    </w:tc>
                    <w:tc>
                      <w:tcPr>
                        <w:tcW w:w="346" w:type="pct"/>
                        <w:vMerge/>
                      </w:tcPr>
                      <w:p>
                        <w:pPr>
                          <w:ind w:left="-57" w:right="-57"/>
                          <w:jc w:val="center"/>
                          <w:rPr>
                            <w:color w:val="000000"/>
                            <w:sz w:val="20"/>
                          </w:rPr>
                        </w:pPr>
                      </w:p>
                    </w:tc>
                    <w:tc>
                      <w:tcPr>
                        <w:tcW w:w="386" w:type="pct"/>
                        <w:vMerge/>
                      </w:tcPr>
                      <w:p>
                        <w:pPr>
                          <w:ind w:left="-57" w:right="-57"/>
                          <w:jc w:val="center"/>
                          <w:rPr>
                            <w:color w:val="000000"/>
                            <w:sz w:val="20"/>
                          </w:rPr>
                        </w:pPr>
                      </w:p>
                    </w:tc>
                    <w:tc>
                      <w:tcPr>
                        <w:tcW w:w="259" w:type="pct"/>
                        <w:vMerge/>
                      </w:tcPr>
                      <w:p>
                        <w:pPr>
                          <w:ind w:left="-57" w:right="-57"/>
                          <w:jc w:val="center"/>
                          <w:rPr>
                            <w:color w:val="000000"/>
                            <w:sz w:val="20"/>
                          </w:rPr>
                        </w:pPr>
                      </w:p>
                    </w:tc>
                    <w:tc>
                      <w:tcPr>
                        <w:tcW w:w="386" w:type="pct"/>
                        <w:vMerge/>
                      </w:tcPr>
                      <w:p>
                        <w:pPr>
                          <w:ind w:left="-57" w:right="-57"/>
                          <w:jc w:val="center"/>
                          <w:rPr>
                            <w:sz w:val="18"/>
                            <w:szCs w:val="18"/>
                          </w:rPr>
                        </w:pPr>
                      </w:p>
                    </w:tc>
                    <w:tc>
                      <w:tcPr>
                        <w:tcW w:w="449" w:type="pct"/>
                        <w:vMerge/>
                      </w:tcPr>
                      <w:p>
                        <w:pPr>
                          <w:ind w:left="-57" w:right="-57"/>
                          <w:jc w:val="center"/>
                          <w:rPr>
                            <w:sz w:val="18"/>
                            <w:szCs w:val="18"/>
                          </w:rPr>
                        </w:pPr>
                      </w:p>
                    </w:tc>
                    <w:tc>
                      <w:tcPr>
                        <w:tcW w:w="360" w:type="pct"/>
                      </w:tcPr>
                      <w:p>
                        <w:pPr>
                          <w:jc w:val="center"/>
                          <w:rPr>
                            <w:color w:val="000000"/>
                            <w:sz w:val="20"/>
                          </w:rPr>
                        </w:pPr>
                        <w:r>
                          <w:rPr>
                            <w:color w:val="000000"/>
                            <w:sz w:val="20"/>
                          </w:rPr>
                          <w:t>210,000</w:t>
                        </w:r>
                      </w:p>
                    </w:tc>
                    <w:tc>
                      <w:tcPr>
                        <w:tcW w:w="383" w:type="pct"/>
                      </w:tcPr>
                      <w:p>
                        <w:pPr>
                          <w:ind w:left="-57" w:right="-57"/>
                          <w:rPr>
                            <w:sz w:val="20"/>
                          </w:rPr>
                        </w:pPr>
                        <w:r>
                          <w:rPr>
                            <w:bCs/>
                            <w:sz w:val="20"/>
                          </w:rPr>
                          <w:t>VB lėšos, skirtos apmokėti bendrai finansuojamų iš ES fondų lėšų projektų netinkamam finansuoti iš ES fondų lėšų pirkimo ir (arba) importo PVM</w:t>
                        </w:r>
                      </w:p>
                    </w:tc>
                    <w:tc>
                      <w:tcPr>
                        <w:tcW w:w="638" w:type="pct"/>
                        <w:vMerge/>
                      </w:tcPr>
                      <w:p>
                        <w:pPr>
                          <w:rPr>
                            <w:color w:val="000000"/>
                            <w:sz w:val="20"/>
                          </w:rPr>
                        </w:pPr>
                      </w:p>
                    </w:tc>
                    <w:tc>
                      <w:tcPr>
                        <w:tcW w:w="448" w:type="pct"/>
                        <w:vMerge/>
                      </w:tcPr>
                      <w:p>
                        <w:pPr>
                          <w:ind w:left="-57" w:right="-57"/>
                          <w:jc w:val="center"/>
                          <w:rPr>
                            <w:color w:val="000000"/>
                            <w:sz w:val="20"/>
                          </w:rPr>
                        </w:pPr>
                      </w:p>
                    </w:tc>
                    <w:tc>
                      <w:tcPr>
                        <w:tcW w:w="447" w:type="pct"/>
                        <w:vMerge/>
                        <w:vAlign w:val="center"/>
                      </w:tcPr>
                      <w:p>
                        <w:pPr>
                          <w:ind w:left="-57" w:right="-57"/>
                          <w:jc w:val="center"/>
                          <w:rPr>
                            <w:color w:val="000000"/>
                            <w:sz w:val="20"/>
                          </w:rPr>
                        </w:pPr>
                      </w:p>
                    </w:tc>
                    <w:tc>
                      <w:tcPr>
                        <w:tcW w:w="449" w:type="pct"/>
                        <w:vMerge/>
                        <w:vAlign w:val="center"/>
                      </w:tcPr>
                      <w:p>
                        <w:pPr>
                          <w:ind w:left="-57" w:right="-57"/>
                          <w:jc w:val="center"/>
                          <w:rPr>
                            <w:color w:val="000000"/>
                            <w:sz w:val="20"/>
                          </w:rPr>
                        </w:pPr>
                      </w:p>
                    </w:tc>
                  </w:tr>
                </w:tbl>
                <w:p>
                  <w:pPr>
                    <w:ind w:firstLine="567"/>
                    <w:jc w:val="both"/>
                    <w:rPr>
                      <w:sz w:val="18"/>
                      <w:szCs w:val="18"/>
                    </w:rPr>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V-1441)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5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6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V-642)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7519ACB4"/>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46.xml"/>
  <Relationship Id="rId2" Type="http://schemas.openxmlformats.org/officeDocument/2006/relationships/header" Target="header17.xml"/>
  <Relationship Id="rId20" Type="http://schemas.openxmlformats.org/officeDocument/2006/relationships/header" Target="header47.xml"/>
  <Relationship Id="rId21" Type="http://schemas.openxmlformats.org/officeDocument/2006/relationships/footer" Target="footer46.xml"/>
  <Relationship Id="rId22" Type="http://schemas.openxmlformats.org/officeDocument/2006/relationships/footer" Target="footer47.xml"/>
  <Relationship Id="rId23" Type="http://schemas.openxmlformats.org/officeDocument/2006/relationships/header" Target="header48.xml"/>
  <Relationship Id="rId24" Type="http://schemas.openxmlformats.org/officeDocument/2006/relationships/footer" Target="footer48.xml"/>
  <Relationship Id="rId25" Type="http://schemas.openxmlformats.org/officeDocument/2006/relationships/customXml" Target="../customXml/item4.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9626b4b46d2946108da39f9071e64a68">
    <Part Type="skyrius" Nr="1" DocPartId="48d6ae0a714a4c43b646ee2ae1401245" PartId="b015184cc54d432a8c1900bba4500e9b">
      <Part Type="pastraipa" Title="Pastaba." DocPartId="f838d08b804a4598a8c38e2b2c557afa" PartId="ed174c2ac7f448ab9c21042858670472"/>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008acb28e990463d9d4d57f3b1c20525">
      <Part Type="pastraipa" DocPartId="23e1123b9d4f46b1821638609013e683" PartId="ffd776b33f32413693c8b9a0646bd730"/>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3311DAC4-41E7-4FAE-AA96-920E250AC681}">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E74D7843-68AF-4E50-97CB-ED75F57DFC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TotalTime>
  <Pages>33</Pages>
  <Words>5760</Words>
  <Characters>37745</Characters>
  <Application>Microsoft Office Word</Application>
  <DocSecurity>0</DocSecurity>
  <Lines>314</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43419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2025-01-21T11:51:00Z</dcterms:modified>
  <revision>17</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