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2025-07-08 iki 2025-07-22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6"/>
              <w:headerReference w:type="default" r:id="rId27"/>
              <w:footerReference w:type="even" r:id="rId28"/>
              <w:footerReference w:type="default" r:id="rId29"/>
              <w:headerReference w:type="first" r:id="rId30"/>
              <w:footerReference w:type="first" r:id="rId31"/>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55b71878e46d43c0b6901a73e5e7b752"/>
            <w:lock w:val="sdtLocked"/>
            <w:richText/>
          </w:sdtPr>
          <w:sdtContent>
            <w:p>
              <w:pPr>
                <w:jc w:val="center"/>
                <w:rPr>
                  <w:b/>
                  <w:bCs/>
                  <w:color w:val="000000"/>
                  <w:sz w:val="22"/>
                  <w:szCs w:val="22"/>
                  <w:lang w:eastAsia="lt-LT"/>
                </w:rPr>
              </w:pPr>
              <w:sdt>
                <w:sdtPr>
                  <w:alias w:val="Numeris"/>
                  <w:tag w:val="nr_55b71878e46d43c0b6901a73e5e7b752"/>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55b71878e46d43c0b6901a73e5e7b752"/>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6"/>
                <w:gridCol w:w="1006"/>
                <w:gridCol w:w="906"/>
                <w:gridCol w:w="886"/>
                <w:gridCol w:w="903"/>
                <w:gridCol w:w="2257"/>
              </w:tblGrid>
              <w:tr>
                <w:trPr>
                  <w:trHeight w:val="348"/>
                </w:trPr>
                <w:tc>
                  <w:tcPr>
                    <w:tcW w:w="607"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10"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49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65"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44"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80"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7" w:type="pct"/>
                    <w:vMerge/>
                    <w:shd w:val="clear" w:color="auto" w:fill="DEEAF6"/>
                    <w:vAlign w:val="center"/>
                    <w:hideMark/>
                  </w:tcPr>
                  <w:p>
                    <w:pPr>
                      <w:rPr>
                        <w:szCs w:val="24"/>
                      </w:rPr>
                    </w:pPr>
                  </w:p>
                </w:tc>
                <w:tc>
                  <w:tcPr>
                    <w:tcW w:w="1310" w:type="pct"/>
                    <w:vMerge/>
                    <w:shd w:val="clear" w:color="auto" w:fill="DEEAF6"/>
                    <w:vAlign w:val="center"/>
                    <w:hideMark/>
                  </w:tcPr>
                  <w:p>
                    <w:pPr>
                      <w:rPr>
                        <w:szCs w:val="24"/>
                      </w:rPr>
                    </w:pPr>
                  </w:p>
                </w:tc>
                <w:tc>
                  <w:tcPr>
                    <w:tcW w:w="493" w:type="pct"/>
                    <w:vMerge/>
                    <w:shd w:val="clear" w:color="auto" w:fill="DEEAF6"/>
                    <w:vAlign w:val="center"/>
                    <w:hideMark/>
                  </w:tcPr>
                  <w:p>
                    <w:pPr>
                      <w:rPr>
                        <w:szCs w:val="24"/>
                      </w:rPr>
                    </w:pPr>
                  </w:p>
                </w:tc>
                <w:tc>
                  <w:tcPr>
                    <w:tcW w:w="465" w:type="pct"/>
                    <w:vMerge/>
                    <w:shd w:val="clear" w:color="auto" w:fill="DEEAF6"/>
                    <w:vAlign w:val="center"/>
                    <w:hideMark/>
                  </w:tcPr>
                  <w:p>
                    <w:pPr>
                      <w:rPr>
                        <w:szCs w:val="24"/>
                      </w:rPr>
                    </w:pPr>
                  </w:p>
                </w:tc>
                <w:tc>
                  <w:tcPr>
                    <w:tcW w:w="468"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76"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80" w:type="pct"/>
                    <w:vMerge/>
                    <w:shd w:val="clear" w:color="auto" w:fill="DEEAF6"/>
                    <w:vAlign w:val="center"/>
                    <w:hideMark/>
                  </w:tcPr>
                  <w:p>
                    <w:pPr>
                      <w:rPr>
                        <w:szCs w:val="24"/>
                      </w:rPr>
                    </w:pPr>
                  </w:p>
                </w:tc>
              </w:tr>
              <w:tr>
                <w:trPr>
                  <w:trHeight w:val="193"/>
                </w:trPr>
                <w:tc>
                  <w:tcPr>
                    <w:tcW w:w="607"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1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49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65"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8"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76"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8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7"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10" w:type="pct"/>
                    <w:shd w:val="clear" w:color="auto" w:fill="FFFFFF"/>
                    <w:tcMar>
                      <w:top w:w="0" w:type="dxa"/>
                      <w:left w:w="108" w:type="dxa"/>
                      <w:bottom w:w="0" w:type="dxa"/>
                      <w:right w:w="108" w:type="dxa"/>
                    </w:tcMar>
                    <w:hideMark/>
                  </w:tcPr>
                  <w:p>
                    <w:pPr/>
                    <w:r>
                      <w:rPr>
                        <w:sz w:val="20"/>
                      </w:rPr>
                      <w:t>Nepalankias sąlygas turinčių asmenų grupių mokinių, kuriems buvo skirta parama profesinio mokymo prieinamumui gerinti,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8"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76"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7"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10" w:type="pct"/>
                    <w:shd w:val="clear" w:color="auto" w:fill="FFFFFF"/>
                    <w:tcMar>
                      <w:top w:w="0" w:type="dxa"/>
                      <w:left w:w="108" w:type="dxa"/>
                      <w:bottom w:w="0" w:type="dxa"/>
                      <w:right w:w="108" w:type="dxa"/>
                    </w:tcMar>
                    <w:hideMark/>
                  </w:tcPr>
                  <w:p>
                    <w:pPr/>
                    <w:r>
                      <w:rPr>
                        <w:color w:val="232323"/>
                        <w:sz w:val="20"/>
                      </w:rPr>
                      <w:t>Profesinio mokymo įstaigų, organizuojančių profesinio mokymo programas pameistrystės forma, dalis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65"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8"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76"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1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8"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76"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1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color w:val="000000"/>
                        <w:sz w:val="20"/>
                      </w:rPr>
                      <w:t>22 860 (2029)</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color w:val="000000"/>
                        <w:sz w:val="20"/>
                      </w:rPr>
                      <w:t>Švietimo ar mokymo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sz w:val="20"/>
                      </w:rPr>
                      <w:t>Švietimo ar mokymo veiklos dalyvių skaičius, iš jų švietimo ar mokymo veiklos (išskyrus skaitmeninių įgūdžių ugdymą)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10" w:type="pct"/>
                    <w:shd w:val="clear" w:color="auto" w:fill="FFFFFF"/>
                    <w:tcMar>
                      <w:top w:w="0" w:type="dxa"/>
                      <w:left w:w="108" w:type="dxa"/>
                      <w:bottom w:w="0" w:type="dxa"/>
                      <w:right w:w="108" w:type="dxa"/>
                    </w:tcMar>
                    <w:hideMark/>
                  </w:tcPr>
                  <w:p>
                    <w:pPr/>
                    <w:r>
                      <w:rPr>
                        <w:sz w:val="20"/>
                      </w:rPr>
                      <w:t>Švietimo ar mokymo veiklos dalyvių skaičius, iš jų skaitmeninių įgūdžių ugdymo veiklos dalyvių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10" w:type="pct"/>
                    <w:shd w:val="clear" w:color="auto" w:fill="FFFFFF"/>
                    <w:tcMar>
                      <w:top w:w="0" w:type="dxa"/>
                      <w:left w:w="108" w:type="dxa"/>
                      <w:bottom w:w="0" w:type="dxa"/>
                      <w:right w:w="108" w:type="dxa"/>
                    </w:tcMar>
                    <w:hideMark/>
                  </w:tcPr>
                  <w:p>
                    <w:pPr/>
                    <w:r>
                      <w:rPr>
                        <w:color w:val="000000"/>
                        <w:sz w:val="20"/>
                      </w:rPr>
                      <w:t>Paramą gaunančių 15–29 metų jaunuolių skaičius</w:t>
                    </w:r>
                  </w:p>
                </w:tc>
                <w:tc>
                  <w:tcPr>
                    <w:tcW w:w="49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65" w:type="pct"/>
                    <w:shd w:val="clear" w:color="auto" w:fill="FFFFFF"/>
                    <w:tcMar>
                      <w:top w:w="0" w:type="dxa"/>
                      <w:left w:w="108" w:type="dxa"/>
                      <w:bottom w:w="0" w:type="dxa"/>
                      <w:right w:w="108" w:type="dxa"/>
                    </w:tcMar>
                    <w:hideMark/>
                  </w:tcPr>
                  <w:p>
                    <w:pPr>
                      <w:jc w:val="center"/>
                    </w:pPr>
                    <w:r>
                      <w:rPr>
                        <w:color w:val="000000"/>
                        <w:sz w:val="20"/>
                      </w:rPr>
                      <w:t>n / a</w:t>
                    </w:r>
                  </w:p>
                </w:tc>
                <w:tc>
                  <w:tcPr>
                    <w:tcW w:w="468" w:type="pct"/>
                    <w:shd w:val="clear" w:color="auto" w:fill="FFFFFF"/>
                    <w:tcMar>
                      <w:top w:w="0" w:type="dxa"/>
                      <w:left w:w="108" w:type="dxa"/>
                      <w:bottom w:w="0" w:type="dxa"/>
                      <w:right w:w="108" w:type="dxa"/>
                    </w:tcMar>
                    <w:hideMark/>
                  </w:tcPr>
                  <w:p>
                    <w:pPr>
                      <w:jc w:val="center"/>
                    </w:pPr>
                    <w:r>
                      <w:rPr>
                        <w:sz w:val="20"/>
                      </w:rPr>
                      <w:t>n / a</w:t>
                    </w:r>
                  </w:p>
                </w:tc>
                <w:tc>
                  <w:tcPr>
                    <w:tcW w:w="476"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8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7"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10"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49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65"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8" w:type="pct"/>
                    <w:shd w:val="clear" w:color="auto" w:fill="FFFFFF"/>
                    <w:tcMar>
                      <w:top w:w="0" w:type="dxa"/>
                      <w:left w:w="108" w:type="dxa"/>
                      <w:bottom w:w="0" w:type="dxa"/>
                      <w:right w:w="108" w:type="dxa"/>
                    </w:tcMar>
                  </w:tcPr>
                  <w:p>
                    <w:pPr>
                      <w:jc w:val="center"/>
                      <w:rPr>
                        <w:sz w:val="20"/>
                      </w:rPr>
                    </w:pPr>
                    <w:r>
                      <w:rPr>
                        <w:sz w:val="20"/>
                      </w:rPr>
                      <w:t>0</w:t>
                    </w:r>
                  </w:p>
                </w:tc>
                <w:tc>
                  <w:tcPr>
                    <w:tcW w:w="476" w:type="pct"/>
                    <w:shd w:val="clear" w:color="auto" w:fill="FFFFFF"/>
                    <w:tcMar>
                      <w:top w:w="0" w:type="dxa"/>
                      <w:left w:w="108" w:type="dxa"/>
                      <w:bottom w:w="0" w:type="dxa"/>
                      <w:right w:w="108" w:type="dxa"/>
                    </w:tcMar>
                  </w:tcPr>
                  <w:p>
                    <w:pPr>
                      <w:jc w:val="center"/>
                      <w:rPr>
                        <w:sz w:val="20"/>
                      </w:rPr>
                    </w:pPr>
                    <w:r>
                      <w:rPr>
                        <w:sz w:val="20"/>
                      </w:rPr>
                      <w:t>10 (2028)</w:t>
                    </w:r>
                  </w:p>
                </w:tc>
                <w:tc>
                  <w:tcPr>
                    <w:tcW w:w="1180"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ind w:left="927"/>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b96c9d2f4f004b88a3f725fbd9321b55"/>
            <w:lock w:val="sdtLocked"/>
            <w:richText/>
          </w:sdtPr>
          <w:sdtContent>
            <w:p>
              <w:pPr>
                <w:tabs>
                  <w:tab w:val="left" w:pos="1418"/>
                  <w:tab w:val="left" w:pos="1560"/>
                </w:tabs>
                <w:jc w:val="center"/>
                <w:rPr>
                  <w:color w:val="000000"/>
                  <w:sz w:val="27"/>
                  <w:szCs w:val="27"/>
                  <w:lang w:eastAsia="lt-LT"/>
                </w:rPr>
              </w:pPr>
              <w:sdt>
                <w:sdtPr>
                  <w:alias w:val="Numeris"/>
                  <w:tag w:val="nr_b96c9d2f4f004b88a3f725fbd9321b55"/>
                  <w:lock w:val="sdtLocked"/>
                  <w:richText/>
                </w:sdtPr>
                <w:sdtContent>
                  <w:r>
                    <w:rPr>
                      <w:b/>
                      <w:bCs/>
                      <w:color w:val="000000"/>
                      <w:sz w:val="22"/>
                      <w:szCs w:val="22"/>
                      <w:lang w:eastAsia="lt-LT"/>
                    </w:rPr>
                    <w:t>II</w:t>
                  </w:r>
                </w:sdtContent>
              </w:sdt>
              <w:r>
                <w:rPr>
                  <w:b/>
                  <w:bCs/>
                  <w:color w:val="000000"/>
                  <w:sz w:val="22"/>
                  <w:szCs w:val="22"/>
                  <w:lang w:eastAsia="lt-LT"/>
                </w:rPr>
                <w:t> SKYRIUS</w:t>
              </w:r>
            </w:p>
            <w:sdt>
              <w:sdtPr>
                <w:alias w:val="Pavadinimas"/>
                <w:tag w:val="title_b96c9d2f4f004b88a3f725fbd9321b55"/>
                <w:lock w:val="sdtLocked"/>
                <w:richText/>
              </w:sdtPr>
              <w:sdtContent>
                <w:p>
                  <w:pPr>
                    <w:tabs>
                      <w:tab w:val="left" w:pos="1418"/>
                      <w:tab w:val="left" w:pos="1560"/>
                    </w:tabs>
                    <w:jc w:val="center"/>
                    <w:rPr>
                      <w:color w:val="000000"/>
                      <w:sz w:val="27"/>
                      <w:szCs w:val="27"/>
                      <w:lang w:eastAsia="lt-LT"/>
                    </w:rPr>
                  </w:pPr>
                  <w:r>
                    <w:rPr>
                      <w:b/>
                      <w:bCs/>
                      <w:color w:val="000000"/>
                      <w:sz w:val="22"/>
                      <w:szCs w:val="22"/>
                      <w:lang w:eastAsia="lt-LT"/>
                    </w:rPr>
                    <w:t>PLĖTROS PROGRAMOS PAŽANGOS PRIEMONĖS FINANSAVIMO PLANAS</w:t>
                  </w:r>
                </w:p>
              </w:sdtContent>
            </w:sdt>
            <w:p>
              <w:pPr>
                <w:ind w:firstLine="567"/>
                <w:jc w:val="both"/>
                <w:rPr>
                  <w:szCs w:val="24"/>
                </w:rPr>
              </w:pPr>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38 603 911</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tabs>
                  <w:tab w:val="left" w:pos="1560"/>
                  <w:tab w:val="left" w:pos="7068"/>
                </w:tabs>
                <w:ind w:firstLine="567"/>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skyrius"/>
            <w:tag w:val="part_7cfbd18dc71d4dcb909754a3c9538eb8"/>
            <w:lock w:val="sdtLocked"/>
            <w:richText/>
          </w:sdtPr>
          <w:sdtContent>
            <w:p>
              <w:pPr>
                <w:jc w:val="center"/>
                <w:rPr>
                  <w:b/>
                  <w:szCs w:val="24"/>
                </w:rPr>
              </w:pPr>
              <w:sdt>
                <w:sdtPr>
                  <w:alias w:val="Numeris"/>
                  <w:tag w:val="nr_7cfbd18dc71d4dcb909754a3c9538eb8"/>
                  <w:lock w:val="sdtLocked"/>
                  <w:richText/>
                </w:sdtPr>
                <w:sdtContent>
                  <w:r>
                    <w:rPr>
                      <w:b/>
                      <w:szCs w:val="24"/>
                    </w:rPr>
                    <w:t>III</w:t>
                  </w:r>
                </w:sdtContent>
              </w:sdt>
              <w:r>
                <w:rPr>
                  <w:b/>
                  <w:szCs w:val="24"/>
                </w:rPr>
                <w:t xml:space="preserve"> SKYRIUS</w:t>
              </w:r>
            </w:p>
            <w:sdt>
              <w:sdtPr>
                <w:alias w:val="Pavadinimas"/>
                <w:tag w:val="title_7cfbd18dc71d4dcb909754a3c9538eb8"/>
                <w:lock w:val="sdtLocked"/>
                <w:richText/>
              </w:sdtPr>
              <w:sdtContent>
                <w:p>
                  <w:pPr>
                    <w:jc w:val="center"/>
                    <w:rPr>
                      <w:szCs w:val="24"/>
                    </w:rPr>
                  </w:pPr>
                  <w:r>
                    <w:rPr>
                      <w:b/>
                      <w:szCs w:val="24"/>
                    </w:rPr>
                    <w:t>PLĖTROS PROGRAMOS PAŽANGOS PRIEMONĖS VEIKLŲ SUVESTINĖ</w:t>
                  </w:r>
                </w:p>
              </w:sdtContent>
            </w:sdt>
            <w:tbl>
              <w:tblPr>
                <w:tblW w:w="9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578"/>
                <w:gridCol w:w="625"/>
                <w:gridCol w:w="712"/>
                <w:gridCol w:w="774"/>
                <w:gridCol w:w="544"/>
                <w:gridCol w:w="933"/>
                <w:gridCol w:w="707"/>
                <w:gridCol w:w="843"/>
                <w:gridCol w:w="1119"/>
                <w:gridCol w:w="709"/>
                <w:gridCol w:w="850"/>
                <w:gridCol w:w="715"/>
                <w:gridCol w:w="38"/>
              </w:tblGrid>
              <w:tr>
                <w:trPr>
                  <w:gridAfter w:val="1"/>
                  <w:wAfter w:w="38" w:type="dxa"/>
                </w:trPr>
                <w:tc>
                  <w:tcPr>
                    <w:tcW w:w="9782" w:type="dxa"/>
                    <w:gridSpan w:val="13"/>
                  </w:tcPr>
                  <w:p>
                    <w:pPr>
                      <w:jc w:val="both"/>
                      <w:rPr>
                        <w:iCs/>
                        <w:sz w:val="22"/>
                        <w:szCs w:val="22"/>
                      </w:rPr>
                    </w:pPr>
                  </w:p>
                </w:tc>
              </w:tr>
              <w:tr>
                <w:tblPrEx>
                  <w:jc w:val="center"/>
                </w:tblPrEx>
                <w:trPr>
                  <w:trHeight w:val="886"/>
                  <w:jc w:val="center"/>
                </w:trPr>
                <w:tc>
                  <w:tcPr>
                    <w:tcW w:w="673" w:type="dxa"/>
                    <w:shd w:val="clear" w:color="auto" w:fill="auto"/>
                    <w:vAlign w:val="center"/>
                  </w:tcPr>
                  <w:p>
                    <w:pPr>
                      <w:jc w:val="center"/>
                      <w:rPr>
                        <w:b/>
                        <w:sz w:val="16"/>
                        <w:szCs w:val="16"/>
                      </w:rPr>
                    </w:pPr>
                    <w:r>
                      <w:rPr>
                        <w:b/>
                        <w:sz w:val="16"/>
                        <w:szCs w:val="16"/>
                      </w:rPr>
                      <w:t>Veikla</w:t>
                    </w:r>
                  </w:p>
                </w:tc>
                <w:tc>
                  <w:tcPr>
                    <w:tcW w:w="578" w:type="dxa"/>
                    <w:shd w:val="clear" w:color="auto" w:fill="auto"/>
                    <w:vAlign w:val="center"/>
                  </w:tcPr>
                  <w:p>
                    <w:pPr>
                      <w:jc w:val="center"/>
                      <w:rPr>
                        <w:b/>
                        <w:sz w:val="16"/>
                        <w:szCs w:val="16"/>
                      </w:rPr>
                    </w:pPr>
                    <w:r>
                      <w:rPr>
                        <w:b/>
                        <w:sz w:val="16"/>
                        <w:szCs w:val="16"/>
                      </w:rPr>
                      <w:t>Veiklos (poveiklės, projekto) tipas</w:t>
                    </w:r>
                  </w:p>
                </w:tc>
                <w:tc>
                  <w:tcPr>
                    <w:tcW w:w="625" w:type="dxa"/>
                    <w:shd w:val="clear" w:color="auto" w:fill="auto"/>
                    <w:vAlign w:val="center"/>
                  </w:tcPr>
                  <w:p>
                    <w:pPr>
                      <w:jc w:val="center"/>
                      <w:rPr>
                        <w:b/>
                        <w:sz w:val="16"/>
                        <w:szCs w:val="16"/>
                      </w:rPr>
                    </w:pPr>
                    <w:r>
                      <w:rPr>
                        <w:b/>
                        <w:sz w:val="16"/>
                        <w:szCs w:val="16"/>
                      </w:rPr>
                      <w:t>Galimi pareiškėjai</w:t>
                    </w:r>
                  </w:p>
                </w:tc>
                <w:tc>
                  <w:tcPr>
                    <w:tcW w:w="712" w:type="dxa"/>
                    <w:shd w:val="clear" w:color="auto" w:fill="auto"/>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774" w:type="dxa"/>
                    <w:shd w:val="clear" w:color="auto" w:fill="auto"/>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544" w:type="dxa"/>
                    <w:shd w:val="clear" w:color="auto" w:fill="auto"/>
                    <w:vAlign w:val="center"/>
                  </w:tcPr>
                  <w:p>
                    <w:pPr>
                      <w:jc w:val="center"/>
                      <w:rPr>
                        <w:b/>
                        <w:sz w:val="16"/>
                        <w:szCs w:val="16"/>
                      </w:rPr>
                    </w:pPr>
                    <w:r>
                      <w:rPr>
                        <w:b/>
                        <w:sz w:val="16"/>
                        <w:szCs w:val="16"/>
                      </w:rPr>
                      <w:t>Finansavimo forma</w:t>
                    </w:r>
                  </w:p>
                </w:tc>
                <w:tc>
                  <w:tcPr>
                    <w:tcW w:w="933" w:type="dxa"/>
                    <w:shd w:val="clear" w:color="auto" w:fill="auto"/>
                    <w:vAlign w:val="center"/>
                  </w:tcPr>
                  <w:p>
                    <w:pPr>
                      <w:jc w:val="center"/>
                      <w:rPr>
                        <w:b/>
                        <w:sz w:val="16"/>
                        <w:szCs w:val="16"/>
                      </w:rPr>
                    </w:pPr>
                    <w:r>
                      <w:rPr>
                        <w:b/>
                        <w:sz w:val="16"/>
                        <w:szCs w:val="16"/>
                      </w:rPr>
                      <w:t>Finansavimo suma, eurais</w:t>
                    </w:r>
                  </w:p>
                </w:tc>
                <w:tc>
                  <w:tcPr>
                    <w:tcW w:w="707" w:type="dxa"/>
                    <w:shd w:val="clear" w:color="auto" w:fill="auto"/>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843" w:type="dxa"/>
                    <w:vAlign w:val="center"/>
                  </w:tcPr>
                  <w:p>
                    <w:pPr>
                      <w:jc w:val="center"/>
                      <w:rPr>
                        <w:b/>
                        <w:sz w:val="16"/>
                        <w:szCs w:val="16"/>
                      </w:rPr>
                    </w:pPr>
                    <w:r>
                      <w:rPr>
                        <w:b/>
                        <w:sz w:val="16"/>
                        <w:szCs w:val="16"/>
                      </w:rPr>
                      <w:t>Europos Sąjungos lėšų fondas, regionas (Vidurio ir vakarų Lietuvos, Sostinės)</w:t>
                    </w:r>
                  </w:p>
                </w:tc>
                <w:tc>
                  <w:tcPr>
                    <w:tcW w:w="1119" w:type="dxa"/>
                    <w:shd w:val="clear" w:color="auto" w:fill="auto"/>
                    <w:vAlign w:val="center"/>
                  </w:tcPr>
                  <w:p>
                    <w:pPr>
                      <w:jc w:val="center"/>
                      <w:rPr>
                        <w:b/>
                        <w:sz w:val="16"/>
                        <w:szCs w:val="16"/>
                      </w:rPr>
                    </w:pPr>
                    <w:r>
                      <w:rPr>
                        <w:b/>
                        <w:sz w:val="16"/>
                        <w:szCs w:val="16"/>
                      </w:rPr>
                      <w:t>Rodiklio (rezultato, produkto) kodas, pavadinimas ir matavimo vnt.</w:t>
                    </w:r>
                  </w:p>
                </w:tc>
                <w:tc>
                  <w:tcPr>
                    <w:tcW w:w="709" w:type="dxa"/>
                    <w:shd w:val="clear" w:color="auto" w:fill="auto"/>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850" w:type="dxa"/>
                    <w:shd w:val="clear" w:color="auto" w:fill="auto"/>
                    <w:vAlign w:val="center"/>
                  </w:tcPr>
                  <w:p>
                    <w:pPr>
                      <w:jc w:val="center"/>
                      <w:rPr>
                        <w:b/>
                        <w:strike/>
                        <w:sz w:val="16"/>
                        <w:szCs w:val="16"/>
                      </w:rPr>
                    </w:pPr>
                    <w:r>
                      <w:rPr>
                        <w:b/>
                        <w:sz w:val="16"/>
                        <w:szCs w:val="16"/>
                      </w:rPr>
                      <w:t>Administruojančioji institucija</w:t>
                    </w:r>
                  </w:p>
                </w:tc>
                <w:tc>
                  <w:tcPr>
                    <w:tcW w:w="753" w:type="dxa"/>
                    <w:gridSpan w:val="2"/>
                    <w:shd w:val="clear" w:color="auto" w:fill="auto"/>
                    <w:vAlign w:val="center"/>
                  </w:tcPr>
                  <w:p>
                    <w:pPr>
                      <w:jc w:val="center"/>
                      <w:rPr>
                        <w:b/>
                        <w:sz w:val="16"/>
                        <w:szCs w:val="16"/>
                      </w:rPr>
                    </w:pPr>
                    <w:r>
                      <w:rPr>
                        <w:b/>
                        <w:sz w:val="16"/>
                        <w:szCs w:val="16"/>
                      </w:rPr>
                      <w:t>Dalyvaujanti institucija</w:t>
                    </w:r>
                  </w:p>
                </w:tc>
              </w:tr>
              <w:tr>
                <w:tblPrEx>
                  <w:jc w:val="center"/>
                </w:tblPrEx>
                <w:trPr>
                  <w:trHeight w:val="279"/>
                  <w:jc w:val="center"/>
                </w:trPr>
                <w:tc>
                  <w:tcPr>
                    <w:tcW w:w="673" w:type="dxa"/>
                    <w:shd w:val="clear" w:color="auto" w:fill="auto"/>
                    <w:vAlign w:val="center"/>
                  </w:tcPr>
                  <w:p>
                    <w:pPr>
                      <w:jc w:val="center"/>
                      <w:rPr>
                        <w:b/>
                        <w:sz w:val="16"/>
                        <w:szCs w:val="16"/>
                      </w:rPr>
                    </w:pPr>
                    <w:r>
                      <w:rPr>
                        <w:b/>
                        <w:sz w:val="16"/>
                        <w:szCs w:val="16"/>
                      </w:rPr>
                      <w:t>1</w:t>
                    </w:r>
                  </w:p>
                </w:tc>
                <w:tc>
                  <w:tcPr>
                    <w:tcW w:w="578" w:type="dxa"/>
                    <w:shd w:val="clear" w:color="auto" w:fill="auto"/>
                    <w:vAlign w:val="center"/>
                  </w:tcPr>
                  <w:p>
                    <w:pPr>
                      <w:jc w:val="center"/>
                      <w:rPr>
                        <w:b/>
                        <w:sz w:val="16"/>
                        <w:szCs w:val="16"/>
                      </w:rPr>
                    </w:pPr>
                    <w:r>
                      <w:rPr>
                        <w:b/>
                        <w:sz w:val="16"/>
                        <w:szCs w:val="16"/>
                      </w:rPr>
                      <w:t>2</w:t>
                    </w:r>
                  </w:p>
                </w:tc>
                <w:tc>
                  <w:tcPr>
                    <w:tcW w:w="625" w:type="dxa"/>
                    <w:shd w:val="clear" w:color="auto" w:fill="auto"/>
                    <w:vAlign w:val="center"/>
                  </w:tcPr>
                  <w:p>
                    <w:pPr>
                      <w:jc w:val="center"/>
                      <w:rPr>
                        <w:b/>
                        <w:sz w:val="16"/>
                        <w:szCs w:val="16"/>
                      </w:rPr>
                    </w:pPr>
                    <w:r>
                      <w:rPr>
                        <w:b/>
                        <w:sz w:val="16"/>
                        <w:szCs w:val="16"/>
                      </w:rPr>
                      <w:t>3</w:t>
                    </w:r>
                  </w:p>
                </w:tc>
                <w:tc>
                  <w:tcPr>
                    <w:tcW w:w="712" w:type="dxa"/>
                    <w:shd w:val="clear" w:color="auto" w:fill="auto"/>
                    <w:vAlign w:val="center"/>
                  </w:tcPr>
                  <w:p>
                    <w:pPr>
                      <w:jc w:val="center"/>
                      <w:rPr>
                        <w:b/>
                        <w:sz w:val="16"/>
                        <w:szCs w:val="16"/>
                      </w:rPr>
                    </w:pPr>
                    <w:r>
                      <w:rPr>
                        <w:b/>
                        <w:sz w:val="16"/>
                        <w:szCs w:val="16"/>
                      </w:rPr>
                      <w:t>4</w:t>
                    </w:r>
                  </w:p>
                </w:tc>
                <w:tc>
                  <w:tcPr>
                    <w:tcW w:w="774" w:type="dxa"/>
                    <w:shd w:val="clear" w:color="auto" w:fill="auto"/>
                    <w:vAlign w:val="center"/>
                  </w:tcPr>
                  <w:p>
                    <w:pPr>
                      <w:jc w:val="center"/>
                      <w:rPr>
                        <w:b/>
                        <w:sz w:val="16"/>
                        <w:szCs w:val="16"/>
                      </w:rPr>
                    </w:pPr>
                    <w:r>
                      <w:rPr>
                        <w:b/>
                        <w:sz w:val="16"/>
                        <w:szCs w:val="16"/>
                      </w:rPr>
                      <w:t>5</w:t>
                    </w:r>
                  </w:p>
                </w:tc>
                <w:tc>
                  <w:tcPr>
                    <w:tcW w:w="544" w:type="dxa"/>
                    <w:shd w:val="clear" w:color="auto" w:fill="auto"/>
                    <w:vAlign w:val="center"/>
                  </w:tcPr>
                  <w:p>
                    <w:pPr>
                      <w:jc w:val="center"/>
                      <w:rPr>
                        <w:b/>
                        <w:sz w:val="16"/>
                        <w:szCs w:val="16"/>
                      </w:rPr>
                    </w:pPr>
                    <w:r>
                      <w:rPr>
                        <w:b/>
                        <w:sz w:val="16"/>
                        <w:szCs w:val="16"/>
                      </w:rPr>
                      <w:t>6</w:t>
                    </w:r>
                  </w:p>
                </w:tc>
                <w:tc>
                  <w:tcPr>
                    <w:tcW w:w="933" w:type="dxa"/>
                    <w:shd w:val="clear" w:color="auto" w:fill="auto"/>
                    <w:vAlign w:val="center"/>
                  </w:tcPr>
                  <w:p>
                    <w:pPr>
                      <w:jc w:val="center"/>
                      <w:rPr>
                        <w:b/>
                        <w:sz w:val="16"/>
                        <w:szCs w:val="16"/>
                      </w:rPr>
                    </w:pPr>
                    <w:r>
                      <w:rPr>
                        <w:b/>
                        <w:sz w:val="16"/>
                        <w:szCs w:val="16"/>
                      </w:rPr>
                      <w:t>7</w:t>
                    </w:r>
                  </w:p>
                </w:tc>
                <w:tc>
                  <w:tcPr>
                    <w:tcW w:w="707" w:type="dxa"/>
                    <w:shd w:val="clear" w:color="auto" w:fill="auto"/>
                    <w:vAlign w:val="center"/>
                  </w:tcPr>
                  <w:p>
                    <w:pPr>
                      <w:jc w:val="center"/>
                      <w:rPr>
                        <w:b/>
                        <w:sz w:val="16"/>
                        <w:szCs w:val="16"/>
                      </w:rPr>
                    </w:pPr>
                    <w:r>
                      <w:rPr>
                        <w:b/>
                        <w:sz w:val="16"/>
                        <w:szCs w:val="16"/>
                      </w:rPr>
                      <w:t>8</w:t>
                    </w:r>
                  </w:p>
                </w:tc>
                <w:tc>
                  <w:tcPr>
                    <w:tcW w:w="843" w:type="dxa"/>
                    <w:vAlign w:val="center"/>
                  </w:tcPr>
                  <w:p>
                    <w:pPr>
                      <w:jc w:val="center"/>
                      <w:rPr>
                        <w:b/>
                        <w:sz w:val="16"/>
                        <w:szCs w:val="16"/>
                      </w:rPr>
                    </w:pPr>
                    <w:r>
                      <w:rPr>
                        <w:b/>
                        <w:sz w:val="16"/>
                        <w:szCs w:val="16"/>
                      </w:rPr>
                      <w:t>9</w:t>
                    </w:r>
                  </w:p>
                </w:tc>
                <w:tc>
                  <w:tcPr>
                    <w:tcW w:w="1119" w:type="dxa"/>
                    <w:shd w:val="clear" w:color="auto" w:fill="auto"/>
                    <w:vAlign w:val="center"/>
                  </w:tcPr>
                  <w:p>
                    <w:pPr>
                      <w:jc w:val="center"/>
                      <w:rPr>
                        <w:b/>
                        <w:sz w:val="16"/>
                        <w:szCs w:val="16"/>
                      </w:rPr>
                    </w:pPr>
                    <w:r>
                      <w:rPr>
                        <w:b/>
                        <w:sz w:val="16"/>
                        <w:szCs w:val="16"/>
                      </w:rPr>
                      <w:t>10</w:t>
                    </w:r>
                  </w:p>
                </w:tc>
                <w:tc>
                  <w:tcPr>
                    <w:tcW w:w="709" w:type="dxa"/>
                    <w:shd w:val="clear" w:color="auto" w:fill="auto"/>
                    <w:vAlign w:val="center"/>
                  </w:tcPr>
                  <w:p>
                    <w:pPr>
                      <w:jc w:val="center"/>
                      <w:rPr>
                        <w:b/>
                        <w:sz w:val="16"/>
                        <w:szCs w:val="16"/>
                      </w:rPr>
                    </w:pPr>
                    <w:r>
                      <w:rPr>
                        <w:b/>
                        <w:sz w:val="16"/>
                        <w:szCs w:val="16"/>
                      </w:rPr>
                      <w:t>11</w:t>
                    </w:r>
                  </w:p>
                </w:tc>
                <w:tc>
                  <w:tcPr>
                    <w:tcW w:w="850" w:type="dxa"/>
                    <w:shd w:val="clear" w:color="auto" w:fill="auto"/>
                    <w:vAlign w:val="center"/>
                  </w:tcPr>
                  <w:p>
                    <w:pPr>
                      <w:jc w:val="center"/>
                      <w:rPr>
                        <w:b/>
                        <w:sz w:val="16"/>
                        <w:szCs w:val="16"/>
                      </w:rPr>
                    </w:pPr>
                    <w:r>
                      <w:rPr>
                        <w:b/>
                        <w:sz w:val="16"/>
                        <w:szCs w:val="16"/>
                      </w:rPr>
                      <w:t>12</w:t>
                    </w:r>
                  </w:p>
                </w:tc>
                <w:tc>
                  <w:tcPr>
                    <w:tcW w:w="753" w:type="dxa"/>
                    <w:gridSpan w:val="2"/>
                    <w:shd w:val="clear" w:color="auto" w:fill="auto"/>
                    <w:vAlign w:val="center"/>
                  </w:tcPr>
                  <w:p>
                    <w:pPr>
                      <w:jc w:val="center"/>
                      <w:rPr>
                        <w:b/>
                        <w:sz w:val="16"/>
                        <w:szCs w:val="16"/>
                      </w:rPr>
                    </w:pPr>
                    <w:r>
                      <w:rPr>
                        <w:b/>
                        <w:sz w:val="16"/>
                        <w:szCs w:val="16"/>
                      </w:rPr>
                      <w:t>13</w:t>
                    </w:r>
                  </w:p>
                </w:tc>
              </w:tr>
              <w:tr>
                <w:tblPrEx>
                  <w:jc w:val="center"/>
                </w:tblPrEx>
                <w:trPr>
                  <w:trHeight w:val="458"/>
                  <w:jc w:val="center"/>
                </w:trPr>
                <w:tc>
                  <w:tcPr>
                    <w:tcW w:w="673" w:type="dxa"/>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578" w:type="dxa"/>
                    <w:vMerge w:val="restart"/>
                  </w:tcPr>
                  <w:p>
                    <w:pPr>
                      <w:jc w:val="center"/>
                      <w:rPr>
                        <w:sz w:val="16"/>
                        <w:szCs w:val="16"/>
                      </w:rPr>
                    </w:pPr>
                    <w:r>
                      <w:rPr>
                        <w:sz w:val="16"/>
                        <w:szCs w:val="16"/>
                      </w:rPr>
                      <w:t>R</w:t>
                    </w:r>
                  </w:p>
                </w:tc>
                <w:tc>
                  <w:tcPr>
                    <w:tcW w:w="625" w:type="dxa"/>
                    <w:vMerge w:val="restart"/>
                  </w:tcPr>
                  <w:p>
                    <w:pPr>
                      <w:jc w:val="center"/>
                      <w:rPr>
                        <w:sz w:val="16"/>
                        <w:szCs w:val="16"/>
                      </w:rPr>
                    </w:pPr>
                    <w:r>
                      <w:rPr>
                        <w:sz w:val="16"/>
                        <w:szCs w:val="16"/>
                      </w:rPr>
                      <w:t>-</w:t>
                    </w:r>
                  </w:p>
                </w:tc>
                <w:tc>
                  <w:tcPr>
                    <w:tcW w:w="712" w:type="dxa"/>
                    <w:vMerge w:val="restart"/>
                  </w:tcPr>
                  <w:p>
                    <w:pPr>
                      <w:jc w:val="center"/>
                      <w:rPr>
                        <w:sz w:val="16"/>
                        <w:szCs w:val="16"/>
                      </w:rPr>
                    </w:pPr>
                    <w:r>
                      <w:rPr>
                        <w:sz w:val="16"/>
                        <w:szCs w:val="16"/>
                      </w:rPr>
                      <w:t>-</w:t>
                    </w:r>
                  </w:p>
                </w:tc>
                <w:tc>
                  <w:tcPr>
                    <w:tcW w:w="774" w:type="dxa"/>
                    <w:vMerge w:val="restart"/>
                  </w:tcPr>
                  <w:p>
                    <w:pPr>
                      <w:jc w:val="center"/>
                      <w:rPr>
                        <w:sz w:val="16"/>
                        <w:szCs w:val="16"/>
                      </w:rPr>
                    </w:pPr>
                    <w:r>
                      <w:rPr>
                        <w:sz w:val="16"/>
                        <w:szCs w:val="16"/>
                      </w:rPr>
                      <w:t>Neprisidedama</w:t>
                    </w:r>
                  </w:p>
                </w:tc>
                <w:tc>
                  <w:tcPr>
                    <w:tcW w:w="544" w:type="dxa"/>
                    <w:vMerge w:val="restart"/>
                  </w:tcPr>
                  <w:p>
                    <w:pPr>
                      <w:jc w:val="center"/>
                      <w:rPr>
                        <w:sz w:val="16"/>
                        <w:szCs w:val="16"/>
                      </w:rPr>
                    </w:pPr>
                    <w:r>
                      <w:rPr>
                        <w:sz w:val="16"/>
                        <w:szCs w:val="16"/>
                      </w:rPr>
                      <w:t>-</w:t>
                    </w:r>
                  </w:p>
                </w:tc>
                <w:tc>
                  <w:tcPr>
                    <w:tcW w:w="933" w:type="dxa"/>
                    <w:vMerge w:val="restart"/>
                  </w:tcPr>
                  <w:p>
                    <w:pPr>
                      <w:jc w:val="center"/>
                      <w:rPr>
                        <w:sz w:val="16"/>
                        <w:szCs w:val="16"/>
                      </w:rPr>
                    </w:pPr>
                    <w:r>
                      <w:rPr>
                        <w:sz w:val="16"/>
                        <w:szCs w:val="16"/>
                      </w:rPr>
                      <w:t>-</w:t>
                    </w:r>
                  </w:p>
                </w:tc>
                <w:tc>
                  <w:tcPr>
                    <w:tcW w:w="707" w:type="dxa"/>
                    <w:vMerge w:val="restart"/>
                  </w:tcPr>
                  <w:p>
                    <w:pPr>
                      <w:jc w:val="center"/>
                      <w:rPr>
                        <w:sz w:val="16"/>
                        <w:szCs w:val="16"/>
                      </w:rPr>
                    </w:pPr>
                    <w:r>
                      <w:rPr>
                        <w:sz w:val="16"/>
                        <w:szCs w:val="16"/>
                      </w:rPr>
                      <w:t>-</w:t>
                    </w:r>
                  </w:p>
                </w:tc>
                <w:tc>
                  <w:tcPr>
                    <w:tcW w:w="843" w:type="dxa"/>
                    <w:vMerge w:val="restart"/>
                  </w:tcPr>
                  <w:p>
                    <w:pPr>
                      <w:jc w:val="center"/>
                      <w:rPr>
                        <w:color w:val="000000"/>
                        <w:sz w:val="16"/>
                        <w:szCs w:val="16"/>
                      </w:rPr>
                    </w:pPr>
                    <w:r>
                      <w:rPr>
                        <w:color w:val="000000"/>
                        <w:sz w:val="16"/>
                        <w:szCs w:val="16"/>
                      </w:rPr>
                      <w:t>-</w:t>
                    </w:r>
                  </w:p>
                </w:tc>
                <w:tc>
                  <w:tcPr>
                    <w:tcW w:w="1119" w:type="dxa"/>
                  </w:tcPr>
                  <w:p>
                    <w:pPr>
                      <w:rPr>
                        <w:color w:val="000000"/>
                        <w:sz w:val="16"/>
                        <w:szCs w:val="16"/>
                        <w:shd w:val="clear" w:color="auto" w:fill="FFFFFF"/>
                      </w:rPr>
                    </w:pPr>
                    <w:r>
                      <w:rPr>
                        <w:sz w:val="16"/>
                        <w:szCs w:val="16"/>
                      </w:rPr>
                      <w:t>P-12-003-03-04-03-07</w:t>
                    </w:r>
                  </w:p>
                  <w:p>
                    <w:pPr>
                      <w:rPr>
                        <w:sz w:val="16"/>
                        <w:szCs w:val="16"/>
                      </w:rPr>
                    </w:pPr>
                    <w:r>
                      <w:rPr>
                        <w:color w:val="000000"/>
                        <w:sz w:val="16"/>
                        <w:szCs w:val="16"/>
                        <w:shd w:val="clear" w:color="auto" w:fill="FFFFFF"/>
                      </w:rPr>
                      <w:t>Teisės akto dėl Nacionalinės profesinio švietimo ir mokymo pažangos platformos sukūrimo projektas, paskelbtas konsultacijoms su socialiniais partneriais ir suinteresuotosiomis šalimis </w:t>
                    </w:r>
                  </w:p>
                </w:tc>
                <w:tc>
                  <w:tcPr>
                    <w:tcW w:w="709" w:type="dxa"/>
                  </w:tcPr>
                  <w:p>
                    <w:pPr>
                      <w:jc w:val="center"/>
                      <w:rPr>
                        <w:sz w:val="16"/>
                        <w:szCs w:val="16"/>
                      </w:rPr>
                    </w:pPr>
                    <w:r>
                      <w:rPr>
                        <w:sz w:val="16"/>
                        <w:szCs w:val="16"/>
                      </w:rPr>
                      <w:t>1</w:t>
                    </w:r>
                  </w:p>
                  <w:p>
                    <w:pPr>
                      <w:jc w:val="center"/>
                      <w:rPr>
                        <w:sz w:val="16"/>
                        <w:szCs w:val="16"/>
                      </w:rPr>
                    </w:pPr>
                    <w:r>
                      <w:rPr>
                        <w:color w:val="000000"/>
                        <w:sz w:val="16"/>
                        <w:szCs w:val="16"/>
                      </w:rPr>
                      <w:t>(2022 m.)</w:t>
                    </w:r>
                  </w:p>
                </w:tc>
                <w:tc>
                  <w:tcPr>
                    <w:tcW w:w="850" w:type="dxa"/>
                    <w:vMerge w:val="restart"/>
                  </w:tcPr>
                  <w:p>
                    <w:pPr>
                      <w:jc w:val="center"/>
                      <w:rPr>
                        <w:sz w:val="16"/>
                        <w:szCs w:val="16"/>
                      </w:rPr>
                    </w:pPr>
                    <w:r>
                      <w:rPr>
                        <w:color w:val="000000"/>
                        <w:sz w:val="16"/>
                        <w:szCs w:val="16"/>
                      </w:rPr>
                      <w:t>Švietimo, mokslo ir sporto ministerija (toliau –ŠMSM)</w:t>
                    </w:r>
                  </w:p>
                </w:tc>
                <w:tc>
                  <w:tcPr>
                    <w:tcW w:w="753" w:type="dxa"/>
                    <w:gridSpan w:val="2"/>
                    <w:vMerge w:val="restart"/>
                  </w:tcPr>
                  <w:p>
                    <w:pPr>
                      <w:jc w:val="center"/>
                      <w:rPr>
                        <w:sz w:val="16"/>
                        <w:szCs w:val="16"/>
                      </w:rPr>
                    </w:pPr>
                    <w:r>
                      <w:rPr>
                        <w:color w:val="000000"/>
                        <w:sz w:val="16"/>
                        <w:szCs w:val="16"/>
                      </w:rPr>
                      <w:t>ŠMSM</w:t>
                    </w:r>
                  </w:p>
                </w:tc>
              </w:tr>
              <w:tr>
                <w:tblPrEx>
                  <w:jc w:val="center"/>
                </w:tblPrEx>
                <w:trPr>
                  <w:trHeight w:val="45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709" w:type="dxa"/>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85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P-12-003-03-04-03-12</w:t>
                    </w:r>
                  </w:p>
                  <w:p>
                    <w:pPr>
                      <w:rPr>
                        <w:sz w:val="16"/>
                        <w:szCs w:val="16"/>
                      </w:rPr>
                    </w:pPr>
                    <w:r>
                      <w:rPr>
                        <w:color w:val="000000"/>
                        <w:sz w:val="16"/>
                        <w:szCs w:val="16"/>
                      </w:rPr>
                      <w:t>Profesinio mokymo įstatymo dėl profesinio mokymo kompetencijų centrų profesinio švietimo ir mokymo pakeitimo projektas, kuris paskelbtas konsultacijoms su socialiniais partneriais</w:t>
                    </w:r>
                    <w:r>
                      <w:rPr>
                        <w:sz w:val="16"/>
                        <w:szCs w:val="16"/>
                        <w:lang w:eastAsia="nl-BE"/>
                      </w:rPr>
                      <w:t xml:space="preserve"> ir suinteresuotaisiais subjektais</w:t>
                    </w:r>
                  </w:p>
                </w:tc>
                <w:tc>
                  <w:tcPr>
                    <w:tcW w:w="709" w:type="dxa"/>
                  </w:tcPr>
                  <w:p>
                    <w:pPr>
                      <w:jc w:val="center"/>
                      <w:rPr>
                        <w:color w:val="000000"/>
                        <w:sz w:val="16"/>
                        <w:szCs w:val="16"/>
                      </w:rPr>
                    </w:pPr>
                    <w:r>
                      <w:rPr>
                        <w:color w:val="000000"/>
                        <w:sz w:val="16"/>
                        <w:szCs w:val="16"/>
                      </w:rPr>
                      <w:t>1</w:t>
                    </w:r>
                  </w:p>
                  <w:p>
                    <w:pPr>
                      <w:jc w:val="center"/>
                      <w:rPr>
                        <w:sz w:val="16"/>
                        <w:szCs w:val="16"/>
                      </w:rPr>
                    </w:pPr>
                    <w:r>
                      <w:rPr>
                        <w:color w:val="000000"/>
                        <w:sz w:val="16"/>
                        <w:szCs w:val="16"/>
                      </w:rPr>
                      <w:t>(2022 m. II ketv.)</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1443"/>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709" w:type="dxa"/>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45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709" w:type="dxa"/>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45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709" w:type="dxa"/>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69"/>
                  <w:jc w:val="center"/>
                </w:trPr>
                <w:tc>
                  <w:tcPr>
                    <w:tcW w:w="673" w:type="dxa"/>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578" w:type="dxa"/>
                  </w:tcPr>
                  <w:p>
                    <w:pPr>
                      <w:rPr>
                        <w:sz w:val="16"/>
                        <w:szCs w:val="16"/>
                      </w:rPr>
                    </w:pPr>
                  </w:p>
                </w:tc>
                <w:tc>
                  <w:tcPr>
                    <w:tcW w:w="625" w:type="dxa"/>
                  </w:tcPr>
                  <w:p>
                    <w:pPr>
                      <w:rPr>
                        <w:sz w:val="16"/>
                        <w:szCs w:val="16"/>
                      </w:rPr>
                    </w:pPr>
                  </w:p>
                </w:tc>
                <w:tc>
                  <w:tcPr>
                    <w:tcW w:w="712" w:type="dxa"/>
                  </w:tcPr>
                  <w:p>
                    <w:pPr>
                      <w:rPr>
                        <w:sz w:val="16"/>
                        <w:szCs w:val="16"/>
                      </w:rPr>
                    </w:pPr>
                  </w:p>
                </w:tc>
                <w:tc>
                  <w:tcPr>
                    <w:tcW w:w="774" w:type="dxa"/>
                  </w:tcPr>
                  <w:p>
                    <w:pPr>
                      <w:rPr>
                        <w:sz w:val="16"/>
                        <w:szCs w:val="16"/>
                      </w:rPr>
                    </w:pPr>
                  </w:p>
                </w:tc>
                <w:tc>
                  <w:tcPr>
                    <w:tcW w:w="544" w:type="dxa"/>
                  </w:tcPr>
                  <w:p>
                    <w:pPr>
                      <w:rPr>
                        <w:sz w:val="16"/>
                        <w:szCs w:val="16"/>
                      </w:rPr>
                    </w:pPr>
                  </w:p>
                </w:tc>
                <w:tc>
                  <w:tcPr>
                    <w:tcW w:w="933" w:type="dxa"/>
                  </w:tcPr>
                  <w:p>
                    <w:pPr>
                      <w:jc w:val="center"/>
                      <w:rPr>
                        <w:sz w:val="16"/>
                        <w:szCs w:val="16"/>
                      </w:rPr>
                    </w:pPr>
                    <w:r>
                      <w:rPr>
                        <w:sz w:val="16"/>
                        <w:szCs w:val="16"/>
                      </w:rPr>
                      <w:t>6 209 525</w:t>
                    </w:r>
                  </w:p>
                </w:tc>
                <w:tc>
                  <w:tcPr>
                    <w:tcW w:w="707" w:type="dxa"/>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843" w:type="dxa"/>
                  </w:tcPr>
                  <w:p>
                    <w:pPr>
                      <w:jc w:val="center"/>
                      <w:rPr>
                        <w:color w:val="000000"/>
                        <w:sz w:val="16"/>
                        <w:szCs w:val="16"/>
                      </w:rPr>
                    </w:pPr>
                    <w:r>
                      <w:rPr>
                        <w:color w:val="000000"/>
                        <w:sz w:val="16"/>
                        <w:szCs w:val="16"/>
                      </w:rPr>
                      <w:t>-</w:t>
                    </w:r>
                  </w:p>
                </w:tc>
                <w:tc>
                  <w:tcPr>
                    <w:tcW w:w="1119" w:type="dxa"/>
                  </w:tcPr>
                  <w:p>
                    <w:pPr>
                      <w:rPr>
                        <w:color w:val="000000"/>
                        <w:sz w:val="16"/>
                        <w:szCs w:val="16"/>
                      </w:rPr>
                    </w:pPr>
                  </w:p>
                </w:tc>
                <w:tc>
                  <w:tcPr>
                    <w:tcW w:w="709" w:type="dxa"/>
                  </w:tcPr>
                  <w:p>
                    <w:pPr>
                      <w:jc w:val="center"/>
                      <w:rPr>
                        <w:sz w:val="16"/>
                        <w:szCs w:val="16"/>
                      </w:rPr>
                    </w:pPr>
                  </w:p>
                </w:tc>
                <w:tc>
                  <w:tcPr>
                    <w:tcW w:w="850" w:type="dxa"/>
                  </w:tcPr>
                  <w:p>
                    <w:pPr>
                      <w:jc w:val="center"/>
                      <w:rPr>
                        <w:sz w:val="16"/>
                        <w:szCs w:val="16"/>
                      </w:rPr>
                    </w:pPr>
                  </w:p>
                </w:tc>
                <w:tc>
                  <w:tcPr>
                    <w:tcW w:w="753" w:type="dxa"/>
                    <w:gridSpan w:val="2"/>
                  </w:tcPr>
                  <w:p>
                    <w:pPr>
                      <w:jc w:val="center"/>
                      <w:rPr>
                        <w:sz w:val="16"/>
                        <w:szCs w:val="16"/>
                      </w:rPr>
                    </w:pPr>
                  </w:p>
                </w:tc>
              </w:tr>
              <w:tr>
                <w:tblPrEx>
                  <w:jc w:val="center"/>
                </w:tblPrEx>
                <w:trPr>
                  <w:trHeight w:val="460"/>
                  <w:jc w:val="center"/>
                </w:trPr>
                <w:tc>
                  <w:tcPr>
                    <w:tcW w:w="673" w:type="dxa"/>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578" w:type="dxa"/>
                    <w:vMerge w:val="restart"/>
                  </w:tcPr>
                  <w:p>
                    <w:pPr>
                      <w:jc w:val="center"/>
                      <w:rPr>
                        <w:sz w:val="16"/>
                        <w:szCs w:val="16"/>
                      </w:rPr>
                    </w:pPr>
                    <w:r>
                      <w:rPr>
                        <w:sz w:val="16"/>
                        <w:szCs w:val="16"/>
                      </w:rPr>
                      <w:t>M</w:t>
                    </w:r>
                  </w:p>
                </w:tc>
                <w:tc>
                  <w:tcPr>
                    <w:tcW w:w="625" w:type="dxa"/>
                    <w:vMerge w:val="restart"/>
                  </w:tcPr>
                  <w:p>
                    <w:pPr>
                      <w:jc w:val="center"/>
                      <w:rPr>
                        <w:sz w:val="16"/>
                        <w:szCs w:val="16"/>
                      </w:rPr>
                    </w:pPr>
                    <w:r>
                      <w:rPr>
                        <w:sz w:val="16"/>
                        <w:szCs w:val="16"/>
                      </w:rPr>
                      <w:t>Europos socialinio fondo agentūra (toliau – ESFA)</w:t>
                    </w:r>
                  </w:p>
                </w:tc>
                <w:tc>
                  <w:tcPr>
                    <w:tcW w:w="712" w:type="dxa"/>
                    <w:vMerge w:val="restart"/>
                  </w:tcPr>
                  <w:p>
                    <w:pPr>
                      <w:jc w:val="center"/>
                      <w:rPr>
                        <w:sz w:val="16"/>
                        <w:szCs w:val="16"/>
                      </w:rPr>
                    </w:pPr>
                    <w:r>
                      <w:rPr>
                        <w:sz w:val="16"/>
                        <w:szCs w:val="16"/>
                      </w:rPr>
                      <w:t>P</w:t>
                    </w:r>
                  </w:p>
                </w:tc>
                <w:tc>
                  <w:tcPr>
                    <w:tcW w:w="774" w:type="dxa"/>
                    <w:vMerge w:val="restart"/>
                  </w:tcPr>
                  <w:p>
                    <w:pPr>
                      <w:jc w:val="center"/>
                      <w:rPr>
                        <w:sz w:val="16"/>
                        <w:szCs w:val="16"/>
                      </w:rPr>
                    </w:pPr>
                    <w:r>
                      <w:rPr>
                        <w:sz w:val="16"/>
                        <w:szCs w:val="16"/>
                      </w:rPr>
                      <w:t>Neprisidedama</w:t>
                    </w:r>
                  </w:p>
                </w:tc>
                <w:tc>
                  <w:tcPr>
                    <w:tcW w:w="544" w:type="dxa"/>
                    <w:vMerge w:val="restart"/>
                  </w:tcPr>
                  <w:p>
                    <w:pPr>
                      <w:jc w:val="center"/>
                      <w:rPr>
                        <w:sz w:val="16"/>
                        <w:szCs w:val="16"/>
                      </w:rPr>
                    </w:pPr>
                    <w:r>
                      <w:rPr>
                        <w:sz w:val="16"/>
                        <w:szCs w:val="16"/>
                      </w:rPr>
                      <w:t>D</w:t>
                    </w:r>
                  </w:p>
                </w:tc>
                <w:tc>
                  <w:tcPr>
                    <w:tcW w:w="933" w:type="dxa"/>
                  </w:tcPr>
                  <w:p>
                    <w:pPr>
                      <w:jc w:val="center"/>
                      <w:rPr>
                        <w:sz w:val="16"/>
                        <w:szCs w:val="16"/>
                      </w:rPr>
                    </w:pPr>
                    <w:r>
                      <w:rPr>
                        <w:sz w:val="16"/>
                        <w:szCs w:val="16"/>
                      </w:rPr>
                      <w:t>2 458 525</w:t>
                    </w:r>
                  </w:p>
                </w:tc>
                <w:tc>
                  <w:tcPr>
                    <w:tcW w:w="707" w:type="dxa"/>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843" w:type="dxa"/>
                    <w:vMerge w:val="restart"/>
                  </w:tcPr>
                  <w:p>
                    <w:pPr>
                      <w:rPr>
                        <w:color w:val="000000"/>
                        <w:sz w:val="16"/>
                        <w:szCs w:val="16"/>
                      </w:rPr>
                    </w:pPr>
                    <w:r>
                      <w:rPr>
                        <w:color w:val="000000"/>
                        <w:sz w:val="16"/>
                        <w:szCs w:val="16"/>
                      </w:rPr>
                      <w:t>-</w:t>
                    </w:r>
                  </w:p>
                </w:tc>
                <w:tc>
                  <w:tcPr>
                    <w:tcW w:w="1119" w:type="dxa"/>
                  </w:tcPr>
                  <w:p>
                    <w:pPr>
                      <w:rPr>
                        <w:color w:val="000000"/>
                        <w:sz w:val="16"/>
                        <w:szCs w:val="16"/>
                      </w:rPr>
                    </w:pPr>
                    <w:r>
                      <w:rPr>
                        <w:sz w:val="16"/>
                        <w:szCs w:val="16"/>
                      </w:rPr>
                      <w:t>P-12-003-03-04-03-09</w:t>
                    </w:r>
                  </w:p>
                  <w:p>
                    <w:pPr>
                      <w:rPr>
                        <w:color w:val="000000"/>
                        <w:sz w:val="16"/>
                        <w:szCs w:val="16"/>
                      </w:rPr>
                    </w:pPr>
                    <w:r>
                      <w:rPr>
                        <w:sz w:val="16"/>
                        <w:szCs w:val="16"/>
                        <w:lang w:eastAsia="nl-BE"/>
                      </w:rPr>
                      <w:t xml:space="preserve">Poreikių atnaujinti arba parengti naujas mokymo programas nustatymas, konsultuojantis su socialiniais partneriais </w:t>
                    </w:r>
                  </w:p>
                </w:tc>
                <w:tc>
                  <w:tcPr>
                    <w:tcW w:w="709" w:type="dxa"/>
                  </w:tcPr>
                  <w:p>
                    <w:pPr>
                      <w:jc w:val="center"/>
                      <w:rPr>
                        <w:sz w:val="16"/>
                        <w:szCs w:val="16"/>
                      </w:rPr>
                    </w:pPr>
                    <w:r>
                      <w:rPr>
                        <w:sz w:val="16"/>
                        <w:szCs w:val="16"/>
                      </w:rPr>
                      <w:t>1</w:t>
                    </w:r>
                  </w:p>
                  <w:p>
                    <w:pPr>
                      <w:jc w:val="center"/>
                      <w:rPr>
                        <w:sz w:val="16"/>
                        <w:szCs w:val="16"/>
                      </w:rPr>
                    </w:pPr>
                    <w:r>
                      <w:rPr>
                        <w:sz w:val="16"/>
                        <w:szCs w:val="16"/>
                      </w:rPr>
                      <w:t>(2023 m.)</w:t>
                    </w:r>
                  </w:p>
                </w:tc>
                <w:tc>
                  <w:tcPr>
                    <w:tcW w:w="850" w:type="dxa"/>
                    <w:vMerge w:val="restart"/>
                  </w:tcPr>
                  <w:p>
                    <w:pPr>
                      <w:jc w:val="center"/>
                      <w:rPr>
                        <w:sz w:val="16"/>
                        <w:szCs w:val="16"/>
                      </w:rPr>
                    </w:pPr>
                    <w:r>
                      <w:rPr>
                        <w:sz w:val="16"/>
                        <w:szCs w:val="16"/>
                      </w:rPr>
                      <w:t>Centrinė projektų valdymo agentūra (toliau – CPVA)</w:t>
                    </w:r>
                  </w:p>
                </w:tc>
                <w:tc>
                  <w:tcPr>
                    <w:tcW w:w="753" w:type="dxa"/>
                    <w:gridSpan w:val="2"/>
                    <w:vMerge w:val="restart"/>
                  </w:tcPr>
                  <w:p>
                    <w:pPr>
                      <w:jc w:val="center"/>
                      <w:rPr>
                        <w:sz w:val="16"/>
                        <w:szCs w:val="16"/>
                      </w:rPr>
                    </w:pPr>
                    <w:r>
                      <w:rPr>
                        <w:sz w:val="16"/>
                        <w:szCs w:val="16"/>
                      </w:rPr>
                      <w:t>ŠMSM</w:t>
                    </w:r>
                  </w:p>
                </w:tc>
              </w:tr>
              <w:tr>
                <w:tblPrEx>
                  <w:jc w:val="center"/>
                </w:tblPrEx>
                <w:trPr>
                  <w:trHeight w:val="45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sz w:val="16"/>
                        <w:szCs w:val="16"/>
                      </w:rPr>
                      <w:t>2 059 525</w:t>
                    </w:r>
                  </w:p>
                </w:tc>
                <w:tc>
                  <w:tcPr>
                    <w:tcW w:w="707" w:type="dxa"/>
                  </w:tcPr>
                  <w:p>
                    <w:pPr>
                      <w:rPr>
                        <w:sz w:val="16"/>
                        <w:szCs w:val="16"/>
                      </w:rPr>
                    </w:pPr>
                    <w:r>
                      <w:rPr>
                        <w:sz w:val="16"/>
                        <w:szCs w:val="16"/>
                      </w:rPr>
                      <w:t>EGADP lėšos</w:t>
                    </w:r>
                  </w:p>
                </w:tc>
                <w:tc>
                  <w:tcPr>
                    <w:tcW w:w="843" w:type="dxa"/>
                    <w:vMerge/>
                  </w:tcPr>
                  <w:p>
                    <w:pPr>
                      <w:rPr>
                        <w:color w:val="000000"/>
                        <w:sz w:val="16"/>
                        <w:szCs w:val="16"/>
                      </w:rPr>
                    </w:pPr>
                  </w:p>
                </w:tc>
                <w:tc>
                  <w:tcPr>
                    <w:tcW w:w="1119" w:type="dxa"/>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709" w:type="dxa"/>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1408"/>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val="restart"/>
                  </w:tcPr>
                  <w:p>
                    <w:pPr>
                      <w:jc w:val="center"/>
                      <w:rPr>
                        <w:sz w:val="16"/>
                        <w:szCs w:val="16"/>
                      </w:rPr>
                    </w:pPr>
                    <w:r>
                      <w:rPr>
                        <w:color w:val="000000"/>
                        <w:sz w:val="16"/>
                        <w:szCs w:val="16"/>
                      </w:rPr>
                      <w:t>399 000</w:t>
                    </w:r>
                  </w:p>
                </w:tc>
                <w:tc>
                  <w:tcPr>
                    <w:tcW w:w="707" w:type="dxa"/>
                    <w:vMerge w:val="restart"/>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843" w:type="dxa"/>
                    <w:vMerge/>
                  </w:tcPr>
                  <w:p>
                    <w:pPr>
                      <w:rPr>
                        <w:color w:val="000000"/>
                        <w:sz w:val="16"/>
                        <w:szCs w:val="16"/>
                      </w:rPr>
                    </w:pPr>
                  </w:p>
                </w:tc>
                <w:tc>
                  <w:tcPr>
                    <w:tcW w:w="1119" w:type="dxa"/>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709" w:type="dxa"/>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467"/>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R-12-003-03-04-03-19</w:t>
                    </w:r>
                  </w:p>
                  <w:p>
                    <w:pPr>
                      <w:rPr>
                        <w:color w:val="000000"/>
                        <w:sz w:val="16"/>
                        <w:szCs w:val="16"/>
                      </w:rPr>
                    </w:pPr>
                    <w:r>
                      <w:rPr>
                        <w:color w:val="000000"/>
                        <w:sz w:val="16"/>
                        <w:szCs w:val="16"/>
                      </w:rPr>
                      <w:t>Švietimo ar mokymo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467"/>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467"/>
                  <w:jc w:val="center"/>
                </w:trPr>
                <w:tc>
                  <w:tcPr>
                    <w:tcW w:w="673" w:type="dxa"/>
                    <w:vMerge/>
                  </w:tcPr>
                  <w:p>
                    <w:pPr>
                      <w:rPr>
                        <w:i/>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val="restart"/>
                  </w:tcPr>
                  <w:p>
                    <w:pPr>
                      <w:rPr>
                        <w:color w:val="000000"/>
                        <w:sz w:val="16"/>
                        <w:szCs w:val="16"/>
                      </w:rPr>
                    </w:pPr>
                    <w:r>
                      <w:rPr>
                        <w:sz w:val="16"/>
                        <w:szCs w:val="16"/>
                      </w:rPr>
                      <w:t>2.2. Profesijos mokytojų ir (arba) meistrų kompetencijų tobulinimas</w:t>
                    </w:r>
                  </w:p>
                </w:tc>
                <w:tc>
                  <w:tcPr>
                    <w:tcW w:w="578" w:type="dxa"/>
                    <w:vMerge w:val="restart"/>
                  </w:tcPr>
                  <w:p>
                    <w:pPr>
                      <w:jc w:val="center"/>
                      <w:rPr>
                        <w:sz w:val="16"/>
                        <w:szCs w:val="16"/>
                      </w:rPr>
                    </w:pPr>
                    <w:r>
                      <w:rPr>
                        <w:sz w:val="16"/>
                        <w:szCs w:val="16"/>
                      </w:rPr>
                      <w:t>M</w:t>
                    </w:r>
                  </w:p>
                </w:tc>
                <w:tc>
                  <w:tcPr>
                    <w:tcW w:w="625" w:type="dxa"/>
                    <w:vMerge w:val="restart"/>
                  </w:tcPr>
                  <w:p>
                    <w:pPr>
                      <w:jc w:val="center"/>
                      <w:rPr>
                        <w:sz w:val="16"/>
                        <w:szCs w:val="16"/>
                      </w:rPr>
                    </w:pPr>
                    <w:r>
                      <w:rPr>
                        <w:sz w:val="16"/>
                        <w:szCs w:val="16"/>
                      </w:rPr>
                      <w:t>ESFA</w:t>
                    </w:r>
                  </w:p>
                </w:tc>
                <w:tc>
                  <w:tcPr>
                    <w:tcW w:w="712" w:type="dxa"/>
                    <w:vMerge w:val="restart"/>
                  </w:tcPr>
                  <w:p>
                    <w:pPr>
                      <w:jc w:val="center"/>
                      <w:rPr>
                        <w:sz w:val="16"/>
                        <w:szCs w:val="16"/>
                      </w:rPr>
                    </w:pPr>
                    <w:r>
                      <w:rPr>
                        <w:sz w:val="16"/>
                        <w:szCs w:val="16"/>
                      </w:rPr>
                      <w:t>P</w:t>
                    </w:r>
                  </w:p>
                </w:tc>
                <w:tc>
                  <w:tcPr>
                    <w:tcW w:w="774" w:type="dxa"/>
                    <w:vMerge w:val="restart"/>
                  </w:tcPr>
                  <w:p>
                    <w:pPr>
                      <w:jc w:val="center"/>
                      <w:rPr>
                        <w:sz w:val="16"/>
                        <w:szCs w:val="16"/>
                      </w:rPr>
                    </w:pPr>
                    <w:r>
                      <w:rPr>
                        <w:sz w:val="16"/>
                        <w:szCs w:val="16"/>
                      </w:rPr>
                      <w:t>Neprisidedama</w:t>
                    </w:r>
                  </w:p>
                </w:tc>
                <w:tc>
                  <w:tcPr>
                    <w:tcW w:w="544" w:type="dxa"/>
                    <w:vMerge w:val="restart"/>
                  </w:tcPr>
                  <w:p>
                    <w:pPr>
                      <w:jc w:val="center"/>
                      <w:rPr>
                        <w:sz w:val="16"/>
                        <w:szCs w:val="16"/>
                      </w:rPr>
                    </w:pPr>
                    <w:r>
                      <w:rPr>
                        <w:sz w:val="16"/>
                        <w:szCs w:val="16"/>
                      </w:rPr>
                      <w:t>D</w:t>
                    </w:r>
                  </w:p>
                </w:tc>
                <w:tc>
                  <w:tcPr>
                    <w:tcW w:w="933" w:type="dxa"/>
                  </w:tcPr>
                  <w:p>
                    <w:pPr>
                      <w:jc w:val="center"/>
                      <w:rPr>
                        <w:sz w:val="16"/>
                        <w:szCs w:val="16"/>
                      </w:rPr>
                    </w:pPr>
                    <w:r>
                      <w:rPr>
                        <w:sz w:val="16"/>
                        <w:szCs w:val="16"/>
                      </w:rPr>
                      <w:t>3 751 000</w:t>
                    </w:r>
                  </w:p>
                </w:tc>
                <w:tc>
                  <w:tcPr>
                    <w:tcW w:w="707" w:type="dxa"/>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pPr>
                      <w:jc w:val="center"/>
                      <w:rPr>
                        <w:color w:val="000000"/>
                        <w:sz w:val="16"/>
                        <w:szCs w:val="16"/>
                      </w:rPr>
                    </w:pPr>
                    <w:r>
                      <w:rPr>
                        <w:color w:val="000000"/>
                        <w:sz w:val="16"/>
                        <w:szCs w:val="16"/>
                      </w:rPr>
                      <w:t>-</w:t>
                    </w:r>
                  </w:p>
                </w:tc>
                <w:tc>
                  <w:tcPr>
                    <w:tcW w:w="1119" w:type="dxa"/>
                  </w:tcPr>
                  <w:p>
                    <w:pPr>
                      <w:rPr>
                        <w:sz w:val="16"/>
                        <w:szCs w:val="16"/>
                      </w:rPr>
                    </w:pPr>
                    <w:r>
                      <w:rPr>
                        <w:sz w:val="16"/>
                        <w:szCs w:val="16"/>
                      </w:rPr>
                      <w:t>P-12-003-03-04-03-09</w:t>
                    </w:r>
                  </w:p>
                  <w:p>
                    <w:pPr>
                      <w:rPr>
                        <w:sz w:val="16"/>
                        <w:szCs w:val="16"/>
                      </w:rPr>
                    </w:pPr>
                    <w:r>
                      <w:rPr>
                        <w:sz w:val="16"/>
                        <w:szCs w:val="16"/>
                        <w:lang w:eastAsia="nl-BE"/>
                      </w:rPr>
                      <w:t>Poreikių atnaujinti arba parengti naujas mokymo programas nustatymas, konsultuojantis su socialiniais partneriais</w:t>
                    </w:r>
                  </w:p>
                </w:tc>
                <w:tc>
                  <w:tcPr>
                    <w:tcW w:w="709" w:type="dxa"/>
                  </w:tcPr>
                  <w:p>
                    <w:pPr>
                      <w:jc w:val="center"/>
                      <w:rPr>
                        <w:sz w:val="16"/>
                        <w:szCs w:val="16"/>
                      </w:rPr>
                    </w:pPr>
                    <w:r>
                      <w:rPr>
                        <w:sz w:val="16"/>
                        <w:szCs w:val="16"/>
                      </w:rPr>
                      <w:t>1</w:t>
                    </w:r>
                  </w:p>
                  <w:p>
                    <w:pPr>
                      <w:jc w:val="center"/>
                      <w:rPr>
                        <w:sz w:val="16"/>
                        <w:szCs w:val="16"/>
                      </w:rPr>
                    </w:pPr>
                    <w:r>
                      <w:rPr>
                        <w:sz w:val="16"/>
                        <w:szCs w:val="16"/>
                      </w:rPr>
                      <w:t>(2023 m.)</w:t>
                    </w:r>
                  </w:p>
                </w:tc>
                <w:tc>
                  <w:tcPr>
                    <w:tcW w:w="850" w:type="dxa"/>
                    <w:vMerge w:val="restart"/>
                  </w:tcPr>
                  <w:p>
                    <w:pPr>
                      <w:jc w:val="center"/>
                      <w:rPr>
                        <w:sz w:val="16"/>
                        <w:szCs w:val="16"/>
                      </w:rPr>
                    </w:pPr>
                    <w:r>
                      <w:rPr>
                        <w:sz w:val="16"/>
                        <w:szCs w:val="16"/>
                      </w:rPr>
                      <w:t>CPVA</w:t>
                    </w:r>
                  </w:p>
                </w:tc>
                <w:tc>
                  <w:tcPr>
                    <w:tcW w:w="753" w:type="dxa"/>
                    <w:gridSpan w:val="2"/>
                    <w:vMerge w:val="restart"/>
                  </w:tcPr>
                  <w:p>
                    <w:pPr>
                      <w:jc w:val="center"/>
                      <w:rPr>
                        <w:sz w:val="16"/>
                        <w:szCs w:val="16"/>
                      </w:rPr>
                    </w:pPr>
                    <w:r>
                      <w:rPr>
                        <w:sz w:val="16"/>
                        <w:szCs w:val="16"/>
                      </w:rPr>
                      <w:t>ŠMSM</w:t>
                    </w:r>
                  </w:p>
                </w:tc>
              </w:tr>
              <w:tr>
                <w:tblPrEx>
                  <w:jc w:val="center"/>
                </w:tblPrEx>
                <w:trPr>
                  <w:trHeight w:val="233"/>
                  <w:jc w:val="center"/>
                </w:trPr>
                <w:tc>
                  <w:tcPr>
                    <w:tcW w:w="673" w:type="dxa"/>
                    <w:vMerge/>
                  </w:tcPr>
                  <w:p>
                    <w:pPr>
                      <w:rPr>
                        <w:color w:val="000000"/>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sz w:val="16"/>
                        <w:szCs w:val="16"/>
                      </w:rPr>
                      <w:t>3 100 000</w:t>
                    </w:r>
                  </w:p>
                </w:tc>
                <w:tc>
                  <w:tcPr>
                    <w:tcW w:w="707" w:type="dxa"/>
                  </w:tcPr>
                  <w:p>
                    <w:pPr>
                      <w:rPr>
                        <w:sz w:val="16"/>
                        <w:szCs w:val="16"/>
                      </w:rPr>
                    </w:pPr>
                    <w:r>
                      <w:rPr>
                        <w:sz w:val="16"/>
                        <w:szCs w:val="16"/>
                      </w:rPr>
                      <w:t>EGADP lėšos</w:t>
                    </w:r>
                  </w:p>
                </w:tc>
                <w:tc>
                  <w:tcPr>
                    <w:tcW w:w="843" w:type="dxa"/>
                    <w:vMerge/>
                  </w:tcPr>
                  <w:p>
                    <w:pPr>
                      <w:rPr>
                        <w:color w:val="000000"/>
                        <w:sz w:val="16"/>
                        <w:szCs w:val="16"/>
                      </w:rPr>
                    </w:pPr>
                  </w:p>
                </w:tc>
                <w:tc>
                  <w:tcPr>
                    <w:tcW w:w="1119" w:type="dxa"/>
                  </w:tcPr>
                  <w:p>
                    <w:pPr>
                      <w:rPr>
                        <w:color w:val="000000"/>
                        <w:sz w:val="16"/>
                        <w:szCs w:val="16"/>
                      </w:rPr>
                    </w:pPr>
                    <w:r>
                      <w:rPr>
                        <w:sz w:val="16"/>
                        <w:szCs w:val="16"/>
                      </w:rPr>
                      <w:t>P-12-003-03-04-03-10</w:t>
                    </w:r>
                  </w:p>
                  <w:p>
                    <w:pPr>
                      <w:rPr>
                        <w:sz w:val="16"/>
                        <w:szCs w:val="16"/>
                      </w:rPr>
                    </w:pPr>
                    <w:r>
                      <w:rPr>
                        <w:color w:val="000000"/>
                        <w:sz w:val="16"/>
                        <w:szCs w:val="16"/>
                      </w:rPr>
                      <w:t>Užregistruotos naujos ar atnaujintos profesinio mokymo programos, kurios yra prieinamos mokymo paslaugų teikėjams</w:t>
                    </w:r>
                  </w:p>
                </w:tc>
                <w:tc>
                  <w:tcPr>
                    <w:tcW w:w="709" w:type="dxa"/>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color w:val="000000"/>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val="restart"/>
                  </w:tcPr>
                  <w:p>
                    <w:pPr>
                      <w:jc w:val="center"/>
                      <w:rPr>
                        <w:sz w:val="16"/>
                        <w:szCs w:val="16"/>
                      </w:rPr>
                    </w:pPr>
                    <w:r>
                      <w:rPr>
                        <w:sz w:val="16"/>
                        <w:szCs w:val="16"/>
                      </w:rPr>
                      <w:t>651 000</w:t>
                    </w:r>
                  </w:p>
                </w:tc>
                <w:tc>
                  <w:tcPr>
                    <w:tcW w:w="707" w:type="dxa"/>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pPr>
                      <w:rPr>
                        <w:color w:val="000000"/>
                        <w:sz w:val="16"/>
                        <w:szCs w:val="16"/>
                      </w:rPr>
                    </w:pPr>
                  </w:p>
                </w:tc>
                <w:tc>
                  <w:tcPr>
                    <w:tcW w:w="1119" w:type="dxa"/>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709" w:type="dxa"/>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color w:val="000000"/>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color w:val="000000"/>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color w:val="000000"/>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tcPr>
                  <w:p>
                    <w:pPr>
                      <w:rPr>
                        <w:sz w:val="16"/>
                        <w:szCs w:val="16"/>
                      </w:rPr>
                    </w:pPr>
                    <w:r>
                      <w:rPr>
                        <w:color w:val="000000"/>
                        <w:sz w:val="16"/>
                        <w:szCs w:val="16"/>
                      </w:rPr>
                      <w:t>3. Priemonių bendrajam ugdymui ir profesiniam mokymui suartinti parengimas</w:t>
                    </w:r>
                  </w:p>
                </w:tc>
                <w:tc>
                  <w:tcPr>
                    <w:tcW w:w="578" w:type="dxa"/>
                  </w:tcPr>
                  <w:p>
                    <w:pPr>
                      <w:jc w:val="center"/>
                      <w:rPr>
                        <w:sz w:val="16"/>
                        <w:szCs w:val="16"/>
                      </w:rPr>
                    </w:pPr>
                  </w:p>
                </w:tc>
                <w:tc>
                  <w:tcPr>
                    <w:tcW w:w="625" w:type="dxa"/>
                  </w:tcPr>
                  <w:p>
                    <w:pPr>
                      <w:jc w:val="center"/>
                      <w:rPr>
                        <w:sz w:val="16"/>
                        <w:szCs w:val="16"/>
                      </w:rPr>
                    </w:pPr>
                  </w:p>
                </w:tc>
                <w:tc>
                  <w:tcPr>
                    <w:tcW w:w="712" w:type="dxa"/>
                  </w:tcPr>
                  <w:p>
                    <w:pPr>
                      <w:jc w:val="center"/>
                      <w:rPr>
                        <w:sz w:val="16"/>
                        <w:szCs w:val="16"/>
                      </w:rPr>
                    </w:pPr>
                  </w:p>
                </w:tc>
                <w:tc>
                  <w:tcPr>
                    <w:tcW w:w="774" w:type="dxa"/>
                  </w:tcPr>
                  <w:p>
                    <w:pPr>
                      <w:jc w:val="center"/>
                      <w:rPr>
                        <w:sz w:val="16"/>
                        <w:szCs w:val="16"/>
                      </w:rPr>
                    </w:pPr>
                  </w:p>
                </w:tc>
                <w:tc>
                  <w:tcPr>
                    <w:tcW w:w="544" w:type="dxa"/>
                  </w:tcPr>
                  <w:p>
                    <w:pPr>
                      <w:jc w:val="center"/>
                      <w:rPr>
                        <w:sz w:val="16"/>
                        <w:szCs w:val="16"/>
                      </w:rPr>
                    </w:pPr>
                  </w:p>
                </w:tc>
                <w:tc>
                  <w:tcPr>
                    <w:tcW w:w="933" w:type="dxa"/>
                  </w:tcPr>
                  <w:p>
                    <w:pPr>
                      <w:jc w:val="center"/>
                      <w:rPr>
                        <w:sz w:val="16"/>
                        <w:szCs w:val="16"/>
                      </w:rPr>
                    </w:pPr>
                    <w:r>
                      <w:rPr>
                        <w:sz w:val="16"/>
                        <w:szCs w:val="16"/>
                      </w:rPr>
                      <w:t>5 150 000</w:t>
                    </w:r>
                  </w:p>
                </w:tc>
                <w:tc>
                  <w:tcPr>
                    <w:tcW w:w="707" w:type="dxa"/>
                  </w:tcPr>
                  <w:p>
                    <w:pPr>
                      <w:rPr>
                        <w:sz w:val="16"/>
                        <w:szCs w:val="16"/>
                      </w:rPr>
                    </w:pPr>
                    <w:r>
                      <w:rPr>
                        <w:sz w:val="16"/>
                        <w:szCs w:val="16"/>
                      </w:rPr>
                      <w:t>EGADP lėšos</w:t>
                    </w:r>
                  </w:p>
                </w:tc>
                <w:tc>
                  <w:tcPr>
                    <w:tcW w:w="843" w:type="dxa"/>
                  </w:tcPr>
                  <w:p>
                    <w:pPr>
                      <w:jc w:val="center"/>
                      <w:rPr>
                        <w:sz w:val="16"/>
                        <w:szCs w:val="16"/>
                      </w:rPr>
                    </w:pPr>
                    <w:r>
                      <w:rPr>
                        <w:color w:val="000000"/>
                        <w:sz w:val="16"/>
                        <w:szCs w:val="16"/>
                      </w:rPr>
                      <w:t>-</w:t>
                    </w:r>
                  </w:p>
                </w:tc>
                <w:tc>
                  <w:tcPr>
                    <w:tcW w:w="1119" w:type="dxa"/>
                  </w:tcPr>
                  <w:p>
                    <w:pPr>
                      <w:rPr>
                        <w:sz w:val="16"/>
                        <w:szCs w:val="16"/>
                      </w:rPr>
                    </w:pPr>
                  </w:p>
                </w:tc>
                <w:tc>
                  <w:tcPr>
                    <w:tcW w:w="709" w:type="dxa"/>
                  </w:tcPr>
                  <w:p>
                    <w:pPr>
                      <w:jc w:val="center"/>
                      <w:rPr>
                        <w:sz w:val="16"/>
                        <w:szCs w:val="16"/>
                      </w:rPr>
                    </w:pPr>
                  </w:p>
                </w:tc>
                <w:tc>
                  <w:tcPr>
                    <w:tcW w:w="850" w:type="dxa"/>
                  </w:tcPr>
                  <w:p>
                    <w:pPr>
                      <w:jc w:val="center"/>
                      <w:rPr>
                        <w:sz w:val="16"/>
                        <w:szCs w:val="16"/>
                      </w:rPr>
                    </w:pPr>
                  </w:p>
                </w:tc>
                <w:tc>
                  <w:tcPr>
                    <w:tcW w:w="753" w:type="dxa"/>
                    <w:gridSpan w:val="2"/>
                  </w:tcPr>
                  <w:p>
                    <w:pPr>
                      <w:jc w:val="center"/>
                      <w:rPr>
                        <w:sz w:val="16"/>
                        <w:szCs w:val="16"/>
                      </w:rPr>
                    </w:pPr>
                  </w:p>
                </w:tc>
              </w:tr>
              <w:tr>
                <w:tblPrEx>
                  <w:jc w:val="center"/>
                </w:tblPrEx>
                <w:trPr>
                  <w:trHeight w:val="233"/>
                  <w:jc w:val="center"/>
                </w:trPr>
                <w:tc>
                  <w:tcPr>
                    <w:tcW w:w="673" w:type="dxa"/>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578" w:type="dxa"/>
                    <w:vMerge w:val="restart"/>
                  </w:tcPr>
                  <w:p>
                    <w:pPr>
                      <w:jc w:val="center"/>
                      <w:rPr>
                        <w:sz w:val="16"/>
                        <w:szCs w:val="16"/>
                      </w:rPr>
                    </w:pPr>
                    <w:r>
                      <w:rPr>
                        <w:color w:val="000000"/>
                        <w:sz w:val="16"/>
                        <w:szCs w:val="16"/>
                      </w:rPr>
                      <w:t>I</w:t>
                    </w:r>
                  </w:p>
                </w:tc>
                <w:tc>
                  <w:tcPr>
                    <w:tcW w:w="625" w:type="dxa"/>
                    <w:vMerge w:val="restart"/>
                  </w:tcPr>
                  <w:p>
                    <w:pPr>
                      <w:jc w:val="center"/>
                      <w:rPr>
                        <w:sz w:val="16"/>
                        <w:szCs w:val="16"/>
                      </w:rPr>
                    </w:pPr>
                    <w:r>
                      <w:rPr>
                        <w:color w:val="000000"/>
                        <w:sz w:val="16"/>
                        <w:szCs w:val="16"/>
                      </w:rPr>
                      <w:t>Profesinio mokymo įstaigos</w:t>
                    </w:r>
                  </w:p>
                </w:tc>
                <w:tc>
                  <w:tcPr>
                    <w:tcW w:w="712" w:type="dxa"/>
                    <w:vMerge w:val="restart"/>
                  </w:tcPr>
                  <w:p>
                    <w:pPr>
                      <w:jc w:val="center"/>
                      <w:rPr>
                        <w:sz w:val="16"/>
                        <w:szCs w:val="16"/>
                      </w:rPr>
                    </w:pPr>
                    <w:r>
                      <w:rPr>
                        <w:color w:val="000000"/>
                        <w:sz w:val="16"/>
                        <w:szCs w:val="16"/>
                      </w:rPr>
                      <w:t>TA</w:t>
                    </w:r>
                  </w:p>
                </w:tc>
                <w:tc>
                  <w:tcPr>
                    <w:tcW w:w="774" w:type="dxa"/>
                    <w:vMerge w:val="restart"/>
                  </w:tcPr>
                  <w:p>
                    <w:pPr>
                      <w:jc w:val="center"/>
                      <w:rPr>
                        <w:sz w:val="16"/>
                        <w:szCs w:val="16"/>
                      </w:rPr>
                    </w:pPr>
                    <w:r>
                      <w:rPr>
                        <w:color w:val="000000"/>
                        <w:sz w:val="16"/>
                        <w:szCs w:val="16"/>
                      </w:rPr>
                      <w:t>LG</w:t>
                    </w:r>
                  </w:p>
                </w:tc>
                <w:tc>
                  <w:tcPr>
                    <w:tcW w:w="544" w:type="dxa"/>
                    <w:vMerge w:val="restart"/>
                  </w:tcPr>
                  <w:p>
                    <w:pPr>
                      <w:jc w:val="center"/>
                      <w:rPr>
                        <w:sz w:val="16"/>
                        <w:szCs w:val="16"/>
                      </w:rPr>
                    </w:pPr>
                    <w:r>
                      <w:rPr>
                        <w:sz w:val="16"/>
                        <w:szCs w:val="16"/>
                      </w:rPr>
                      <w:t>D</w:t>
                    </w:r>
                  </w:p>
                </w:tc>
                <w:tc>
                  <w:tcPr>
                    <w:tcW w:w="933" w:type="dxa"/>
                    <w:vMerge w:val="restart"/>
                  </w:tcPr>
                  <w:p>
                    <w:pPr>
                      <w:jc w:val="center"/>
                      <w:rPr>
                        <w:sz w:val="16"/>
                        <w:szCs w:val="16"/>
                      </w:rPr>
                    </w:pPr>
                    <w:r>
                      <w:rPr>
                        <w:color w:val="000000"/>
                        <w:sz w:val="16"/>
                        <w:szCs w:val="16"/>
                      </w:rPr>
                      <w:t>2 960 000</w:t>
                    </w:r>
                  </w:p>
                </w:tc>
                <w:tc>
                  <w:tcPr>
                    <w:tcW w:w="707" w:type="dxa"/>
                    <w:vMerge w:val="restart"/>
                  </w:tcPr>
                  <w:p>
                    <w:pPr>
                      <w:rPr>
                        <w:sz w:val="16"/>
                        <w:szCs w:val="16"/>
                      </w:rPr>
                    </w:pPr>
                    <w:r>
                      <w:rPr>
                        <w:sz w:val="16"/>
                        <w:szCs w:val="16"/>
                      </w:rPr>
                      <w:t>EGADP lėšos</w:t>
                    </w:r>
                  </w:p>
                </w:tc>
                <w:tc>
                  <w:tcPr>
                    <w:tcW w:w="843" w:type="dxa"/>
                    <w:vMerge w:val="restart"/>
                  </w:tcPr>
                  <w:p>
                    <w:pPr>
                      <w:jc w:val="center"/>
                      <w:rPr>
                        <w:color w:val="000000"/>
                        <w:sz w:val="16"/>
                        <w:szCs w:val="16"/>
                      </w:rPr>
                    </w:pPr>
                    <w:r>
                      <w:rPr>
                        <w:color w:val="000000"/>
                        <w:sz w:val="16"/>
                        <w:szCs w:val="16"/>
                      </w:rPr>
                      <w:t>-</w:t>
                    </w:r>
                  </w:p>
                </w:tc>
                <w:tc>
                  <w:tcPr>
                    <w:tcW w:w="1119" w:type="dxa"/>
                  </w:tcPr>
                  <w:p>
                    <w:pPr>
                      <w:rPr>
                        <w:color w:val="000000"/>
                        <w:sz w:val="16"/>
                        <w:szCs w:val="16"/>
                      </w:rPr>
                    </w:pPr>
                    <w:r>
                      <w:rPr>
                        <w:sz w:val="16"/>
                        <w:szCs w:val="16"/>
                      </w:rPr>
                      <w:t>R-12-003-03-04-03-03</w:t>
                    </w:r>
                  </w:p>
                  <w:p>
                    <w:pPr>
                      <w:rPr>
                        <w:sz w:val="16"/>
                        <w:szCs w:val="16"/>
                      </w:rPr>
                    </w:pPr>
                    <w:r>
                      <w:rPr>
                        <w:color w:val="000000"/>
                        <w:sz w:val="16"/>
                        <w:szCs w:val="16"/>
                      </w:rPr>
                      <w:t>Mokinių, kurie mokosi pagal pagrindinio ir vidurinio ugdymo programas bendrojo ugdymo mokyklose ir baigusių pirminio profesinio mokymo programos modulius, skaičiaus padidėjimas</w:t>
                    </w:r>
                  </w:p>
                </w:tc>
                <w:tc>
                  <w:tcPr>
                    <w:tcW w:w="709" w:type="dxa"/>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850" w:type="dxa"/>
                    <w:vMerge w:val="restart"/>
                  </w:tcPr>
                  <w:p>
                    <w:pPr>
                      <w:jc w:val="center"/>
                      <w:rPr>
                        <w:sz w:val="16"/>
                        <w:szCs w:val="16"/>
                      </w:rPr>
                    </w:pPr>
                    <w:r>
                      <w:rPr>
                        <w:sz w:val="16"/>
                        <w:szCs w:val="16"/>
                      </w:rPr>
                      <w:t>CPVA</w:t>
                    </w:r>
                  </w:p>
                </w:tc>
                <w:tc>
                  <w:tcPr>
                    <w:tcW w:w="753" w:type="dxa"/>
                    <w:gridSpan w:val="2"/>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P-12-003-03-04-03-17</w:t>
                    </w:r>
                  </w:p>
                  <w:p>
                    <w:pPr>
                      <w:rPr>
                        <w:sz w:val="16"/>
                        <w:szCs w:val="16"/>
                      </w:rPr>
                    </w:pPr>
                    <w:r>
                      <w:rPr>
                        <w:color w:val="000000"/>
                        <w:sz w:val="16"/>
                        <w:szCs w:val="16"/>
                      </w:rPr>
                      <w:t>Pagal pagrindinio ir vidurinio ugdymo programas bendrojo ugdymo mokyklose besimokantys mokiniai, baigę pirminio profesinio mokymo programos modulius</w:t>
                    </w:r>
                  </w:p>
                </w:tc>
                <w:tc>
                  <w:tcPr>
                    <w:tcW w:w="709" w:type="dxa"/>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R-12-003-03-04-03-19</w:t>
                    </w:r>
                  </w:p>
                  <w:p>
                    <w:pPr>
                      <w:rPr>
                        <w:sz w:val="16"/>
                        <w:szCs w:val="16"/>
                      </w:rPr>
                    </w:pPr>
                    <w:r>
                      <w:rPr>
                        <w:sz w:val="16"/>
                        <w:szCs w:val="16"/>
                      </w:rPr>
                      <w:t>Švietimo ar mokymo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107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val="restart"/>
                  </w:tcPr>
                  <w:p>
                    <w:pPr>
                      <w:rPr>
                        <w:sz w:val="16"/>
                        <w:szCs w:val="16"/>
                      </w:rPr>
                    </w:pPr>
                    <w:r>
                      <w:rPr>
                        <w:color w:val="000000"/>
                        <w:sz w:val="16"/>
                        <w:szCs w:val="16"/>
                      </w:rPr>
                      <w:t xml:space="preserve">3.2. Eksperimentinių profesinio mokymo programų plėtojimas </w:t>
                    </w:r>
                  </w:p>
                </w:tc>
                <w:tc>
                  <w:tcPr>
                    <w:tcW w:w="578" w:type="dxa"/>
                    <w:vMerge w:val="restart"/>
                  </w:tcPr>
                  <w:p>
                    <w:pPr>
                      <w:jc w:val="center"/>
                      <w:rPr>
                        <w:sz w:val="16"/>
                        <w:szCs w:val="16"/>
                      </w:rPr>
                    </w:pPr>
                    <w:r>
                      <w:rPr>
                        <w:color w:val="000000"/>
                        <w:sz w:val="16"/>
                        <w:szCs w:val="16"/>
                      </w:rPr>
                      <w:t>I</w:t>
                    </w:r>
                  </w:p>
                </w:tc>
                <w:tc>
                  <w:tcPr>
                    <w:tcW w:w="625" w:type="dxa"/>
                    <w:vMerge w:val="restart"/>
                  </w:tcPr>
                  <w:p>
                    <w:pPr>
                      <w:jc w:val="center"/>
                      <w:rPr>
                        <w:sz w:val="16"/>
                        <w:szCs w:val="16"/>
                      </w:rPr>
                    </w:pPr>
                    <w:r>
                      <w:rPr>
                        <w:color w:val="000000"/>
                        <w:sz w:val="16"/>
                        <w:szCs w:val="16"/>
                      </w:rPr>
                      <w:t>Profesinio mokymo įstaigos</w:t>
                    </w:r>
                  </w:p>
                </w:tc>
                <w:tc>
                  <w:tcPr>
                    <w:tcW w:w="712" w:type="dxa"/>
                    <w:vMerge w:val="restart"/>
                  </w:tcPr>
                  <w:p>
                    <w:pPr>
                      <w:jc w:val="center"/>
                      <w:rPr>
                        <w:sz w:val="16"/>
                        <w:szCs w:val="16"/>
                      </w:rPr>
                    </w:pPr>
                    <w:r>
                      <w:rPr>
                        <w:color w:val="000000"/>
                        <w:sz w:val="16"/>
                        <w:szCs w:val="16"/>
                      </w:rPr>
                      <w:t>P</w:t>
                    </w:r>
                  </w:p>
                </w:tc>
                <w:tc>
                  <w:tcPr>
                    <w:tcW w:w="774" w:type="dxa"/>
                    <w:vMerge w:val="restart"/>
                  </w:tcPr>
                  <w:p>
                    <w:pPr>
                      <w:jc w:val="center"/>
                      <w:rPr>
                        <w:sz w:val="16"/>
                        <w:szCs w:val="16"/>
                      </w:rPr>
                    </w:pPr>
                    <w:r>
                      <w:rPr>
                        <w:color w:val="000000"/>
                        <w:sz w:val="16"/>
                        <w:szCs w:val="16"/>
                      </w:rPr>
                      <w:t>LG</w:t>
                    </w:r>
                  </w:p>
                </w:tc>
                <w:tc>
                  <w:tcPr>
                    <w:tcW w:w="544" w:type="dxa"/>
                    <w:vMerge w:val="restart"/>
                  </w:tcPr>
                  <w:p>
                    <w:pPr>
                      <w:jc w:val="center"/>
                      <w:rPr>
                        <w:sz w:val="16"/>
                        <w:szCs w:val="16"/>
                      </w:rPr>
                    </w:pPr>
                    <w:r>
                      <w:rPr>
                        <w:sz w:val="16"/>
                        <w:szCs w:val="16"/>
                      </w:rPr>
                      <w:t>D</w:t>
                    </w:r>
                  </w:p>
                </w:tc>
                <w:tc>
                  <w:tcPr>
                    <w:tcW w:w="933" w:type="dxa"/>
                    <w:vMerge w:val="restart"/>
                  </w:tcPr>
                  <w:p>
                    <w:pPr>
                      <w:jc w:val="center"/>
                      <w:rPr>
                        <w:sz w:val="16"/>
                        <w:szCs w:val="16"/>
                      </w:rPr>
                    </w:pPr>
                    <w:r>
                      <w:rPr>
                        <w:sz w:val="16"/>
                        <w:szCs w:val="16"/>
                      </w:rPr>
                      <w:t>2 190 000</w:t>
                    </w:r>
                  </w:p>
                </w:tc>
                <w:tc>
                  <w:tcPr>
                    <w:tcW w:w="707" w:type="dxa"/>
                    <w:vMerge w:val="restart"/>
                  </w:tcPr>
                  <w:p>
                    <w:pPr>
                      <w:rPr>
                        <w:sz w:val="16"/>
                        <w:szCs w:val="16"/>
                      </w:rPr>
                    </w:pPr>
                    <w:r>
                      <w:rPr>
                        <w:sz w:val="16"/>
                        <w:szCs w:val="16"/>
                      </w:rPr>
                      <w:t xml:space="preserve">EGADP lėšos </w:t>
                    </w:r>
                  </w:p>
                </w:tc>
                <w:tc>
                  <w:tcPr>
                    <w:tcW w:w="843" w:type="dxa"/>
                    <w:vMerge w:val="restart"/>
                  </w:tcPr>
                  <w:p>
                    <w:pPr>
                      <w:jc w:val="center"/>
                      <w:rPr>
                        <w:color w:val="000000"/>
                        <w:sz w:val="16"/>
                        <w:szCs w:val="16"/>
                      </w:rPr>
                    </w:pPr>
                    <w:r>
                      <w:rPr>
                        <w:color w:val="000000"/>
                        <w:sz w:val="16"/>
                        <w:szCs w:val="16"/>
                      </w:rPr>
                      <w:t>-</w:t>
                    </w:r>
                  </w:p>
                </w:tc>
                <w:tc>
                  <w:tcPr>
                    <w:tcW w:w="1119" w:type="dxa"/>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709" w:type="dxa"/>
                  </w:tcPr>
                  <w:p>
                    <w:pPr>
                      <w:jc w:val="center"/>
                      <w:rPr>
                        <w:color w:val="000000"/>
                        <w:sz w:val="16"/>
                        <w:szCs w:val="16"/>
                      </w:rPr>
                    </w:pPr>
                    <w:r>
                      <w:rPr>
                        <w:color w:val="000000"/>
                        <w:sz w:val="16"/>
                        <w:szCs w:val="16"/>
                      </w:rPr>
                      <w:t>4 000</w:t>
                    </w:r>
                  </w:p>
                  <w:p>
                    <w:pPr>
                      <w:jc w:val="center"/>
                      <w:rPr>
                        <w:sz w:val="16"/>
                        <w:szCs w:val="16"/>
                      </w:rPr>
                    </w:pPr>
                    <w:r>
                      <w:rPr>
                        <w:color w:val="000000"/>
                        <w:sz w:val="16"/>
                        <w:szCs w:val="16"/>
                      </w:rPr>
                      <w:t>(2026 m.)</w:t>
                    </w:r>
                  </w:p>
                </w:tc>
                <w:tc>
                  <w:tcPr>
                    <w:tcW w:w="850" w:type="dxa"/>
                    <w:vMerge w:val="restart"/>
                  </w:tcPr>
                  <w:p>
                    <w:pPr>
                      <w:jc w:val="center"/>
                      <w:rPr>
                        <w:sz w:val="16"/>
                        <w:szCs w:val="16"/>
                      </w:rPr>
                    </w:pPr>
                    <w:r>
                      <w:rPr>
                        <w:color w:val="000000"/>
                        <w:sz w:val="16"/>
                        <w:szCs w:val="16"/>
                      </w:rPr>
                      <w:t>CPVA</w:t>
                    </w:r>
                  </w:p>
                </w:tc>
                <w:tc>
                  <w:tcPr>
                    <w:tcW w:w="753" w:type="dxa"/>
                    <w:gridSpan w:val="2"/>
                    <w:vMerge w:val="restart"/>
                  </w:tcPr>
                  <w:p>
                    <w:pPr>
                      <w:jc w:val="center"/>
                      <w:rPr>
                        <w:sz w:val="16"/>
                        <w:szCs w:val="16"/>
                      </w:rPr>
                    </w:pPr>
                    <w:r>
                      <w:rPr>
                        <w:color w:val="000000"/>
                        <w:sz w:val="16"/>
                        <w:szCs w:val="16"/>
                      </w:rPr>
                      <w:t>ŠMSM</w:t>
                    </w: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sz w:val="16"/>
                        <w:szCs w:val="16"/>
                        <w:lang w:eastAsia="lt-LT"/>
                      </w:rPr>
                    </w:pPr>
                  </w:p>
                </w:tc>
                <w:tc>
                  <w:tcPr>
                    <w:tcW w:w="1119" w:type="dxa"/>
                  </w:tcPr>
                  <w:p>
                    <w:pPr>
                      <w:rPr>
                        <w:sz w:val="16"/>
                        <w:szCs w:val="16"/>
                      </w:rPr>
                    </w:pPr>
                    <w:r>
                      <w:rPr>
                        <w:sz w:val="16"/>
                        <w:szCs w:val="16"/>
                      </w:rPr>
                      <w:t>P-12-003-03-04-03-25 </w:t>
                    </w:r>
                  </w:p>
                  <w:p>
                    <w:pPr>
                      <w:rPr>
                        <w:sz w:val="16"/>
                        <w:szCs w:val="16"/>
                      </w:rPr>
                    </w:pPr>
                    <w:r>
                      <w:rPr>
                        <w:sz w:val="16"/>
                        <w:szCs w:val="16"/>
                      </w:rPr>
                      <w:t>Paramą gavę pagrindinio ugdymo programų mokiniai, kurie mokosi pagal eksperimentines profesinio mokymo programas</w:t>
                    </w:r>
                  </w:p>
                </w:tc>
                <w:tc>
                  <w:tcPr>
                    <w:tcW w:w="709" w:type="dxa"/>
                  </w:tcPr>
                  <w:p>
                    <w:pPr>
                      <w:jc w:val="center"/>
                      <w:rPr>
                        <w:sz w:val="16"/>
                        <w:szCs w:val="16"/>
                      </w:rPr>
                    </w:pPr>
                    <w:r>
                      <w:rPr>
                        <w:sz w:val="16"/>
                        <w:szCs w:val="16"/>
                      </w:rPr>
                      <w:t>1050</w:t>
                    </w:r>
                  </w:p>
                  <w:p>
                    <w:pPr>
                      <w:jc w:val="center"/>
                      <w:rPr>
                        <w:color w:val="000000"/>
                        <w:sz w:val="16"/>
                        <w:szCs w:val="16"/>
                      </w:rPr>
                    </w:pPr>
                    <w:r>
                      <w:rPr>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578" w:type="dxa"/>
                    <w:vMerge w:val="restart"/>
                  </w:tcPr>
                  <w:p>
                    <w:pPr>
                      <w:jc w:val="center"/>
                      <w:rPr>
                        <w:sz w:val="16"/>
                        <w:szCs w:val="16"/>
                      </w:rPr>
                    </w:pPr>
                    <w:r>
                      <w:rPr>
                        <w:color w:val="000000"/>
                        <w:sz w:val="16"/>
                        <w:szCs w:val="16"/>
                      </w:rPr>
                      <w:t>M</w:t>
                    </w:r>
                  </w:p>
                </w:tc>
                <w:tc>
                  <w:tcPr>
                    <w:tcW w:w="625" w:type="dxa"/>
                    <w:vMerge w:val="restart"/>
                  </w:tcPr>
                  <w:p>
                    <w:pPr>
                      <w:jc w:val="center"/>
                      <w:rPr>
                        <w:sz w:val="16"/>
                        <w:szCs w:val="16"/>
                      </w:rPr>
                    </w:pPr>
                    <w:r>
                      <w:rPr>
                        <w:color w:val="000000"/>
                        <w:sz w:val="16"/>
                        <w:szCs w:val="16"/>
                      </w:rPr>
                      <w:t>ESFA ir profesinio mokymo įstaigos</w:t>
                    </w:r>
                  </w:p>
                </w:tc>
                <w:tc>
                  <w:tcPr>
                    <w:tcW w:w="712" w:type="dxa"/>
                    <w:vMerge w:val="restart"/>
                  </w:tcPr>
                  <w:p>
                    <w:pPr>
                      <w:jc w:val="center"/>
                      <w:rPr>
                        <w:sz w:val="16"/>
                        <w:szCs w:val="16"/>
                      </w:rPr>
                    </w:pPr>
                    <w:r>
                      <w:rPr>
                        <w:color w:val="000000"/>
                        <w:sz w:val="16"/>
                        <w:szCs w:val="16"/>
                      </w:rPr>
                      <w:t>Pj</w:t>
                    </w:r>
                  </w:p>
                </w:tc>
                <w:tc>
                  <w:tcPr>
                    <w:tcW w:w="774" w:type="dxa"/>
                    <w:vMerge w:val="restart"/>
                  </w:tcPr>
                  <w:p>
                    <w:pPr>
                      <w:jc w:val="center"/>
                      <w:rPr>
                        <w:sz w:val="16"/>
                        <w:szCs w:val="16"/>
                      </w:rPr>
                    </w:pPr>
                    <w:r>
                      <w:rPr>
                        <w:sz w:val="16"/>
                        <w:szCs w:val="16"/>
                      </w:rPr>
                      <w:t>LG</w:t>
                    </w:r>
                  </w:p>
                </w:tc>
                <w:tc>
                  <w:tcPr>
                    <w:tcW w:w="544" w:type="dxa"/>
                    <w:vMerge w:val="restart"/>
                  </w:tcPr>
                  <w:p>
                    <w:pPr>
                      <w:jc w:val="center"/>
                      <w:rPr>
                        <w:sz w:val="16"/>
                        <w:szCs w:val="16"/>
                      </w:rPr>
                    </w:pPr>
                    <w:r>
                      <w:rPr>
                        <w:color w:val="000000"/>
                        <w:sz w:val="16"/>
                        <w:szCs w:val="16"/>
                      </w:rPr>
                      <w:t>D</w:t>
                    </w:r>
                  </w:p>
                </w:tc>
                <w:tc>
                  <w:tcPr>
                    <w:tcW w:w="933" w:type="dxa"/>
                  </w:tcPr>
                  <w:p>
                    <w:pPr>
                      <w:jc w:val="center"/>
                      <w:rPr>
                        <w:sz w:val="16"/>
                        <w:szCs w:val="16"/>
                      </w:rPr>
                    </w:pPr>
                    <w:r>
                      <w:rPr>
                        <w:sz w:val="16"/>
                        <w:szCs w:val="16"/>
                      </w:rPr>
                      <w:t>21 440 155</w:t>
                    </w:r>
                  </w:p>
                </w:tc>
                <w:tc>
                  <w:tcPr>
                    <w:tcW w:w="707" w:type="dxa"/>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pPr>
                      <w:jc w:val="center"/>
                      <w:rPr>
                        <w:sz w:val="16"/>
                        <w:szCs w:val="16"/>
                      </w:rPr>
                    </w:pPr>
                    <w:r>
                      <w:rPr>
                        <w:color w:val="000000"/>
                        <w:sz w:val="16"/>
                        <w:szCs w:val="16"/>
                      </w:rPr>
                      <w:t>-</w:t>
                    </w:r>
                  </w:p>
                </w:tc>
                <w:tc>
                  <w:tcPr>
                    <w:tcW w:w="1119" w:type="dxa"/>
                  </w:tcPr>
                  <w:p>
                    <w:pPr>
                      <w:rPr>
                        <w:sz w:val="16"/>
                        <w:szCs w:val="16"/>
                      </w:rPr>
                    </w:pPr>
                  </w:p>
                </w:tc>
                <w:tc>
                  <w:tcPr>
                    <w:tcW w:w="709" w:type="dxa"/>
                  </w:tcPr>
                  <w:p>
                    <w:pPr>
                      <w:jc w:val="center"/>
                      <w:rPr>
                        <w:sz w:val="16"/>
                        <w:szCs w:val="16"/>
                      </w:rPr>
                    </w:pPr>
                  </w:p>
                </w:tc>
                <w:tc>
                  <w:tcPr>
                    <w:tcW w:w="850" w:type="dxa"/>
                    <w:vMerge w:val="restart"/>
                  </w:tcPr>
                  <w:p>
                    <w:pPr>
                      <w:jc w:val="center"/>
                      <w:rPr>
                        <w:sz w:val="16"/>
                        <w:szCs w:val="16"/>
                      </w:rPr>
                    </w:pPr>
                    <w:r>
                      <w:rPr>
                        <w:color w:val="000000"/>
                        <w:sz w:val="16"/>
                        <w:szCs w:val="16"/>
                      </w:rPr>
                      <w:t>CPVA</w:t>
                    </w:r>
                  </w:p>
                </w:tc>
                <w:tc>
                  <w:tcPr>
                    <w:tcW w:w="753" w:type="dxa"/>
                    <w:gridSpan w:val="2"/>
                    <w:vMerge w:val="restart"/>
                  </w:tcPr>
                  <w:p>
                    <w:pPr>
                      <w:jc w:val="center"/>
                      <w:rPr>
                        <w:sz w:val="16"/>
                        <w:szCs w:val="16"/>
                      </w:rPr>
                    </w:pPr>
                    <w:r>
                      <w:rPr>
                        <w:color w:val="000000"/>
                        <w:sz w:val="16"/>
                        <w:szCs w:val="16"/>
                      </w:rPr>
                      <w:t>ŠMSM, SADM, EIM, ŽŪM</w:t>
                    </w:r>
                  </w:p>
                </w:tc>
              </w:tr>
              <w:tr>
                <w:tblPrEx>
                  <w:jc w:val="center"/>
                </w:tblPrEx>
                <w:trPr>
                  <w:trHeight w:val="574"/>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sz w:val="16"/>
                        <w:szCs w:val="16"/>
                      </w:rPr>
                      <w:t>21 294 386</w:t>
                    </w:r>
                  </w:p>
                </w:tc>
                <w:tc>
                  <w:tcPr>
                    <w:tcW w:w="707" w:type="dxa"/>
                  </w:tcPr>
                  <w:p>
                    <w:pPr>
                      <w:rPr>
                        <w:sz w:val="16"/>
                        <w:szCs w:val="16"/>
                      </w:rPr>
                    </w:pPr>
                    <w:r>
                      <w:rPr>
                        <w:sz w:val="16"/>
                        <w:szCs w:val="16"/>
                      </w:rPr>
                      <w:t>EGADP lėšos</w:t>
                    </w:r>
                  </w:p>
                </w:tc>
                <w:tc>
                  <w:tcPr>
                    <w:tcW w:w="843" w:type="dxa"/>
                    <w:vMerge/>
                  </w:tcPr>
                  <w:p>
                    <w:pPr>
                      <w:rPr>
                        <w:color w:val="000000"/>
                        <w:sz w:val="16"/>
                        <w:szCs w:val="16"/>
                      </w:rPr>
                    </w:pPr>
                  </w:p>
                </w:tc>
                <w:tc>
                  <w:tcPr>
                    <w:tcW w:w="1119" w:type="dxa"/>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709" w:type="dxa"/>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val="restart"/>
                  </w:tcPr>
                  <w:p>
                    <w:pPr>
                      <w:jc w:val="center"/>
                      <w:rPr>
                        <w:sz w:val="16"/>
                        <w:szCs w:val="16"/>
                      </w:rPr>
                    </w:pPr>
                    <w:r>
                      <w:rPr>
                        <w:sz w:val="16"/>
                        <w:szCs w:val="16"/>
                      </w:rPr>
                      <w:t>145 769</w:t>
                    </w:r>
                  </w:p>
                </w:tc>
                <w:tc>
                  <w:tcPr>
                    <w:tcW w:w="707" w:type="dxa"/>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pPr>
                      <w:rPr>
                        <w:color w:val="000000"/>
                        <w:sz w:val="16"/>
                        <w:szCs w:val="16"/>
                      </w:rPr>
                    </w:pPr>
                  </w:p>
                </w:tc>
                <w:tc>
                  <w:tcPr>
                    <w:tcW w:w="1119" w:type="dxa"/>
                  </w:tcPr>
                  <w:p>
                    <w:pPr>
                      <w:rPr>
                        <w:sz w:val="16"/>
                        <w:szCs w:val="16"/>
                      </w:rPr>
                    </w:pPr>
                    <w:r>
                      <w:rPr>
                        <w:sz w:val="16"/>
                        <w:szCs w:val="16"/>
                      </w:rPr>
                      <w:t>R-12-003-03-04-03-19</w:t>
                    </w:r>
                  </w:p>
                  <w:p>
                    <w:pPr>
                      <w:rPr>
                        <w:sz w:val="16"/>
                        <w:szCs w:val="16"/>
                      </w:rPr>
                    </w:pPr>
                    <w:r>
                      <w:rPr>
                        <w:sz w:val="16"/>
                        <w:szCs w:val="16"/>
                      </w:rPr>
                      <w:t>Švietimo ar mokymo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709" w:type="dxa"/>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val="restart"/>
                  </w:tcPr>
                  <w:p>
                    <w:pPr>
                      <w:rPr>
                        <w:sz w:val="16"/>
                        <w:szCs w:val="16"/>
                      </w:rPr>
                    </w:pPr>
                    <w:r>
                      <w:rPr>
                        <w:color w:val="000000"/>
                        <w:sz w:val="16"/>
                        <w:szCs w:val="16"/>
                      </w:rPr>
                      <w:t>5. Įveiklinti sektorinių praktinio mokymo centrų sistemą įgyvendinant nacionalinio mobilumo programą</w:t>
                    </w:r>
                  </w:p>
                </w:tc>
                <w:tc>
                  <w:tcPr>
                    <w:tcW w:w="578" w:type="dxa"/>
                    <w:vMerge w:val="restart"/>
                  </w:tcPr>
                  <w:p>
                    <w:pPr>
                      <w:jc w:val="center"/>
                      <w:rPr>
                        <w:sz w:val="16"/>
                        <w:szCs w:val="16"/>
                      </w:rPr>
                    </w:pPr>
                    <w:r>
                      <w:rPr>
                        <w:color w:val="000000"/>
                        <w:sz w:val="16"/>
                        <w:szCs w:val="16"/>
                      </w:rPr>
                      <w:t>I</w:t>
                    </w:r>
                  </w:p>
                </w:tc>
                <w:tc>
                  <w:tcPr>
                    <w:tcW w:w="625" w:type="dxa"/>
                    <w:vMerge w:val="restart"/>
                  </w:tcPr>
                  <w:p>
                    <w:pPr>
                      <w:jc w:val="center"/>
                      <w:rPr>
                        <w:sz w:val="16"/>
                        <w:szCs w:val="16"/>
                      </w:rPr>
                    </w:pPr>
                    <w:r>
                      <w:rPr>
                        <w:color w:val="000000"/>
                        <w:sz w:val="16"/>
                        <w:szCs w:val="16"/>
                      </w:rPr>
                      <w:t>ESFA</w:t>
                    </w:r>
                  </w:p>
                </w:tc>
                <w:tc>
                  <w:tcPr>
                    <w:tcW w:w="712" w:type="dxa"/>
                    <w:vMerge w:val="restart"/>
                  </w:tcPr>
                  <w:p>
                    <w:pPr>
                      <w:jc w:val="center"/>
                      <w:rPr>
                        <w:sz w:val="16"/>
                        <w:szCs w:val="16"/>
                      </w:rPr>
                    </w:pPr>
                    <w:r>
                      <w:rPr>
                        <w:color w:val="000000"/>
                        <w:sz w:val="16"/>
                        <w:szCs w:val="16"/>
                      </w:rPr>
                      <w:t>Pj</w:t>
                    </w:r>
                  </w:p>
                </w:tc>
                <w:tc>
                  <w:tcPr>
                    <w:tcW w:w="774" w:type="dxa"/>
                    <w:vMerge w:val="restart"/>
                  </w:tcPr>
                  <w:p>
                    <w:pPr>
                      <w:jc w:val="center"/>
                      <w:rPr>
                        <w:sz w:val="16"/>
                        <w:szCs w:val="16"/>
                      </w:rPr>
                    </w:pPr>
                    <w:r>
                      <w:rPr>
                        <w:color w:val="000000"/>
                        <w:sz w:val="16"/>
                        <w:szCs w:val="16"/>
                      </w:rPr>
                      <w:t>LG</w:t>
                    </w:r>
                  </w:p>
                </w:tc>
                <w:tc>
                  <w:tcPr>
                    <w:tcW w:w="544" w:type="dxa"/>
                    <w:vMerge w:val="restart"/>
                  </w:tcPr>
                  <w:p>
                    <w:pPr>
                      <w:jc w:val="center"/>
                      <w:rPr>
                        <w:sz w:val="16"/>
                        <w:szCs w:val="16"/>
                      </w:rPr>
                    </w:pPr>
                    <w:r>
                      <w:rPr>
                        <w:color w:val="000000"/>
                        <w:sz w:val="16"/>
                        <w:szCs w:val="16"/>
                      </w:rPr>
                      <w:t>D</w:t>
                    </w:r>
                  </w:p>
                </w:tc>
                <w:tc>
                  <w:tcPr>
                    <w:tcW w:w="933" w:type="dxa"/>
                  </w:tcPr>
                  <w:p>
                    <w:pPr>
                      <w:jc w:val="center"/>
                      <w:rPr>
                        <w:sz w:val="16"/>
                        <w:szCs w:val="16"/>
                      </w:rPr>
                    </w:pPr>
                    <w:r>
                      <w:rPr>
                        <w:sz w:val="16"/>
                        <w:szCs w:val="16"/>
                      </w:rPr>
                      <w:t>7 219 231</w:t>
                    </w:r>
                  </w:p>
                </w:tc>
                <w:tc>
                  <w:tcPr>
                    <w:tcW w:w="707" w:type="dxa"/>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pPr>
                      <w:jc w:val="center"/>
                      <w:rPr>
                        <w:color w:val="000000"/>
                        <w:sz w:val="16"/>
                        <w:szCs w:val="16"/>
                      </w:rPr>
                    </w:pPr>
                    <w:r>
                      <w:rPr>
                        <w:color w:val="000000"/>
                        <w:sz w:val="16"/>
                        <w:szCs w:val="16"/>
                      </w:rPr>
                      <w:t>-</w:t>
                    </w:r>
                  </w:p>
                </w:tc>
                <w:tc>
                  <w:tcPr>
                    <w:tcW w:w="1119" w:type="dxa"/>
                  </w:tcPr>
                  <w:p>
                    <w:pPr>
                      <w:rPr>
                        <w:sz w:val="16"/>
                        <w:szCs w:val="16"/>
                      </w:rPr>
                    </w:pPr>
                    <w:r>
                      <w:rPr>
                        <w:sz w:val="16"/>
                        <w:szCs w:val="16"/>
                      </w:rPr>
                      <w:t>P-12-003-03-04-03-16</w:t>
                    </w:r>
                  </w:p>
                  <w:p>
                    <w:pPr>
                      <w:rPr>
                        <w:sz w:val="16"/>
                        <w:szCs w:val="16"/>
                      </w:rPr>
                    </w:pPr>
                    <w:r>
                      <w:rPr>
                        <w:color w:val="000000"/>
                        <w:sz w:val="16"/>
                        <w:szCs w:val="16"/>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709" w:type="dxa"/>
                  </w:tcPr>
                  <w:p>
                    <w:pPr>
                      <w:jc w:val="center"/>
                      <w:rPr>
                        <w:color w:val="000000"/>
                        <w:sz w:val="16"/>
                        <w:szCs w:val="16"/>
                      </w:rPr>
                    </w:pPr>
                    <w:r>
                      <w:rPr>
                        <w:color w:val="000000"/>
                        <w:sz w:val="16"/>
                        <w:szCs w:val="16"/>
                      </w:rPr>
                      <w:t>12 394</w:t>
                    </w:r>
                  </w:p>
                  <w:p>
                    <w:pPr>
                      <w:jc w:val="center"/>
                      <w:rPr>
                        <w:sz w:val="16"/>
                        <w:szCs w:val="16"/>
                      </w:rPr>
                    </w:pPr>
                    <w:r>
                      <w:rPr>
                        <w:color w:val="000000"/>
                        <w:sz w:val="16"/>
                        <w:szCs w:val="16"/>
                      </w:rPr>
                      <w:t>(2026 m.)</w:t>
                    </w:r>
                  </w:p>
                </w:tc>
                <w:tc>
                  <w:tcPr>
                    <w:tcW w:w="850" w:type="dxa"/>
                    <w:vMerge w:val="restart"/>
                  </w:tcPr>
                  <w:p>
                    <w:pPr>
                      <w:jc w:val="center"/>
                      <w:rPr>
                        <w:sz w:val="16"/>
                        <w:szCs w:val="16"/>
                      </w:rPr>
                    </w:pPr>
                    <w:r>
                      <w:rPr>
                        <w:color w:val="000000"/>
                        <w:sz w:val="16"/>
                        <w:szCs w:val="16"/>
                      </w:rPr>
                      <w:t>CPVA</w:t>
                    </w:r>
                  </w:p>
                </w:tc>
                <w:tc>
                  <w:tcPr>
                    <w:tcW w:w="753" w:type="dxa"/>
                    <w:gridSpan w:val="2"/>
                    <w:vMerge w:val="restart"/>
                  </w:tcPr>
                  <w:p>
                    <w:pPr>
                      <w:jc w:val="center"/>
                      <w:rPr>
                        <w:sz w:val="16"/>
                        <w:szCs w:val="16"/>
                      </w:rPr>
                    </w:pPr>
                    <w:r>
                      <w:rPr>
                        <w:color w:val="000000"/>
                        <w:sz w:val="16"/>
                        <w:szCs w:val="16"/>
                      </w:rPr>
                      <w:t>ŠMSM</w:t>
                    </w: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color w:val="000000"/>
                        <w:sz w:val="16"/>
                        <w:szCs w:val="16"/>
                      </w:rPr>
                      <w:t>6 000 000</w:t>
                    </w:r>
                  </w:p>
                </w:tc>
                <w:tc>
                  <w:tcPr>
                    <w:tcW w:w="707" w:type="dxa"/>
                  </w:tcPr>
                  <w:p>
                    <w:pPr>
                      <w:rPr>
                        <w:sz w:val="16"/>
                        <w:szCs w:val="16"/>
                      </w:rPr>
                    </w:pPr>
                    <w:r>
                      <w:rPr>
                        <w:sz w:val="16"/>
                        <w:szCs w:val="16"/>
                      </w:rPr>
                      <w:t>EGADP lėšos</w:t>
                    </w:r>
                  </w:p>
                </w:tc>
                <w:tc>
                  <w:tcPr>
                    <w:tcW w:w="843" w:type="dxa"/>
                    <w:vMerge/>
                  </w:tcPr>
                  <w:p>
                    <w:pPr>
                      <w:rPr>
                        <w:color w:val="000000"/>
                        <w:sz w:val="16"/>
                        <w:szCs w:val="16"/>
                      </w:rPr>
                    </w:pPr>
                  </w:p>
                </w:tc>
                <w:tc>
                  <w:tcPr>
                    <w:tcW w:w="1119" w:type="dxa"/>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val="restart"/>
                  </w:tcPr>
                  <w:p>
                    <w:pPr>
                      <w:jc w:val="center"/>
                      <w:rPr>
                        <w:sz w:val="16"/>
                        <w:szCs w:val="16"/>
                      </w:rPr>
                    </w:pPr>
                    <w:r>
                      <w:rPr>
                        <w:sz w:val="16"/>
                        <w:szCs w:val="16"/>
                      </w:rPr>
                      <w:t>1 219 231</w:t>
                    </w:r>
                  </w:p>
                </w:tc>
                <w:tc>
                  <w:tcPr>
                    <w:tcW w:w="707" w:type="dxa"/>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pPr>
                      <w:rPr>
                        <w:color w:val="000000"/>
                        <w:sz w:val="16"/>
                        <w:szCs w:val="16"/>
                      </w:rPr>
                    </w:pPr>
                  </w:p>
                </w:tc>
                <w:tc>
                  <w:tcPr>
                    <w:tcW w:w="1119" w:type="dxa"/>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vMerge/>
                  </w:tcPr>
                  <w:p>
                    <w:pPr>
                      <w:jc w:val="center"/>
                      <w:rPr>
                        <w:sz w:val="16"/>
                        <w:szCs w:val="16"/>
                      </w:rPr>
                    </w:pPr>
                  </w:p>
                </w:tc>
                <w:tc>
                  <w:tcPr>
                    <w:tcW w:w="707" w:type="dxa"/>
                    <w:vMerge/>
                  </w:tcPr>
                  <w:p>
                    <w:pPr>
                      <w:rPr>
                        <w:sz w:val="16"/>
                        <w:szCs w:val="16"/>
                      </w:rPr>
                    </w:pPr>
                  </w:p>
                </w:tc>
                <w:tc>
                  <w:tcPr>
                    <w:tcW w:w="843" w:type="dxa"/>
                    <w:vMerge/>
                  </w:tcPr>
                  <w:p>
                    <w:pPr>
                      <w:rPr>
                        <w:color w:val="000000"/>
                        <w:sz w:val="16"/>
                        <w:szCs w:val="16"/>
                      </w:rPr>
                    </w:pPr>
                  </w:p>
                </w:tc>
                <w:tc>
                  <w:tcPr>
                    <w:tcW w:w="1119" w:type="dxa"/>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709" w:type="dxa"/>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tcPr>
                  <w:p>
                    <w:pPr>
                      <w:rPr>
                        <w:sz w:val="16"/>
                        <w:szCs w:val="16"/>
                      </w:rPr>
                    </w:pPr>
                    <w:r>
                      <w:rPr>
                        <w:color w:val="000000"/>
                        <w:sz w:val="16"/>
                        <w:szCs w:val="16"/>
                      </w:rPr>
                      <w:t>6. Profesinio mokymo prieinamumo gerinimo parama mokiniams iš nepalankias sąlygas turinčių asmenų grupių</w:t>
                    </w:r>
                  </w:p>
                </w:tc>
                <w:tc>
                  <w:tcPr>
                    <w:tcW w:w="578" w:type="dxa"/>
                  </w:tcPr>
                  <w:p>
                    <w:pPr>
                      <w:jc w:val="center"/>
                      <w:rPr>
                        <w:sz w:val="16"/>
                        <w:szCs w:val="16"/>
                      </w:rPr>
                    </w:pPr>
                  </w:p>
                </w:tc>
                <w:tc>
                  <w:tcPr>
                    <w:tcW w:w="625" w:type="dxa"/>
                  </w:tcPr>
                  <w:p>
                    <w:pPr>
                      <w:jc w:val="center"/>
                      <w:rPr>
                        <w:sz w:val="16"/>
                        <w:szCs w:val="16"/>
                      </w:rPr>
                    </w:pPr>
                  </w:p>
                </w:tc>
                <w:tc>
                  <w:tcPr>
                    <w:tcW w:w="712" w:type="dxa"/>
                  </w:tcPr>
                  <w:p>
                    <w:pPr>
                      <w:jc w:val="center"/>
                      <w:rPr>
                        <w:sz w:val="16"/>
                        <w:szCs w:val="16"/>
                      </w:rPr>
                    </w:pPr>
                  </w:p>
                </w:tc>
                <w:tc>
                  <w:tcPr>
                    <w:tcW w:w="774" w:type="dxa"/>
                  </w:tcPr>
                  <w:p>
                    <w:pPr>
                      <w:jc w:val="center"/>
                      <w:rPr>
                        <w:sz w:val="16"/>
                        <w:szCs w:val="16"/>
                      </w:rPr>
                    </w:pPr>
                  </w:p>
                </w:tc>
                <w:tc>
                  <w:tcPr>
                    <w:tcW w:w="544" w:type="dxa"/>
                  </w:tcPr>
                  <w:p>
                    <w:pPr>
                      <w:jc w:val="center"/>
                      <w:rPr>
                        <w:sz w:val="16"/>
                        <w:szCs w:val="16"/>
                      </w:rPr>
                    </w:pPr>
                  </w:p>
                </w:tc>
                <w:tc>
                  <w:tcPr>
                    <w:tcW w:w="933" w:type="dxa"/>
                  </w:tcPr>
                  <w:p>
                    <w:pPr>
                      <w:jc w:val="center"/>
                      <w:rPr>
                        <w:sz w:val="16"/>
                        <w:szCs w:val="16"/>
                      </w:rPr>
                    </w:pPr>
                  </w:p>
                </w:tc>
                <w:tc>
                  <w:tcPr>
                    <w:tcW w:w="707" w:type="dxa"/>
                  </w:tcPr>
                  <w:p>
                    <w:pPr>
                      <w:jc w:val="center"/>
                      <w:rPr>
                        <w:sz w:val="16"/>
                        <w:szCs w:val="16"/>
                      </w:rPr>
                    </w:pPr>
                  </w:p>
                </w:tc>
                <w:tc>
                  <w:tcPr>
                    <w:tcW w:w="843" w:type="dxa"/>
                  </w:tcPr>
                  <w:p>
                    <w:pPr>
                      <w:jc w:val="center"/>
                      <w:rPr>
                        <w:sz w:val="16"/>
                        <w:szCs w:val="16"/>
                      </w:rPr>
                    </w:pPr>
                  </w:p>
                </w:tc>
                <w:tc>
                  <w:tcPr>
                    <w:tcW w:w="1119" w:type="dxa"/>
                  </w:tcPr>
                  <w:p>
                    <w:pPr>
                      <w:jc w:val="center"/>
                      <w:rPr>
                        <w:sz w:val="16"/>
                        <w:szCs w:val="16"/>
                      </w:rPr>
                    </w:pPr>
                  </w:p>
                </w:tc>
                <w:tc>
                  <w:tcPr>
                    <w:tcW w:w="709" w:type="dxa"/>
                  </w:tcPr>
                  <w:p>
                    <w:pPr>
                      <w:jc w:val="center"/>
                      <w:rPr>
                        <w:sz w:val="16"/>
                        <w:szCs w:val="16"/>
                      </w:rPr>
                    </w:pPr>
                  </w:p>
                </w:tc>
                <w:tc>
                  <w:tcPr>
                    <w:tcW w:w="850" w:type="dxa"/>
                  </w:tcPr>
                  <w:p>
                    <w:pPr>
                      <w:jc w:val="center"/>
                      <w:rPr>
                        <w:sz w:val="16"/>
                        <w:szCs w:val="16"/>
                      </w:rPr>
                    </w:pPr>
                  </w:p>
                </w:tc>
                <w:tc>
                  <w:tcPr>
                    <w:tcW w:w="753" w:type="dxa"/>
                    <w:gridSpan w:val="2"/>
                  </w:tcPr>
                  <w:p>
                    <w:pPr>
                      <w:jc w:val="center"/>
                      <w:rPr>
                        <w:sz w:val="16"/>
                        <w:szCs w:val="16"/>
                      </w:rPr>
                    </w:pPr>
                  </w:p>
                </w:tc>
              </w:tr>
              <w:tr>
                <w:tblPrEx>
                  <w:jc w:val="center"/>
                </w:tblPrEx>
                <w:trPr>
                  <w:trHeight w:val="1696"/>
                  <w:jc w:val="center"/>
                </w:trPr>
                <w:tc>
                  <w:tcPr>
                    <w:tcW w:w="673" w:type="dxa"/>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578" w:type="dxa"/>
                    <w:vMerge w:val="restart"/>
                  </w:tcPr>
                  <w:p>
                    <w:pPr>
                      <w:jc w:val="center"/>
                      <w:rPr>
                        <w:sz w:val="16"/>
                        <w:szCs w:val="16"/>
                      </w:rPr>
                    </w:pPr>
                    <w:r>
                      <w:rPr>
                        <w:color w:val="000000"/>
                        <w:sz w:val="16"/>
                        <w:szCs w:val="16"/>
                      </w:rPr>
                      <w:t>I</w:t>
                    </w:r>
                  </w:p>
                </w:tc>
                <w:tc>
                  <w:tcPr>
                    <w:tcW w:w="625" w:type="dxa"/>
                    <w:vMerge w:val="restart"/>
                  </w:tcPr>
                  <w:p>
                    <w:pPr>
                      <w:jc w:val="center"/>
                      <w:rPr>
                        <w:sz w:val="16"/>
                        <w:szCs w:val="16"/>
                      </w:rPr>
                    </w:pPr>
                    <w:r>
                      <w:rPr>
                        <w:color w:val="000000"/>
                        <w:sz w:val="16"/>
                        <w:szCs w:val="16"/>
                      </w:rPr>
                      <w:t>ESFA</w:t>
                    </w:r>
                  </w:p>
                </w:tc>
                <w:tc>
                  <w:tcPr>
                    <w:tcW w:w="712" w:type="dxa"/>
                    <w:vMerge w:val="restart"/>
                  </w:tcPr>
                  <w:p>
                    <w:pPr>
                      <w:jc w:val="center"/>
                      <w:rPr>
                        <w:sz w:val="16"/>
                        <w:szCs w:val="16"/>
                      </w:rPr>
                    </w:pPr>
                    <w:r>
                      <w:rPr>
                        <w:color w:val="000000"/>
                        <w:sz w:val="16"/>
                        <w:szCs w:val="16"/>
                      </w:rPr>
                      <w:t>P</w:t>
                    </w:r>
                  </w:p>
                </w:tc>
                <w:tc>
                  <w:tcPr>
                    <w:tcW w:w="774" w:type="dxa"/>
                    <w:vMerge w:val="restart"/>
                  </w:tcPr>
                  <w:p>
                    <w:pPr>
                      <w:jc w:val="center"/>
                      <w:rPr>
                        <w:sz w:val="16"/>
                        <w:szCs w:val="16"/>
                        <w:highlight w:val="red"/>
                      </w:rPr>
                    </w:pPr>
                    <w:r>
                      <w:rPr>
                        <w:sz w:val="16"/>
                        <w:szCs w:val="16"/>
                      </w:rPr>
                      <w:t>LG</w:t>
                    </w:r>
                  </w:p>
                </w:tc>
                <w:tc>
                  <w:tcPr>
                    <w:tcW w:w="544" w:type="dxa"/>
                    <w:vMerge w:val="restart"/>
                  </w:tcPr>
                  <w:p>
                    <w:pPr>
                      <w:jc w:val="center"/>
                      <w:rPr>
                        <w:sz w:val="16"/>
                        <w:szCs w:val="16"/>
                      </w:rPr>
                    </w:pPr>
                    <w:r>
                      <w:rPr>
                        <w:color w:val="000000"/>
                        <w:sz w:val="16"/>
                        <w:szCs w:val="16"/>
                      </w:rPr>
                      <w:t>D</w:t>
                    </w:r>
                  </w:p>
                </w:tc>
                <w:tc>
                  <w:tcPr>
                    <w:tcW w:w="933" w:type="dxa"/>
                  </w:tcPr>
                  <w:p>
                    <w:pPr>
                      <w:jc w:val="center"/>
                      <w:rPr>
                        <w:sz w:val="16"/>
                        <w:szCs w:val="16"/>
                      </w:rPr>
                    </w:pPr>
                    <w:r>
                      <w:rPr>
                        <w:color w:val="000000"/>
                        <w:sz w:val="16"/>
                        <w:szCs w:val="16"/>
                      </w:rPr>
                      <w:t>953 236</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843" w:type="dxa"/>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1119" w:type="dxa"/>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709" w:type="dxa"/>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850" w:type="dxa"/>
                    <w:vMerge w:val="restart"/>
                  </w:tcPr>
                  <w:p>
                    <w:pPr>
                      <w:jc w:val="center"/>
                      <w:rPr>
                        <w:sz w:val="16"/>
                        <w:szCs w:val="16"/>
                      </w:rPr>
                    </w:pPr>
                    <w:r>
                      <w:rPr>
                        <w:color w:val="000000"/>
                        <w:sz w:val="16"/>
                        <w:szCs w:val="16"/>
                      </w:rPr>
                      <w:t>CPVA</w:t>
                    </w:r>
                  </w:p>
                </w:tc>
                <w:tc>
                  <w:tcPr>
                    <w:tcW w:w="753" w:type="dxa"/>
                    <w:gridSpan w:val="2"/>
                    <w:vMerge w:val="restart"/>
                  </w:tcPr>
                  <w:p>
                    <w:pPr>
                      <w:jc w:val="center"/>
                      <w:rPr>
                        <w:sz w:val="16"/>
                        <w:szCs w:val="16"/>
                      </w:rPr>
                    </w:pPr>
                    <w:r>
                      <w:rPr>
                        <w:color w:val="000000"/>
                        <w:sz w:val="16"/>
                        <w:szCs w:val="16"/>
                      </w:rPr>
                      <w:t>ŠMSM, SADM, EIM, ŽŪM</w:t>
                    </w:r>
                  </w:p>
                </w:tc>
              </w:tr>
              <w:tr>
                <w:tblPrEx>
                  <w:jc w:val="center"/>
                </w:tblPrEx>
                <w:trPr>
                  <w:trHeight w:val="744"/>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highlight w:val="red"/>
                      </w:rPr>
                    </w:pPr>
                  </w:p>
                </w:tc>
                <w:tc>
                  <w:tcPr>
                    <w:tcW w:w="544" w:type="dxa"/>
                    <w:vMerge/>
                  </w:tcPr>
                  <w:p>
                    <w:pPr>
                      <w:rPr>
                        <w:sz w:val="16"/>
                        <w:szCs w:val="16"/>
                      </w:rPr>
                    </w:pPr>
                  </w:p>
                </w:tc>
                <w:tc>
                  <w:tcPr>
                    <w:tcW w:w="933" w:type="dxa"/>
                  </w:tcPr>
                  <w:p>
                    <w:pPr>
                      <w:jc w:val="center"/>
                      <w:rPr>
                        <w:sz w:val="16"/>
                        <w:szCs w:val="16"/>
                      </w:rPr>
                    </w:pPr>
                    <w:r>
                      <w:rPr>
                        <w:color w:val="000000"/>
                        <w:sz w:val="16"/>
                        <w:szCs w:val="16"/>
                      </w:rPr>
                      <w:t>476 618</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pPr>
                      <w:rPr>
                        <w:color w:val="000000"/>
                        <w:sz w:val="16"/>
                        <w:szCs w:val="16"/>
                      </w:rPr>
                    </w:pPr>
                  </w:p>
                </w:tc>
                <w:tc>
                  <w:tcPr>
                    <w:tcW w:w="1119" w:type="dxa"/>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709" w:type="dxa"/>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931"/>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highlight w:val="red"/>
                      </w:rPr>
                    </w:pPr>
                  </w:p>
                </w:tc>
                <w:tc>
                  <w:tcPr>
                    <w:tcW w:w="544" w:type="dxa"/>
                    <w:vMerge/>
                  </w:tcPr>
                  <w:p>
                    <w:pPr>
                      <w:rPr>
                        <w:sz w:val="16"/>
                        <w:szCs w:val="16"/>
                      </w:rPr>
                    </w:pPr>
                  </w:p>
                </w:tc>
                <w:tc>
                  <w:tcPr>
                    <w:tcW w:w="933" w:type="dxa"/>
                  </w:tcPr>
                  <w:p>
                    <w:pPr>
                      <w:jc w:val="center"/>
                      <w:rPr>
                        <w:sz w:val="16"/>
                        <w:szCs w:val="16"/>
                      </w:rPr>
                    </w:pPr>
                    <w:r>
                      <w:rPr>
                        <w:color w:val="000000"/>
                        <w:sz w:val="16"/>
                        <w:szCs w:val="16"/>
                      </w:rPr>
                      <w:t>476 618</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233"/>
                  <w:jc w:val="center"/>
                </w:trPr>
                <w:tc>
                  <w:tcPr>
                    <w:tcW w:w="673" w:type="dxa"/>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578" w:type="dxa"/>
                    <w:vMerge w:val="restart"/>
                  </w:tcPr>
                  <w:p>
                    <w:pPr>
                      <w:jc w:val="center"/>
                      <w:rPr>
                        <w:sz w:val="16"/>
                        <w:szCs w:val="16"/>
                      </w:rPr>
                    </w:pPr>
                    <w:r>
                      <w:rPr>
                        <w:color w:val="000000"/>
                        <w:sz w:val="16"/>
                        <w:szCs w:val="16"/>
                      </w:rPr>
                      <w:t>I</w:t>
                    </w:r>
                  </w:p>
                </w:tc>
                <w:tc>
                  <w:tcPr>
                    <w:tcW w:w="625" w:type="dxa"/>
                    <w:vMerge w:val="restart"/>
                  </w:tcPr>
                  <w:p>
                    <w:pPr>
                      <w:jc w:val="center"/>
                      <w:rPr>
                        <w:sz w:val="16"/>
                        <w:szCs w:val="16"/>
                      </w:rPr>
                    </w:pPr>
                    <w:r>
                      <w:rPr>
                        <w:color w:val="000000"/>
                        <w:sz w:val="16"/>
                        <w:szCs w:val="16"/>
                      </w:rPr>
                      <w:t>ESFA</w:t>
                    </w:r>
                  </w:p>
                </w:tc>
                <w:tc>
                  <w:tcPr>
                    <w:tcW w:w="712" w:type="dxa"/>
                    <w:vMerge w:val="restart"/>
                  </w:tcPr>
                  <w:p>
                    <w:pPr>
                      <w:jc w:val="center"/>
                      <w:rPr>
                        <w:sz w:val="16"/>
                        <w:szCs w:val="16"/>
                      </w:rPr>
                    </w:pPr>
                    <w:r>
                      <w:rPr>
                        <w:color w:val="000000"/>
                        <w:sz w:val="16"/>
                        <w:szCs w:val="16"/>
                      </w:rPr>
                      <w:t>P</w:t>
                    </w:r>
                  </w:p>
                </w:tc>
                <w:tc>
                  <w:tcPr>
                    <w:tcW w:w="774" w:type="dxa"/>
                    <w:vMerge w:val="restart"/>
                  </w:tcPr>
                  <w:p>
                    <w:pPr>
                      <w:jc w:val="center"/>
                      <w:rPr>
                        <w:sz w:val="16"/>
                        <w:szCs w:val="16"/>
                        <w:highlight w:val="red"/>
                      </w:rPr>
                    </w:pPr>
                    <w:r>
                      <w:rPr>
                        <w:sz w:val="16"/>
                        <w:szCs w:val="16"/>
                      </w:rPr>
                      <w:t xml:space="preserve">LG </w:t>
                    </w:r>
                  </w:p>
                </w:tc>
                <w:tc>
                  <w:tcPr>
                    <w:tcW w:w="544" w:type="dxa"/>
                    <w:vMerge w:val="restart"/>
                  </w:tcPr>
                  <w:p>
                    <w:pPr>
                      <w:jc w:val="center"/>
                      <w:rPr>
                        <w:sz w:val="16"/>
                        <w:szCs w:val="16"/>
                      </w:rPr>
                    </w:pPr>
                    <w:r>
                      <w:rPr>
                        <w:color w:val="000000"/>
                        <w:sz w:val="16"/>
                        <w:szCs w:val="16"/>
                      </w:rPr>
                      <w:t>D</w:t>
                    </w:r>
                  </w:p>
                </w:tc>
                <w:tc>
                  <w:tcPr>
                    <w:tcW w:w="933" w:type="dxa"/>
                  </w:tcPr>
                  <w:p>
                    <w:pPr>
                      <w:jc w:val="center"/>
                      <w:rPr>
                        <w:sz w:val="16"/>
                        <w:szCs w:val="16"/>
                      </w:rPr>
                    </w:pPr>
                    <w:r>
                      <w:rPr>
                        <w:color w:val="000000"/>
                        <w:sz w:val="16"/>
                        <w:szCs w:val="16"/>
                      </w:rPr>
                      <w:t>4 729 147</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843" w:type="dxa"/>
                    <w:vMerge w:val="restart"/>
                  </w:tcPr>
                  <w:p>
                    <w:pPr>
                      <w:jc w:val="center"/>
                      <w:rPr>
                        <w:color w:val="000000"/>
                        <w:sz w:val="16"/>
                        <w:szCs w:val="16"/>
                      </w:rPr>
                    </w:pPr>
                    <w:r>
                      <w:rPr>
                        <w:color w:val="000000"/>
                        <w:sz w:val="16"/>
                        <w:szCs w:val="16"/>
                      </w:rPr>
                      <w:t>ESF+, VVL regionas</w:t>
                    </w:r>
                  </w:p>
                </w:tc>
                <w:tc>
                  <w:tcPr>
                    <w:tcW w:w="1119" w:type="dxa"/>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709" w:type="dxa"/>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850" w:type="dxa"/>
                    <w:vMerge w:val="restart"/>
                  </w:tcPr>
                  <w:p>
                    <w:pPr>
                      <w:jc w:val="center"/>
                      <w:rPr>
                        <w:sz w:val="16"/>
                        <w:szCs w:val="16"/>
                      </w:rPr>
                    </w:pPr>
                    <w:r>
                      <w:rPr>
                        <w:color w:val="000000"/>
                        <w:sz w:val="16"/>
                        <w:szCs w:val="16"/>
                      </w:rPr>
                      <w:t>CPVA</w:t>
                    </w:r>
                  </w:p>
                </w:tc>
                <w:tc>
                  <w:tcPr>
                    <w:tcW w:w="753" w:type="dxa"/>
                    <w:gridSpan w:val="2"/>
                    <w:vMerge w:val="restart"/>
                  </w:tcPr>
                  <w:p>
                    <w:pPr>
                      <w:jc w:val="center"/>
                      <w:rPr>
                        <w:sz w:val="16"/>
                        <w:szCs w:val="16"/>
                      </w:rPr>
                    </w:pPr>
                    <w:r>
                      <w:rPr>
                        <w:color w:val="000000"/>
                        <w:sz w:val="16"/>
                        <w:szCs w:val="16"/>
                      </w:rPr>
                      <w:t>ŠMSM, SADM, EIM, ŽŪM</w:t>
                    </w:r>
                  </w:p>
                </w:tc>
              </w:tr>
              <w:tr>
                <w:tblPrEx>
                  <w:jc w:val="center"/>
                </w:tblPrEx>
                <w:trPr>
                  <w:trHeight w:val="1482"/>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color w:val="000000"/>
                        <w:sz w:val="16"/>
                        <w:szCs w:val="16"/>
                      </w:rPr>
                      <w:t>4 019 775</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pPr>
                      <w:rPr>
                        <w:color w:val="000000"/>
                        <w:sz w:val="16"/>
                        <w:szCs w:val="16"/>
                      </w:rPr>
                    </w:pPr>
                  </w:p>
                </w:tc>
                <w:tc>
                  <w:tcPr>
                    <w:tcW w:w="1119" w:type="dxa"/>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709" w:type="dxa"/>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373"/>
                  <w:jc w:val="center"/>
                </w:trPr>
                <w:tc>
                  <w:tcPr>
                    <w:tcW w:w="673" w:type="dxa"/>
                    <w:vMerge/>
                  </w:tcPr>
                  <w:p>
                    <w:pPr>
                      <w:rPr>
                        <w:sz w:val="16"/>
                        <w:szCs w:val="16"/>
                      </w:rPr>
                    </w:pPr>
                  </w:p>
                </w:tc>
                <w:tc>
                  <w:tcPr>
                    <w:tcW w:w="578" w:type="dxa"/>
                    <w:vMerge/>
                  </w:tcPr>
                  <w:p>
                    <w:pPr>
                      <w:rPr>
                        <w:sz w:val="16"/>
                        <w:szCs w:val="16"/>
                      </w:rPr>
                    </w:pPr>
                  </w:p>
                </w:tc>
                <w:tc>
                  <w:tcPr>
                    <w:tcW w:w="625" w:type="dxa"/>
                    <w:vMerge/>
                  </w:tcPr>
                  <w:p>
                    <w:pPr>
                      <w:rPr>
                        <w:sz w:val="16"/>
                        <w:szCs w:val="16"/>
                      </w:rPr>
                    </w:pPr>
                  </w:p>
                </w:tc>
                <w:tc>
                  <w:tcPr>
                    <w:tcW w:w="712" w:type="dxa"/>
                    <w:vMerge/>
                  </w:tcPr>
                  <w:p>
                    <w:pPr>
                      <w:rPr>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sz w:val="16"/>
                        <w:szCs w:val="16"/>
                      </w:rPr>
                    </w:pPr>
                    <w:r>
                      <w:rPr>
                        <w:color w:val="000000"/>
                        <w:sz w:val="16"/>
                        <w:szCs w:val="16"/>
                      </w:rPr>
                      <w:t>709 372</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sz w:val="16"/>
                        <w:szCs w:val="16"/>
                      </w:rPr>
                    </w:pPr>
                  </w:p>
                </w:tc>
                <w:tc>
                  <w:tcPr>
                    <w:tcW w:w="753" w:type="dxa"/>
                    <w:gridSpan w:val="2"/>
                    <w:vMerge/>
                  </w:tcPr>
                  <w:p>
                    <w:pPr>
                      <w:jc w:val="center"/>
                      <w:rPr>
                        <w:sz w:val="16"/>
                        <w:szCs w:val="16"/>
                      </w:rPr>
                    </w:pPr>
                  </w:p>
                </w:tc>
              </w:tr>
              <w:tr>
                <w:tblPrEx>
                  <w:jc w:val="center"/>
                </w:tblPrEx>
                <w:trPr>
                  <w:trHeight w:val="1150"/>
                  <w:jc w:val="center"/>
                </w:trPr>
                <w:tc>
                  <w:tcPr>
                    <w:tcW w:w="673" w:type="dxa"/>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578" w:type="dxa"/>
                  </w:tcPr>
                  <w:p>
                    <w:pPr>
                      <w:jc w:val="center"/>
                      <w:rPr>
                        <w:sz w:val="16"/>
                        <w:szCs w:val="16"/>
                      </w:rPr>
                    </w:pPr>
                  </w:p>
                </w:tc>
                <w:tc>
                  <w:tcPr>
                    <w:tcW w:w="625" w:type="dxa"/>
                  </w:tcPr>
                  <w:p>
                    <w:pPr>
                      <w:jc w:val="center"/>
                      <w:rPr>
                        <w:sz w:val="16"/>
                        <w:szCs w:val="16"/>
                      </w:rPr>
                    </w:pPr>
                  </w:p>
                </w:tc>
                <w:tc>
                  <w:tcPr>
                    <w:tcW w:w="712" w:type="dxa"/>
                  </w:tcPr>
                  <w:p>
                    <w:pPr>
                      <w:jc w:val="center"/>
                      <w:rPr>
                        <w:sz w:val="16"/>
                        <w:szCs w:val="16"/>
                      </w:rPr>
                    </w:pPr>
                  </w:p>
                </w:tc>
                <w:tc>
                  <w:tcPr>
                    <w:tcW w:w="774" w:type="dxa"/>
                  </w:tcPr>
                  <w:p>
                    <w:pPr>
                      <w:jc w:val="center"/>
                      <w:rPr>
                        <w:sz w:val="16"/>
                        <w:szCs w:val="16"/>
                      </w:rPr>
                    </w:pPr>
                  </w:p>
                </w:tc>
                <w:tc>
                  <w:tcPr>
                    <w:tcW w:w="544" w:type="dxa"/>
                  </w:tcPr>
                  <w:p>
                    <w:pPr>
                      <w:jc w:val="center"/>
                      <w:rPr>
                        <w:sz w:val="16"/>
                        <w:szCs w:val="16"/>
                      </w:rPr>
                    </w:pPr>
                  </w:p>
                </w:tc>
                <w:tc>
                  <w:tcPr>
                    <w:tcW w:w="933" w:type="dxa"/>
                  </w:tcPr>
                  <w:p>
                    <w:pPr>
                      <w:jc w:val="center"/>
                      <w:rPr>
                        <w:sz w:val="16"/>
                        <w:szCs w:val="16"/>
                      </w:rPr>
                    </w:pPr>
                  </w:p>
                </w:tc>
                <w:tc>
                  <w:tcPr>
                    <w:tcW w:w="707" w:type="dxa"/>
                  </w:tcPr>
                  <w:p>
                    <w:pPr>
                      <w:jc w:val="center"/>
                      <w:rPr>
                        <w:sz w:val="16"/>
                        <w:szCs w:val="16"/>
                      </w:rPr>
                    </w:pPr>
                  </w:p>
                </w:tc>
                <w:tc>
                  <w:tcPr>
                    <w:tcW w:w="843" w:type="dxa"/>
                  </w:tcPr>
                  <w:p>
                    <w:pPr>
                      <w:jc w:val="center"/>
                      <w:rPr>
                        <w:sz w:val="16"/>
                        <w:szCs w:val="16"/>
                      </w:rPr>
                    </w:pPr>
                  </w:p>
                </w:tc>
                <w:tc>
                  <w:tcPr>
                    <w:tcW w:w="1119" w:type="dxa"/>
                  </w:tcPr>
                  <w:p>
                    <w:pPr>
                      <w:jc w:val="center"/>
                      <w:rPr>
                        <w:sz w:val="16"/>
                        <w:szCs w:val="16"/>
                      </w:rPr>
                    </w:pPr>
                  </w:p>
                </w:tc>
                <w:tc>
                  <w:tcPr>
                    <w:tcW w:w="709" w:type="dxa"/>
                  </w:tcPr>
                  <w:p>
                    <w:pPr>
                      <w:jc w:val="center"/>
                      <w:rPr>
                        <w:sz w:val="16"/>
                        <w:szCs w:val="16"/>
                      </w:rPr>
                    </w:pPr>
                  </w:p>
                </w:tc>
                <w:tc>
                  <w:tcPr>
                    <w:tcW w:w="850" w:type="dxa"/>
                  </w:tcPr>
                  <w:p>
                    <w:pPr>
                      <w:jc w:val="center"/>
                      <w:rPr>
                        <w:sz w:val="16"/>
                        <w:szCs w:val="16"/>
                      </w:rPr>
                    </w:pPr>
                  </w:p>
                </w:tc>
                <w:tc>
                  <w:tcPr>
                    <w:tcW w:w="753" w:type="dxa"/>
                    <w:gridSpan w:val="2"/>
                  </w:tcPr>
                  <w:p>
                    <w:pPr>
                      <w:jc w:val="center"/>
                      <w:rPr>
                        <w:sz w:val="16"/>
                        <w:szCs w:val="16"/>
                      </w:rPr>
                    </w:pPr>
                  </w:p>
                </w:tc>
              </w:tr>
              <w:tr>
                <w:tblPrEx>
                  <w:jc w:val="center"/>
                </w:tblPrEx>
                <w:trPr>
                  <w:trHeight w:val="688"/>
                  <w:jc w:val="center"/>
                </w:trPr>
                <w:tc>
                  <w:tcPr>
                    <w:tcW w:w="673" w:type="dxa"/>
                    <w:vMerge w:val="restart"/>
                  </w:tcPr>
                  <w:p>
                    <w:pPr>
                      <w:rPr>
                        <w:color w:val="000000"/>
                        <w:sz w:val="16"/>
                        <w:szCs w:val="16"/>
                      </w:rPr>
                    </w:pPr>
                    <w:r>
                      <w:rPr>
                        <w:color w:val="000000"/>
                        <w:sz w:val="16"/>
                        <w:szCs w:val="16"/>
                      </w:rPr>
                      <w:t>7.1 Investicijų į profesinio mokymo infrastruktūrą poreikio analizė</w:t>
                    </w:r>
                  </w:p>
                </w:tc>
                <w:tc>
                  <w:tcPr>
                    <w:tcW w:w="578" w:type="dxa"/>
                    <w:vMerge w:val="restart"/>
                  </w:tcPr>
                  <w:p>
                    <w:pPr>
                      <w:jc w:val="center"/>
                      <w:rPr>
                        <w:color w:val="000000"/>
                        <w:sz w:val="16"/>
                        <w:szCs w:val="16"/>
                      </w:rPr>
                    </w:pPr>
                    <w:r>
                      <w:rPr>
                        <w:color w:val="000000"/>
                        <w:sz w:val="16"/>
                        <w:szCs w:val="16"/>
                      </w:rPr>
                      <w:t>A</w:t>
                    </w:r>
                  </w:p>
                </w:tc>
                <w:tc>
                  <w:tcPr>
                    <w:tcW w:w="625" w:type="dxa"/>
                    <w:vMerge w:val="restart"/>
                  </w:tcPr>
                  <w:p>
                    <w:pPr>
                      <w:jc w:val="center"/>
                      <w:rPr>
                        <w:color w:val="000000"/>
                        <w:sz w:val="16"/>
                        <w:szCs w:val="16"/>
                      </w:rPr>
                    </w:pPr>
                    <w:r>
                      <w:rPr>
                        <w:color w:val="000000"/>
                        <w:sz w:val="16"/>
                        <w:szCs w:val="16"/>
                      </w:rPr>
                      <w:t>ESFA</w:t>
                    </w:r>
                  </w:p>
                </w:tc>
                <w:tc>
                  <w:tcPr>
                    <w:tcW w:w="712" w:type="dxa"/>
                    <w:vMerge w:val="restart"/>
                  </w:tcPr>
                  <w:p>
                    <w:pPr>
                      <w:jc w:val="center"/>
                      <w:rPr>
                        <w:color w:val="000000"/>
                        <w:sz w:val="16"/>
                        <w:szCs w:val="16"/>
                      </w:rPr>
                    </w:pPr>
                    <w:r>
                      <w:rPr>
                        <w:color w:val="000000"/>
                        <w:sz w:val="16"/>
                        <w:szCs w:val="16"/>
                      </w:rPr>
                      <w:t>P</w:t>
                    </w:r>
                  </w:p>
                </w:tc>
                <w:tc>
                  <w:tcPr>
                    <w:tcW w:w="774" w:type="dxa"/>
                    <w:vMerge w:val="restart"/>
                  </w:tcPr>
                  <w:p>
                    <w:pPr>
                      <w:jc w:val="center"/>
                      <w:rPr>
                        <w:sz w:val="16"/>
                        <w:szCs w:val="16"/>
                        <w:highlight w:val="red"/>
                      </w:rPr>
                    </w:pPr>
                    <w:r>
                      <w:rPr>
                        <w:sz w:val="16"/>
                        <w:szCs w:val="16"/>
                      </w:rPr>
                      <w:t>DV</w:t>
                    </w:r>
                  </w:p>
                </w:tc>
                <w:tc>
                  <w:tcPr>
                    <w:tcW w:w="544" w:type="dxa"/>
                    <w:vMerge w:val="restart"/>
                  </w:tcPr>
                  <w:p>
                    <w:pPr>
                      <w:jc w:val="center"/>
                      <w:rPr>
                        <w:sz w:val="16"/>
                        <w:szCs w:val="16"/>
                      </w:rPr>
                    </w:pPr>
                    <w:r>
                      <w:rPr>
                        <w:color w:val="000000"/>
                        <w:sz w:val="16"/>
                        <w:szCs w:val="16"/>
                      </w:rPr>
                      <w:t>D</w:t>
                    </w:r>
                  </w:p>
                </w:tc>
                <w:tc>
                  <w:tcPr>
                    <w:tcW w:w="933" w:type="dxa"/>
                  </w:tcPr>
                  <w:p>
                    <w:pPr>
                      <w:jc w:val="center"/>
                      <w:rPr>
                        <w:color w:val="000000"/>
                        <w:sz w:val="16"/>
                        <w:szCs w:val="16"/>
                      </w:rPr>
                    </w:pPr>
                    <w:r>
                      <w:rPr>
                        <w:sz w:val="16"/>
                        <w:szCs w:val="16"/>
                      </w:rPr>
                      <w:t>800 000</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1119" w:type="dxa"/>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709" w:type="dxa"/>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850" w:type="dxa"/>
                    <w:vMerge w:val="restart"/>
                  </w:tcPr>
                  <w:p>
                    <w:pPr>
                      <w:jc w:val="center"/>
                      <w:rPr>
                        <w:color w:val="000000"/>
                        <w:sz w:val="16"/>
                        <w:szCs w:val="16"/>
                      </w:rPr>
                    </w:pPr>
                    <w:r>
                      <w:rPr>
                        <w:color w:val="000000"/>
                        <w:sz w:val="16"/>
                        <w:szCs w:val="16"/>
                      </w:rPr>
                      <w:t>CPVA</w:t>
                    </w:r>
                  </w:p>
                </w:tc>
                <w:tc>
                  <w:tcPr>
                    <w:tcW w:w="753" w:type="dxa"/>
                    <w:gridSpan w:val="2"/>
                    <w:vMerge w:val="restart"/>
                  </w:tcPr>
                  <w:p>
                    <w:pPr>
                      <w:jc w:val="center"/>
                      <w:rPr>
                        <w:color w:val="000000"/>
                        <w:sz w:val="16"/>
                        <w:szCs w:val="16"/>
                      </w:rPr>
                    </w:pPr>
                    <w:r>
                      <w:rPr>
                        <w:color w:val="000000"/>
                        <w:sz w:val="16"/>
                        <w:szCs w:val="16"/>
                      </w:rPr>
                      <w:t>ŠMSM, SADM, EIM, ŽŪM</w:t>
                    </w:r>
                  </w:p>
                </w:tc>
              </w:tr>
              <w:tr>
                <w:tblPrEx>
                  <w:jc w:val="center"/>
                </w:tblPrEx>
                <w:trPr>
                  <w:trHeight w:val="688"/>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highlight w:val="red"/>
                      </w:rPr>
                    </w:pPr>
                  </w:p>
                </w:tc>
                <w:tc>
                  <w:tcPr>
                    <w:tcW w:w="544" w:type="dxa"/>
                    <w:vMerge/>
                  </w:tcPr>
                  <w:p>
                    <w:pPr>
                      <w:jc w:val="center"/>
                      <w:rPr>
                        <w:color w:val="000000"/>
                        <w:sz w:val="16"/>
                        <w:szCs w:val="16"/>
                      </w:rPr>
                    </w:pPr>
                  </w:p>
                </w:tc>
                <w:tc>
                  <w:tcPr>
                    <w:tcW w:w="933" w:type="dxa"/>
                  </w:tcPr>
                  <w:p>
                    <w:pPr>
                      <w:jc w:val="center"/>
                      <w:rPr>
                        <w:sz w:val="16"/>
                        <w:szCs w:val="16"/>
                      </w:rPr>
                    </w:pPr>
                    <w:r>
                      <w:rPr>
                        <w:sz w:val="16"/>
                        <w:szCs w:val="16"/>
                      </w:rPr>
                      <w:t>680 000</w:t>
                    </w:r>
                  </w:p>
                </w:tc>
                <w:tc>
                  <w:tcPr>
                    <w:tcW w:w="707" w:type="dxa"/>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178"/>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highlight w:val="red"/>
                      </w:rPr>
                    </w:pPr>
                  </w:p>
                </w:tc>
                <w:tc>
                  <w:tcPr>
                    <w:tcW w:w="544" w:type="dxa"/>
                    <w:vMerge/>
                  </w:tcPr>
                  <w:p>
                    <w:pPr>
                      <w:jc w:val="center"/>
                      <w:rPr>
                        <w:color w:val="000000"/>
                        <w:sz w:val="16"/>
                        <w:szCs w:val="16"/>
                      </w:rPr>
                    </w:pPr>
                  </w:p>
                </w:tc>
                <w:tc>
                  <w:tcPr>
                    <w:tcW w:w="933" w:type="dxa"/>
                  </w:tcPr>
                  <w:p>
                    <w:pPr>
                      <w:jc w:val="center"/>
                      <w:rPr>
                        <w:sz w:val="16"/>
                        <w:szCs w:val="16"/>
                      </w:rPr>
                    </w:pPr>
                    <w:r>
                      <w:rPr>
                        <w:color w:val="000000"/>
                        <w:sz w:val="16"/>
                        <w:szCs w:val="16"/>
                      </w:rPr>
                      <w:t>120 000</w:t>
                    </w:r>
                  </w:p>
                </w:tc>
                <w:tc>
                  <w:tcPr>
                    <w:tcW w:w="707" w:type="dxa"/>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233"/>
                  <w:jc w:val="center"/>
                </w:trPr>
                <w:tc>
                  <w:tcPr>
                    <w:tcW w:w="673" w:type="dxa"/>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578" w:type="dxa"/>
                    <w:vMerge w:val="restart"/>
                  </w:tcPr>
                  <w:p>
                    <w:pPr>
                      <w:jc w:val="center"/>
                      <w:rPr>
                        <w:color w:val="000000"/>
                        <w:sz w:val="16"/>
                        <w:szCs w:val="16"/>
                      </w:rPr>
                    </w:pPr>
                    <w:r>
                      <w:rPr>
                        <w:color w:val="000000"/>
                        <w:sz w:val="16"/>
                        <w:szCs w:val="16"/>
                      </w:rPr>
                      <w:t>I</w:t>
                    </w:r>
                  </w:p>
                </w:tc>
                <w:tc>
                  <w:tcPr>
                    <w:tcW w:w="625" w:type="dxa"/>
                    <w:vMerge w:val="restart"/>
                  </w:tcPr>
                  <w:p>
                    <w:pPr>
                      <w:jc w:val="center"/>
                      <w:rPr>
                        <w:color w:val="000000"/>
                        <w:sz w:val="16"/>
                        <w:szCs w:val="16"/>
                      </w:rPr>
                    </w:pPr>
                    <w:r>
                      <w:rPr>
                        <w:color w:val="000000"/>
                        <w:sz w:val="16"/>
                        <w:szCs w:val="16"/>
                      </w:rPr>
                      <w:t xml:space="preserve">Profesinio mokymo įstaigos </w:t>
                    </w:r>
                  </w:p>
                </w:tc>
                <w:tc>
                  <w:tcPr>
                    <w:tcW w:w="712" w:type="dxa"/>
                    <w:vMerge w:val="restart"/>
                  </w:tcPr>
                  <w:p>
                    <w:pPr>
                      <w:jc w:val="center"/>
                      <w:rPr>
                        <w:color w:val="000000"/>
                        <w:sz w:val="16"/>
                        <w:szCs w:val="16"/>
                      </w:rPr>
                    </w:pPr>
                    <w:r>
                      <w:rPr>
                        <w:color w:val="000000"/>
                        <w:sz w:val="16"/>
                        <w:szCs w:val="16"/>
                      </w:rPr>
                      <w:t>P</w:t>
                    </w:r>
                  </w:p>
                </w:tc>
                <w:tc>
                  <w:tcPr>
                    <w:tcW w:w="774" w:type="dxa"/>
                    <w:vMerge w:val="restart"/>
                  </w:tcPr>
                  <w:p>
                    <w:pPr>
                      <w:jc w:val="center"/>
                      <w:rPr>
                        <w:sz w:val="16"/>
                        <w:szCs w:val="16"/>
                        <w:highlight w:val="red"/>
                      </w:rPr>
                    </w:pPr>
                    <w:r>
                      <w:rPr>
                        <w:sz w:val="16"/>
                        <w:szCs w:val="16"/>
                      </w:rPr>
                      <w:t>DV</w:t>
                    </w:r>
                  </w:p>
                </w:tc>
                <w:tc>
                  <w:tcPr>
                    <w:tcW w:w="544" w:type="dxa"/>
                    <w:vMerge w:val="restart"/>
                  </w:tcPr>
                  <w:p>
                    <w:pPr>
                      <w:jc w:val="center"/>
                      <w:rPr>
                        <w:sz w:val="16"/>
                        <w:szCs w:val="16"/>
                      </w:rPr>
                    </w:pPr>
                    <w:r>
                      <w:rPr>
                        <w:color w:val="000000"/>
                        <w:sz w:val="16"/>
                        <w:szCs w:val="16"/>
                      </w:rPr>
                      <w:t>D</w:t>
                    </w:r>
                  </w:p>
                </w:tc>
                <w:tc>
                  <w:tcPr>
                    <w:tcW w:w="933" w:type="dxa"/>
                  </w:tcPr>
                  <w:p>
                    <w:pPr>
                      <w:jc w:val="center"/>
                      <w:rPr>
                        <w:color w:val="000000"/>
                        <w:sz w:val="16"/>
                        <w:szCs w:val="16"/>
                      </w:rPr>
                    </w:pPr>
                    <w:r>
                      <w:rPr>
                        <w:sz w:val="16"/>
                        <w:szCs w:val="16"/>
                      </w:rPr>
                      <w:t>38 062 145</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1119" w:type="dxa"/>
                  </w:tcPr>
                  <w:p>
                    <w:pPr>
                      <w:rPr>
                        <w:color w:val="000000"/>
                        <w:sz w:val="16"/>
                        <w:szCs w:val="16"/>
                      </w:rPr>
                    </w:pPr>
                    <w:r>
                      <w:rPr>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709" w:type="dxa"/>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850" w:type="dxa"/>
                    <w:vMerge w:val="restart"/>
                  </w:tcPr>
                  <w:p>
                    <w:pPr>
                      <w:jc w:val="center"/>
                      <w:rPr>
                        <w:color w:val="000000"/>
                        <w:sz w:val="16"/>
                        <w:szCs w:val="16"/>
                      </w:rPr>
                    </w:pPr>
                    <w:r>
                      <w:rPr>
                        <w:color w:val="000000"/>
                        <w:sz w:val="16"/>
                        <w:szCs w:val="16"/>
                      </w:rPr>
                      <w:t>CPVA</w:t>
                    </w:r>
                  </w:p>
                </w:tc>
                <w:tc>
                  <w:tcPr>
                    <w:tcW w:w="753" w:type="dxa"/>
                    <w:gridSpan w:val="2"/>
                    <w:vMerge w:val="restart"/>
                  </w:tcPr>
                  <w:p>
                    <w:pPr>
                      <w:jc w:val="center"/>
                      <w:rPr>
                        <w:color w:val="000000"/>
                        <w:sz w:val="16"/>
                        <w:szCs w:val="16"/>
                      </w:rPr>
                    </w:pPr>
                    <w:r>
                      <w:rPr>
                        <w:color w:val="000000"/>
                        <w:sz w:val="16"/>
                        <w:szCs w:val="16"/>
                      </w:rPr>
                      <w:t>ŠMSM, SADM, EIM, ŽŪM</w:t>
                    </w:r>
                  </w:p>
                </w:tc>
              </w:tr>
              <w:tr>
                <w:tblPrEx>
                  <w:jc w:val="center"/>
                </w:tblPrEx>
                <w:trPr>
                  <w:trHeight w:val="675"/>
                  <w:jc w:val="center"/>
                </w:trPr>
                <w:tc>
                  <w:tcPr>
                    <w:tcW w:w="673" w:type="dxa"/>
                    <w:vMerge/>
                  </w:tcPr>
                  <w:p>
                    <w:pPr>
                      <w:rPr>
                        <w:color w:val="000000"/>
                        <w:sz w:val="16"/>
                        <w:szCs w:val="16"/>
                      </w:rPr>
                    </w:pPr>
                  </w:p>
                </w:tc>
                <w:tc>
                  <w:tcPr>
                    <w:tcW w:w="578" w:type="dxa"/>
                    <w:vMerge/>
                  </w:tcPr>
                  <w:p>
                    <w:pPr>
                      <w:rPr>
                        <w:color w:val="000000"/>
                        <w:sz w:val="16"/>
                        <w:szCs w:val="16"/>
                      </w:rPr>
                    </w:pPr>
                  </w:p>
                </w:tc>
                <w:tc>
                  <w:tcPr>
                    <w:tcW w:w="625" w:type="dxa"/>
                    <w:vMerge/>
                  </w:tcPr>
                  <w:p>
                    <w:pPr>
                      <w:rPr>
                        <w:color w:val="000000"/>
                        <w:sz w:val="16"/>
                        <w:szCs w:val="16"/>
                      </w:rPr>
                    </w:pPr>
                  </w:p>
                </w:tc>
                <w:tc>
                  <w:tcPr>
                    <w:tcW w:w="712" w:type="dxa"/>
                    <w:vMerge/>
                  </w:tcPr>
                  <w:p>
                    <w:pPr>
                      <w:rPr>
                        <w:color w:val="000000"/>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color w:val="000000"/>
                        <w:sz w:val="16"/>
                        <w:szCs w:val="16"/>
                      </w:rPr>
                    </w:pPr>
                    <w:r>
                      <w:rPr>
                        <w:sz w:val="16"/>
                        <w:szCs w:val="16"/>
                      </w:rPr>
                      <w:t>32 352 823</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843" w:type="dxa"/>
                    <w:vMerge/>
                  </w:tcPr>
                  <w:p>
                    <w:pPr>
                      <w:rPr>
                        <w:color w:val="000000"/>
                        <w:sz w:val="16"/>
                        <w:szCs w:val="16"/>
                        <w:shd w:val="clear" w:color="auto" w:fill="FFFFFF"/>
                      </w:rPr>
                    </w:pPr>
                  </w:p>
                </w:tc>
                <w:tc>
                  <w:tcPr>
                    <w:tcW w:w="1119" w:type="dxa"/>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709" w:type="dxa"/>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655"/>
                  <w:jc w:val="center"/>
                </w:trPr>
                <w:tc>
                  <w:tcPr>
                    <w:tcW w:w="673" w:type="dxa"/>
                    <w:vMerge/>
                  </w:tcPr>
                  <w:p>
                    <w:pPr>
                      <w:rPr>
                        <w:color w:val="000000"/>
                        <w:sz w:val="16"/>
                        <w:szCs w:val="16"/>
                      </w:rPr>
                    </w:pPr>
                  </w:p>
                </w:tc>
                <w:tc>
                  <w:tcPr>
                    <w:tcW w:w="578" w:type="dxa"/>
                    <w:vMerge/>
                  </w:tcPr>
                  <w:p>
                    <w:pPr>
                      <w:rPr>
                        <w:color w:val="000000"/>
                        <w:sz w:val="16"/>
                        <w:szCs w:val="16"/>
                      </w:rPr>
                    </w:pPr>
                  </w:p>
                </w:tc>
                <w:tc>
                  <w:tcPr>
                    <w:tcW w:w="625" w:type="dxa"/>
                    <w:vMerge/>
                  </w:tcPr>
                  <w:p>
                    <w:pPr>
                      <w:rPr>
                        <w:color w:val="000000"/>
                        <w:sz w:val="16"/>
                        <w:szCs w:val="16"/>
                      </w:rPr>
                    </w:pPr>
                  </w:p>
                </w:tc>
                <w:tc>
                  <w:tcPr>
                    <w:tcW w:w="712" w:type="dxa"/>
                    <w:vMerge/>
                  </w:tcPr>
                  <w:p>
                    <w:pPr>
                      <w:rPr>
                        <w:color w:val="000000"/>
                        <w:sz w:val="16"/>
                        <w:szCs w:val="16"/>
                      </w:rPr>
                    </w:pPr>
                  </w:p>
                </w:tc>
                <w:tc>
                  <w:tcPr>
                    <w:tcW w:w="774" w:type="dxa"/>
                    <w:vMerge/>
                  </w:tcPr>
                  <w:p>
                    <w:pPr>
                      <w:rPr>
                        <w:sz w:val="16"/>
                        <w:szCs w:val="16"/>
                      </w:rPr>
                    </w:pPr>
                  </w:p>
                </w:tc>
                <w:tc>
                  <w:tcPr>
                    <w:tcW w:w="544" w:type="dxa"/>
                    <w:vMerge/>
                  </w:tcPr>
                  <w:p>
                    <w:pPr>
                      <w:rPr>
                        <w:sz w:val="16"/>
                        <w:szCs w:val="16"/>
                      </w:rPr>
                    </w:pPr>
                  </w:p>
                </w:tc>
                <w:tc>
                  <w:tcPr>
                    <w:tcW w:w="933" w:type="dxa"/>
                  </w:tcPr>
                  <w:p>
                    <w:pPr>
                      <w:jc w:val="center"/>
                      <w:rPr>
                        <w:color w:val="000000"/>
                        <w:sz w:val="16"/>
                        <w:szCs w:val="16"/>
                      </w:rPr>
                    </w:pPr>
                    <w:r>
                      <w:rPr>
                        <w:sz w:val="16"/>
                        <w:szCs w:val="16"/>
                      </w:rPr>
                      <w:t>5 709 322</w:t>
                    </w:r>
                  </w:p>
                </w:tc>
                <w:tc>
                  <w:tcPr>
                    <w:tcW w:w="707" w:type="dxa"/>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843" w:type="dxa"/>
                    <w:vMerge/>
                  </w:tcPr>
                  <w:p>
                    <w:pPr>
                      <w:rPr>
                        <w:color w:val="000000"/>
                        <w:sz w:val="16"/>
                        <w:szCs w:val="16"/>
                        <w:shd w:val="clear" w:color="auto" w:fill="FFFFFF"/>
                      </w:rPr>
                    </w:pPr>
                  </w:p>
                </w:tc>
                <w:tc>
                  <w:tcPr>
                    <w:tcW w:w="1119" w:type="dxa"/>
                    <w:vMerge/>
                  </w:tcPr>
                  <w:p>
                    <w:pPr>
                      <w:rPr>
                        <w:color w:val="000000"/>
                        <w:sz w:val="16"/>
                        <w:szCs w:val="16"/>
                        <w:shd w:val="clear" w:color="auto" w:fill="FFFFFF"/>
                      </w:rPr>
                    </w:pPr>
                  </w:p>
                </w:tc>
                <w:tc>
                  <w:tcPr>
                    <w:tcW w:w="709" w:type="dxa"/>
                    <w:vMerge/>
                  </w:tcPr>
                  <w:p>
                    <w:pPr>
                      <w:jc w:val="center"/>
                      <w:rPr>
                        <w:color w:val="000000"/>
                        <w:sz w:val="16"/>
                        <w:szCs w:val="16"/>
                        <w:bdr w:val="none" w:sz="0" w:space="0" w:color="auto" w:frame="1"/>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1992"/>
                  <w:jc w:val="center"/>
                </w:trPr>
                <w:tc>
                  <w:tcPr>
                    <w:tcW w:w="673" w:type="dxa"/>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578" w:type="dxa"/>
                    <w:vMerge w:val="restart"/>
                  </w:tcPr>
                  <w:p>
                    <w:pPr>
                      <w:jc w:val="center"/>
                      <w:rPr>
                        <w:sz w:val="16"/>
                        <w:szCs w:val="16"/>
                      </w:rPr>
                    </w:pPr>
                    <w:r>
                      <w:rPr>
                        <w:color w:val="000000"/>
                        <w:sz w:val="16"/>
                        <w:szCs w:val="16"/>
                      </w:rPr>
                      <w:t>K</w:t>
                    </w:r>
                  </w:p>
                </w:tc>
                <w:tc>
                  <w:tcPr>
                    <w:tcW w:w="625" w:type="dxa"/>
                    <w:vMerge w:val="restart"/>
                  </w:tcPr>
                  <w:p>
                    <w:pPr>
                      <w:jc w:val="center"/>
                      <w:rPr>
                        <w:sz w:val="16"/>
                        <w:szCs w:val="16"/>
                      </w:rPr>
                    </w:pPr>
                    <w:r>
                      <w:rPr>
                        <w:color w:val="000000"/>
                        <w:sz w:val="16"/>
                        <w:szCs w:val="16"/>
                      </w:rPr>
                      <w:t>ESFA</w:t>
                    </w:r>
                  </w:p>
                </w:tc>
                <w:tc>
                  <w:tcPr>
                    <w:tcW w:w="712" w:type="dxa"/>
                    <w:vMerge w:val="restart"/>
                  </w:tcPr>
                  <w:p>
                    <w:pPr>
                      <w:jc w:val="center"/>
                      <w:rPr>
                        <w:sz w:val="16"/>
                        <w:szCs w:val="16"/>
                      </w:rPr>
                    </w:pPr>
                    <w:r>
                      <w:rPr>
                        <w:color w:val="000000"/>
                        <w:sz w:val="16"/>
                        <w:szCs w:val="16"/>
                      </w:rPr>
                      <w:t>P</w:t>
                    </w:r>
                  </w:p>
                </w:tc>
                <w:tc>
                  <w:tcPr>
                    <w:tcW w:w="774" w:type="dxa"/>
                    <w:vMerge w:val="restart"/>
                  </w:tcPr>
                  <w:p>
                    <w:pPr>
                      <w:jc w:val="center"/>
                      <w:rPr>
                        <w:sz w:val="16"/>
                        <w:szCs w:val="16"/>
                      </w:rPr>
                    </w:pPr>
                    <w:r>
                      <w:rPr>
                        <w:sz w:val="16"/>
                        <w:szCs w:val="16"/>
                      </w:rPr>
                      <w:t>DV</w:t>
                    </w:r>
                  </w:p>
                </w:tc>
                <w:tc>
                  <w:tcPr>
                    <w:tcW w:w="544" w:type="dxa"/>
                    <w:vMerge w:val="restart"/>
                  </w:tcPr>
                  <w:p>
                    <w:pPr>
                      <w:jc w:val="center"/>
                      <w:rPr>
                        <w:sz w:val="16"/>
                        <w:szCs w:val="16"/>
                      </w:rPr>
                    </w:pPr>
                    <w:r>
                      <w:rPr>
                        <w:sz w:val="16"/>
                        <w:szCs w:val="16"/>
                      </w:rPr>
                      <w:t>D</w:t>
                    </w:r>
                  </w:p>
                </w:tc>
                <w:tc>
                  <w:tcPr>
                    <w:tcW w:w="933" w:type="dxa"/>
                  </w:tcPr>
                  <w:p>
                    <w:pPr>
                      <w:jc w:val="center"/>
                      <w:rPr>
                        <w:sz w:val="16"/>
                        <w:szCs w:val="16"/>
                      </w:rPr>
                    </w:pPr>
                    <w:r>
                      <w:rPr>
                        <w:color w:val="000000"/>
                        <w:sz w:val="16"/>
                        <w:szCs w:val="16"/>
                      </w:rPr>
                      <w:t>1 210 000</w:t>
                    </w:r>
                  </w:p>
                </w:tc>
                <w:tc>
                  <w:tcPr>
                    <w:tcW w:w="707" w:type="dxa"/>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843" w:type="dxa"/>
                    <w:vMerge w:val="restart"/>
                  </w:tcPr>
                  <w:p>
                    <w:pPr>
                      <w:jc w:val="center"/>
                      <w:rPr>
                        <w:color w:val="000000"/>
                        <w:sz w:val="16"/>
                        <w:szCs w:val="16"/>
                      </w:rPr>
                    </w:pPr>
                    <w:r>
                      <w:rPr>
                        <w:color w:val="000000"/>
                        <w:sz w:val="16"/>
                        <w:szCs w:val="16"/>
                      </w:rPr>
                      <w:t>-</w:t>
                    </w:r>
                  </w:p>
                </w:tc>
                <w:tc>
                  <w:tcPr>
                    <w:tcW w:w="1119" w:type="dxa"/>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709" w:type="dxa"/>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850" w:type="dxa"/>
                    <w:vMerge w:val="restart"/>
                  </w:tcPr>
                  <w:p>
                    <w:pPr>
                      <w:rPr>
                        <w:sz w:val="16"/>
                        <w:szCs w:val="16"/>
                      </w:rPr>
                    </w:pPr>
                    <w:r>
                      <w:rPr>
                        <w:color w:val="000000"/>
                        <w:sz w:val="16"/>
                        <w:szCs w:val="16"/>
                      </w:rPr>
                      <w:t>CPVA</w:t>
                    </w:r>
                  </w:p>
                </w:tc>
                <w:tc>
                  <w:tcPr>
                    <w:tcW w:w="753" w:type="dxa"/>
                    <w:gridSpan w:val="2"/>
                    <w:vMerge w:val="restart"/>
                  </w:tcPr>
                  <w:p>
                    <w:pPr>
                      <w:rPr>
                        <w:sz w:val="16"/>
                        <w:szCs w:val="16"/>
                      </w:rPr>
                    </w:pPr>
                    <w:r>
                      <w:rPr>
                        <w:color w:val="000000"/>
                        <w:sz w:val="16"/>
                        <w:szCs w:val="16"/>
                      </w:rPr>
                      <w:t>ŠMSM, SADM, EIM, ŽŪM</w:t>
                    </w:r>
                  </w:p>
                </w:tc>
              </w:tr>
              <w:tr>
                <w:tblPrEx>
                  <w:jc w:val="center"/>
                </w:tblPrEx>
                <w:trPr>
                  <w:trHeight w:val="348"/>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tcPr>
                  <w:p>
                    <w:pPr>
                      <w:jc w:val="center"/>
                      <w:rPr>
                        <w:color w:val="000000"/>
                        <w:sz w:val="16"/>
                        <w:szCs w:val="16"/>
                      </w:rPr>
                    </w:pPr>
                    <w:r>
                      <w:rPr>
                        <w:color w:val="000000"/>
                        <w:sz w:val="16"/>
                        <w:szCs w:val="16"/>
                      </w:rPr>
                      <w:t>1 000 000</w:t>
                    </w:r>
                  </w:p>
                </w:tc>
                <w:tc>
                  <w:tcPr>
                    <w:tcW w:w="707" w:type="dxa"/>
                  </w:tcPr>
                  <w:p>
                    <w:pPr>
                      <w:rPr>
                        <w:sz w:val="16"/>
                        <w:szCs w:val="16"/>
                      </w:rPr>
                    </w:pPr>
                    <w:r>
                      <w:rPr>
                        <w:sz w:val="16"/>
                        <w:szCs w:val="16"/>
                      </w:rPr>
                      <w:t>EGADP lėšos</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1992"/>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tcPr>
                  <w:p>
                    <w:pPr>
                      <w:jc w:val="center"/>
                      <w:rPr>
                        <w:color w:val="000000"/>
                        <w:sz w:val="16"/>
                        <w:szCs w:val="16"/>
                      </w:rPr>
                    </w:pPr>
                    <w:r>
                      <w:rPr>
                        <w:color w:val="000000"/>
                        <w:sz w:val="16"/>
                        <w:szCs w:val="16"/>
                      </w:rPr>
                      <w:t>210 000</w:t>
                    </w:r>
                  </w:p>
                </w:tc>
                <w:tc>
                  <w:tcPr>
                    <w:tcW w:w="707" w:type="dxa"/>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843" w:type="dxa"/>
                    <w:vMerge/>
                  </w:tcPr>
                  <w:p>
                    <w:pPr>
                      <w:rPr>
                        <w:color w:val="000000"/>
                        <w:sz w:val="16"/>
                        <w:szCs w:val="16"/>
                      </w:rPr>
                    </w:pPr>
                  </w:p>
                </w:tc>
                <w:tc>
                  <w:tcPr>
                    <w:tcW w:w="1119" w:type="dxa"/>
                    <w:vMerge/>
                  </w:tcPr>
                  <w:p>
                    <w:pPr>
                      <w:rPr>
                        <w:color w:val="000000"/>
                        <w:sz w:val="16"/>
                        <w:szCs w:val="16"/>
                      </w:rPr>
                    </w:pPr>
                  </w:p>
                </w:tc>
                <w:tc>
                  <w:tcPr>
                    <w:tcW w:w="709" w:type="dxa"/>
                    <w:vMerge/>
                  </w:tcPr>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1035"/>
                  <w:jc w:val="center"/>
                </w:trPr>
                <w:tc>
                  <w:tcPr>
                    <w:tcW w:w="673" w:type="dxa"/>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578" w:type="dxa"/>
                    <w:vMerge w:val="restart"/>
                  </w:tcPr>
                  <w:p>
                    <w:pPr>
                      <w:jc w:val="center"/>
                      <w:rPr>
                        <w:color w:val="000000"/>
                        <w:sz w:val="16"/>
                        <w:szCs w:val="16"/>
                      </w:rPr>
                    </w:pPr>
                    <w:r>
                      <w:rPr>
                        <w:color w:val="000000"/>
                        <w:sz w:val="16"/>
                        <w:szCs w:val="16"/>
                      </w:rPr>
                      <w:t>-</w:t>
                    </w:r>
                  </w:p>
                </w:tc>
                <w:tc>
                  <w:tcPr>
                    <w:tcW w:w="625" w:type="dxa"/>
                    <w:vMerge w:val="restart"/>
                  </w:tcPr>
                  <w:p>
                    <w:pPr>
                      <w:jc w:val="center"/>
                      <w:rPr>
                        <w:color w:val="000000"/>
                        <w:sz w:val="16"/>
                        <w:szCs w:val="16"/>
                      </w:rPr>
                    </w:pPr>
                    <w:r>
                      <w:rPr>
                        <w:color w:val="000000"/>
                        <w:sz w:val="16"/>
                        <w:szCs w:val="16"/>
                      </w:rPr>
                      <w:t>KPMPC</w:t>
                    </w:r>
                  </w:p>
                </w:tc>
                <w:tc>
                  <w:tcPr>
                    <w:tcW w:w="712" w:type="dxa"/>
                    <w:vMerge w:val="restart"/>
                  </w:tcPr>
                  <w:p>
                    <w:pPr>
                      <w:jc w:val="center"/>
                      <w:rPr>
                        <w:color w:val="000000"/>
                        <w:sz w:val="16"/>
                        <w:szCs w:val="16"/>
                      </w:rPr>
                    </w:pPr>
                    <w:r>
                      <w:rPr>
                        <w:color w:val="000000"/>
                        <w:sz w:val="16"/>
                        <w:szCs w:val="16"/>
                      </w:rPr>
                      <w:t>P</w:t>
                    </w:r>
                  </w:p>
                </w:tc>
                <w:tc>
                  <w:tcPr>
                    <w:tcW w:w="774" w:type="dxa"/>
                    <w:vMerge w:val="restart"/>
                  </w:tcPr>
                  <w:p>
                    <w:pPr>
                      <w:jc w:val="center"/>
                      <w:rPr>
                        <w:sz w:val="16"/>
                        <w:szCs w:val="16"/>
                      </w:rPr>
                    </w:pPr>
                    <w:r>
                      <w:rPr>
                        <w:sz w:val="16"/>
                        <w:szCs w:val="16"/>
                      </w:rPr>
                      <w:t>LG</w:t>
                    </w:r>
                  </w:p>
                </w:tc>
                <w:tc>
                  <w:tcPr>
                    <w:tcW w:w="544" w:type="dxa"/>
                    <w:vMerge w:val="restart"/>
                  </w:tcPr>
                  <w:p>
                    <w:pPr>
                      <w:jc w:val="center"/>
                      <w:rPr>
                        <w:sz w:val="16"/>
                        <w:szCs w:val="16"/>
                      </w:rPr>
                    </w:pPr>
                  </w:p>
                </w:tc>
                <w:tc>
                  <w:tcPr>
                    <w:tcW w:w="933" w:type="dxa"/>
                    <w:vMerge w:val="restart"/>
                  </w:tcPr>
                  <w:p>
                    <w:pPr>
                      <w:jc w:val="center"/>
                      <w:rPr>
                        <w:color w:val="000000"/>
                        <w:sz w:val="16"/>
                        <w:szCs w:val="16"/>
                      </w:rPr>
                    </w:pPr>
                    <w:r>
                      <w:rPr>
                        <w:bCs/>
                        <w:sz w:val="16"/>
                        <w:szCs w:val="16"/>
                      </w:rPr>
                      <w:t>955 414</w:t>
                    </w:r>
                  </w:p>
                </w:tc>
                <w:tc>
                  <w:tcPr>
                    <w:tcW w:w="707" w:type="dxa"/>
                    <w:vMerge w:val="restart"/>
                  </w:tcPr>
                  <w:p>
                    <w:pPr>
                      <w:rPr>
                        <w:bCs/>
                        <w:sz w:val="16"/>
                        <w:szCs w:val="16"/>
                      </w:rPr>
                    </w:pPr>
                    <w:r>
                      <w:rPr>
                        <w:sz w:val="16"/>
                        <w:szCs w:val="16"/>
                      </w:rPr>
                      <w:t>Antrojo Šveicarijos įnašo finansinės paramos lėšos</w:t>
                    </w:r>
                  </w:p>
                </w:tc>
                <w:tc>
                  <w:tcPr>
                    <w:tcW w:w="843" w:type="dxa"/>
                    <w:vMerge w:val="restart"/>
                  </w:tcPr>
                  <w:p>
                    <w:pPr>
                      <w:jc w:val="center"/>
                      <w:rPr>
                        <w:color w:val="000000"/>
                        <w:sz w:val="16"/>
                        <w:szCs w:val="16"/>
                        <w:lang w:eastAsia="lt-LT"/>
                      </w:rPr>
                    </w:pPr>
                    <w:r>
                      <w:rPr>
                        <w:color w:val="000000"/>
                        <w:sz w:val="16"/>
                        <w:szCs w:val="16"/>
                        <w:lang w:eastAsia="lt-LT"/>
                      </w:rPr>
                      <w:t>-</w:t>
                    </w:r>
                  </w:p>
                </w:tc>
                <w:tc>
                  <w:tcPr>
                    <w:tcW w:w="1119" w:type="dxa"/>
                  </w:tcPr>
                  <w:p>
                    <w:pPr>
                      <w:rPr>
                        <w:sz w:val="16"/>
                        <w:szCs w:val="16"/>
                        <w:lang w:eastAsia="lt-LT"/>
                      </w:rPr>
                    </w:pPr>
                    <w:r>
                      <w:rPr>
                        <w:sz w:val="16"/>
                        <w:szCs w:val="16"/>
                        <w:lang w:eastAsia="lt-LT"/>
                      </w:rPr>
                      <w:t>R-12-003-03-04-03-26</w:t>
                    </w:r>
                  </w:p>
                  <w:p>
                    <w:pPr>
                      <w:rPr>
                        <w:b/>
                        <w:sz w:val="16"/>
                        <w:szCs w:val="16"/>
                        <w:lang w:eastAsia="lt-LT"/>
                      </w:rPr>
                    </w:pPr>
                    <w:r>
                      <w:rPr>
                        <w:bCs/>
                        <w:sz w:val="16"/>
                        <w:szCs w:val="16"/>
                        <w:lang w:eastAsia="lt-LT"/>
                      </w:rPr>
                      <w:t xml:space="preserve">Profesinio mokymo įstaigų, įgyvendinančių neformaliąsias profesinio mokymo programas trečiųjų šalių piliečiams, dalis, proc. </w:t>
                    </w:r>
                  </w:p>
                </w:tc>
                <w:tc>
                  <w:tcPr>
                    <w:tcW w:w="709" w:type="dxa"/>
                  </w:tcPr>
                  <w:p>
                    <w:pPr>
                      <w:jc w:val="center"/>
                      <w:rPr>
                        <w:color w:val="000000"/>
                        <w:sz w:val="16"/>
                        <w:szCs w:val="16"/>
                      </w:rPr>
                    </w:pPr>
                    <w:r>
                      <w:rPr>
                        <w:color w:val="000000"/>
                        <w:sz w:val="16"/>
                        <w:szCs w:val="16"/>
                      </w:rPr>
                      <w:t>10 proc. (2028 m.)</w:t>
                    </w:r>
                  </w:p>
                </w:tc>
                <w:tc>
                  <w:tcPr>
                    <w:tcW w:w="850" w:type="dxa"/>
                    <w:vMerge w:val="restart"/>
                  </w:tcPr>
                  <w:p>
                    <w:pPr>
                      <w:rPr>
                        <w:color w:val="000000"/>
                        <w:sz w:val="16"/>
                        <w:szCs w:val="16"/>
                      </w:rPr>
                    </w:pPr>
                    <w:r>
                      <w:rPr>
                        <w:color w:val="000000"/>
                        <w:sz w:val="16"/>
                        <w:szCs w:val="16"/>
                      </w:rPr>
                      <w:t>CPVA</w:t>
                    </w:r>
                  </w:p>
                </w:tc>
                <w:tc>
                  <w:tcPr>
                    <w:tcW w:w="753" w:type="dxa"/>
                    <w:gridSpan w:val="2"/>
                    <w:vMerge w:val="restart"/>
                  </w:tcPr>
                  <w:p>
                    <w:pPr>
                      <w:rPr>
                        <w:color w:val="000000"/>
                        <w:sz w:val="16"/>
                        <w:szCs w:val="16"/>
                      </w:rPr>
                    </w:pPr>
                    <w:r>
                      <w:rPr>
                        <w:color w:val="000000"/>
                        <w:sz w:val="16"/>
                        <w:szCs w:val="16"/>
                      </w:rPr>
                      <w:t>ŠMSM, UŽT, EIM</w:t>
                    </w:r>
                  </w:p>
                </w:tc>
              </w:tr>
              <w:tr>
                <w:tblPrEx>
                  <w:jc w:val="center"/>
                </w:tblPrEx>
                <w:trPr>
                  <w:trHeight w:val="210"/>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709" w:type="dxa"/>
                    <w:vMerge w:val="restart"/>
                  </w:tcPr>
                  <w:p>
                    <w:pPr>
                      <w:jc w:val="center"/>
                      <w:rPr>
                        <w:color w:val="000000"/>
                        <w:sz w:val="16"/>
                        <w:szCs w:val="16"/>
                      </w:rPr>
                    </w:pPr>
                    <w:r>
                      <w:rPr>
                        <w:color w:val="000000"/>
                        <w:sz w:val="16"/>
                        <w:szCs w:val="16"/>
                      </w:rPr>
                      <w:t>1 (2028 m.)</w:t>
                    </w:r>
                  </w:p>
                </w:tc>
                <w:tc>
                  <w:tcPr>
                    <w:tcW w:w="850" w:type="dxa"/>
                    <w:vMerge/>
                  </w:tcPr>
                  <w:p>
                    <w:pPr>
                      <w:rPr>
                        <w:color w:val="000000"/>
                        <w:sz w:val="16"/>
                        <w:szCs w:val="16"/>
                      </w:rPr>
                    </w:pPr>
                  </w:p>
                </w:tc>
                <w:tc>
                  <w:tcPr>
                    <w:tcW w:w="753" w:type="dxa"/>
                    <w:gridSpan w:val="2"/>
                    <w:vMerge/>
                  </w:tcPr>
                  <w:p>
                    <w:pPr>
                      <w:jc w:val="center"/>
                      <w:rPr>
                        <w:color w:val="000000"/>
                        <w:sz w:val="16"/>
                        <w:szCs w:val="16"/>
                      </w:rPr>
                    </w:pPr>
                  </w:p>
                </w:tc>
              </w:tr>
              <w:tr>
                <w:tblPrEx>
                  <w:jc w:val="center"/>
                </w:tblPrEx>
                <w:trPr>
                  <w:trHeight w:val="840"/>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val="restart"/>
                  </w:tcPr>
                  <w:p>
                    <w:pPr>
                      <w:jc w:val="center"/>
                      <w:rPr>
                        <w:color w:val="000000"/>
                        <w:sz w:val="16"/>
                        <w:szCs w:val="16"/>
                      </w:rPr>
                    </w:pPr>
                    <w:r>
                      <w:rPr>
                        <w:color w:val="000000"/>
                        <w:sz w:val="16"/>
                        <w:szCs w:val="16"/>
                      </w:rPr>
                      <w:t xml:space="preserve">168 603 </w:t>
                    </w:r>
                  </w:p>
                </w:tc>
                <w:tc>
                  <w:tcPr>
                    <w:tcW w:w="707" w:type="dxa"/>
                    <w:vMerge w:val="restart"/>
                  </w:tcPr>
                  <w:p>
                    <w:pPr>
                      <w:rPr>
                        <w:bCs/>
                        <w:sz w:val="16"/>
                        <w:szCs w:val="16"/>
                      </w:rPr>
                    </w:pPr>
                    <w:r>
                      <w:rPr>
                        <w:bCs/>
                        <w:sz w:val="16"/>
                        <w:szCs w:val="16"/>
                      </w:rPr>
                      <w:t>Antrojo Šveicarijos įnašo finansinės paramos bendrojo finansavimo lėšos</w:t>
                    </w:r>
                  </w:p>
                </w:tc>
                <w:tc>
                  <w:tcPr>
                    <w:tcW w:w="843" w:type="dxa"/>
                    <w:vMerge/>
                  </w:tcPr>
                  <w:p>
                    <w:pPr>
                      <w:rPr>
                        <w:color w:val="000000"/>
                        <w:sz w:val="16"/>
                        <w:szCs w:val="16"/>
                      </w:rPr>
                    </w:pPr>
                  </w:p>
                </w:tc>
                <w:tc>
                  <w:tcPr>
                    <w:tcW w:w="1119" w:type="dxa"/>
                    <w:vMerge/>
                  </w:tcPr>
                  <w:p>
                    <w:pPr>
                      <w:rPr>
                        <w:sz w:val="16"/>
                        <w:szCs w:val="16"/>
                        <w:lang w:eastAsia="lt-LT"/>
                      </w:rPr>
                    </w:pPr>
                  </w:p>
                </w:tc>
                <w:tc>
                  <w:tcPr>
                    <w:tcW w:w="709" w:type="dxa"/>
                    <w:vMerge/>
                  </w:tcPr>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429"/>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709" w:type="dxa"/>
                  </w:tcPr>
                  <w:p>
                    <w:pPr>
                      <w:jc w:val="center"/>
                      <w:rPr>
                        <w:color w:val="000000"/>
                        <w:sz w:val="16"/>
                        <w:szCs w:val="16"/>
                      </w:rPr>
                    </w:pPr>
                    <w:r>
                      <w:rPr>
                        <w:color w:val="000000"/>
                        <w:sz w:val="16"/>
                        <w:szCs w:val="16"/>
                      </w:rPr>
                      <w:t>2 (2028 m.)</w:t>
                    </w: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429"/>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709" w:type="dxa"/>
                  </w:tcPr>
                  <w:p>
                    <w:pPr>
                      <w:jc w:val="center"/>
                      <w:rPr>
                        <w:color w:val="000000"/>
                        <w:sz w:val="16"/>
                        <w:szCs w:val="16"/>
                      </w:rPr>
                    </w:pPr>
                    <w:r>
                      <w:rPr>
                        <w:color w:val="000000"/>
                        <w:sz w:val="16"/>
                        <w:szCs w:val="16"/>
                      </w:rPr>
                      <w:t>190 (2028 m.)</w:t>
                    </w:r>
                  </w:p>
                  <w:p>
                    <w:pPr>
                      <w:jc w:val="center"/>
                      <w:rPr>
                        <w:color w:val="000000"/>
                        <w:sz w:val="16"/>
                        <w:szCs w:val="16"/>
                      </w:rPr>
                    </w:pP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429"/>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709" w:type="dxa"/>
                  </w:tcPr>
                  <w:p>
                    <w:pPr>
                      <w:jc w:val="center"/>
                      <w:rPr>
                        <w:color w:val="000000"/>
                        <w:sz w:val="16"/>
                        <w:szCs w:val="16"/>
                      </w:rPr>
                    </w:pPr>
                    <w:r>
                      <w:rPr>
                        <w:color w:val="000000"/>
                        <w:sz w:val="16"/>
                        <w:szCs w:val="16"/>
                      </w:rPr>
                      <w:t>10 (2028 m.)</w:t>
                    </w: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429"/>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709" w:type="dxa"/>
                  </w:tcPr>
                  <w:p>
                    <w:pPr>
                      <w:jc w:val="center"/>
                      <w:rPr>
                        <w:color w:val="000000"/>
                        <w:sz w:val="16"/>
                        <w:szCs w:val="16"/>
                      </w:rPr>
                    </w:pPr>
                    <w:r>
                      <w:rPr>
                        <w:color w:val="000000"/>
                        <w:sz w:val="16"/>
                        <w:szCs w:val="16"/>
                      </w:rPr>
                      <w:t>5</w:t>
                    </w: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r>
                <w:tblPrEx>
                  <w:jc w:val="center"/>
                </w:tblPrEx>
                <w:trPr>
                  <w:trHeight w:val="429"/>
                  <w:jc w:val="center"/>
                </w:trPr>
                <w:tc>
                  <w:tcPr>
                    <w:tcW w:w="673" w:type="dxa"/>
                    <w:vMerge/>
                  </w:tcPr>
                  <w:p>
                    <w:pPr>
                      <w:rPr>
                        <w:color w:val="000000"/>
                        <w:sz w:val="16"/>
                        <w:szCs w:val="16"/>
                      </w:rPr>
                    </w:pPr>
                  </w:p>
                </w:tc>
                <w:tc>
                  <w:tcPr>
                    <w:tcW w:w="578" w:type="dxa"/>
                    <w:vMerge/>
                  </w:tcPr>
                  <w:p>
                    <w:pPr>
                      <w:jc w:val="center"/>
                      <w:rPr>
                        <w:color w:val="000000"/>
                        <w:sz w:val="16"/>
                        <w:szCs w:val="16"/>
                      </w:rPr>
                    </w:pPr>
                  </w:p>
                </w:tc>
                <w:tc>
                  <w:tcPr>
                    <w:tcW w:w="625" w:type="dxa"/>
                    <w:vMerge/>
                  </w:tcPr>
                  <w:p>
                    <w:pPr>
                      <w:jc w:val="center"/>
                      <w:rPr>
                        <w:color w:val="000000"/>
                        <w:sz w:val="16"/>
                        <w:szCs w:val="16"/>
                      </w:rPr>
                    </w:pPr>
                  </w:p>
                </w:tc>
                <w:tc>
                  <w:tcPr>
                    <w:tcW w:w="712" w:type="dxa"/>
                    <w:vMerge/>
                  </w:tcPr>
                  <w:p>
                    <w:pPr>
                      <w:jc w:val="center"/>
                      <w:rPr>
                        <w:color w:val="000000"/>
                        <w:sz w:val="16"/>
                        <w:szCs w:val="16"/>
                      </w:rPr>
                    </w:pPr>
                  </w:p>
                </w:tc>
                <w:tc>
                  <w:tcPr>
                    <w:tcW w:w="774" w:type="dxa"/>
                    <w:vMerge/>
                  </w:tcPr>
                  <w:p>
                    <w:pPr>
                      <w:jc w:val="center"/>
                      <w:rPr>
                        <w:sz w:val="16"/>
                        <w:szCs w:val="16"/>
                      </w:rPr>
                    </w:pPr>
                  </w:p>
                </w:tc>
                <w:tc>
                  <w:tcPr>
                    <w:tcW w:w="544" w:type="dxa"/>
                    <w:vMerge/>
                  </w:tcPr>
                  <w:p>
                    <w:pPr>
                      <w:jc w:val="center"/>
                      <w:rPr>
                        <w:sz w:val="16"/>
                        <w:szCs w:val="16"/>
                      </w:rPr>
                    </w:pPr>
                  </w:p>
                </w:tc>
                <w:tc>
                  <w:tcPr>
                    <w:tcW w:w="933" w:type="dxa"/>
                    <w:vMerge/>
                  </w:tcPr>
                  <w:p>
                    <w:pPr>
                      <w:jc w:val="center"/>
                      <w:rPr>
                        <w:color w:val="000000"/>
                        <w:sz w:val="16"/>
                        <w:szCs w:val="16"/>
                      </w:rPr>
                    </w:pPr>
                  </w:p>
                </w:tc>
                <w:tc>
                  <w:tcPr>
                    <w:tcW w:w="707" w:type="dxa"/>
                    <w:vMerge/>
                  </w:tcPr>
                  <w:p>
                    <w:pPr>
                      <w:rPr>
                        <w:bCs/>
                        <w:sz w:val="16"/>
                        <w:szCs w:val="16"/>
                      </w:rPr>
                    </w:pPr>
                  </w:p>
                </w:tc>
                <w:tc>
                  <w:tcPr>
                    <w:tcW w:w="843" w:type="dxa"/>
                    <w:vMerge/>
                  </w:tcPr>
                  <w:p>
                    <w:pPr>
                      <w:rPr>
                        <w:color w:val="000000"/>
                        <w:sz w:val="16"/>
                        <w:szCs w:val="16"/>
                      </w:rPr>
                    </w:pPr>
                  </w:p>
                </w:tc>
                <w:tc>
                  <w:tcPr>
                    <w:tcW w:w="1119" w:type="dxa"/>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709" w:type="dxa"/>
                  </w:tcPr>
                  <w:p>
                    <w:pPr>
                      <w:jc w:val="center"/>
                      <w:rPr>
                        <w:color w:val="000000"/>
                        <w:sz w:val="16"/>
                        <w:szCs w:val="16"/>
                      </w:rPr>
                    </w:pPr>
                    <w:r>
                      <w:rPr>
                        <w:color w:val="000000"/>
                        <w:sz w:val="16"/>
                        <w:szCs w:val="16"/>
                      </w:rPr>
                      <w:t>50</w:t>
                    </w:r>
                  </w:p>
                </w:tc>
                <w:tc>
                  <w:tcPr>
                    <w:tcW w:w="850" w:type="dxa"/>
                    <w:vMerge/>
                  </w:tcPr>
                  <w:p>
                    <w:pPr>
                      <w:jc w:val="center"/>
                      <w:rPr>
                        <w:color w:val="000000"/>
                        <w:sz w:val="16"/>
                        <w:szCs w:val="16"/>
                      </w:rPr>
                    </w:pPr>
                  </w:p>
                </w:tc>
                <w:tc>
                  <w:tcPr>
                    <w:tcW w:w="753" w:type="dxa"/>
                    <w:gridSpan w:val="2"/>
                    <w:vMerge/>
                  </w:tcPr>
                  <w:p>
                    <w:pPr>
                      <w:jc w:val="center"/>
                      <w:rPr>
                        <w:color w:val="000000"/>
                        <w:sz w:val="16"/>
                        <w:szCs w:val="16"/>
                      </w:rPr>
                    </w:pPr>
                  </w:p>
                </w:tc>
              </w:tr>
            </w:tbl>
            <w:p>
              <w:pPr>
                <w:tabs>
                  <w:tab w:val="left" w:pos="1560"/>
                </w:tabs>
                <w:jc w:val="both"/>
                <w:rPr>
                  <w:sz w:val="18"/>
                  <w:szCs w:val="18"/>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V-729)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V-564)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772DAE10"/>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oter" Target="footer6.xml"/>
  <Relationship Id="rId16" Type="http://schemas.openxmlformats.org/officeDocument/2006/relationships/footnotes" Target="footnotes.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header" Target="header32.xml"/>
  <Relationship Id="rId20" Type="http://schemas.openxmlformats.org/officeDocument/2006/relationships/numbering" Target="numbering.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2.png"/>
  <Relationship Id="rId26" Type="http://schemas.openxmlformats.org/officeDocument/2006/relationships/header" Target="header64.xml"/>
  <Relationship Id="rId27" Type="http://schemas.openxmlformats.org/officeDocument/2006/relationships/header" Target="header65.xml"/>
  <Relationship Id="rId28" Type="http://schemas.openxmlformats.org/officeDocument/2006/relationships/footer" Target="footer64.xml"/>
  <Relationship Id="rId29" Type="http://schemas.openxmlformats.org/officeDocument/2006/relationships/footer" Target="footer65.xml"/>
  <Relationship Id="rId3" Type="http://schemas.openxmlformats.org/officeDocument/2006/relationships/footer" Target="footer31.xml"/>
  <Relationship Id="rId30" Type="http://schemas.openxmlformats.org/officeDocument/2006/relationships/header" Target="header66.xml"/>
  <Relationship Id="rId31" Type="http://schemas.openxmlformats.org/officeDocument/2006/relationships/footer" Target="footer66.xml"/>
  <Relationship Id="rId32" Type="http://schemas.openxmlformats.org/officeDocument/2006/relationships/customXml" Target="../customXml/item4.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55b71878e46d43c0b6901a73e5e7b752"/>
    <Part Type="skyrius" Nr="2" Title="PLĖTROS PROGRAMOS PAŽANGOS PRIEMONĖS FINANSAVIMO PLANAS" DocPartId="a0355a005a7e4a72a0dbc7d66836bca8" PartId="b96c9d2f4f004b88a3f725fbd9321b55"/>
    <Part Type="skyrius" Nr="3" Title="PLĖTROS PROGRAMOS PAŽANGOS PRIEMONĖS VEIKLŲ SUVESTINĖ" DocPartId="6d47f64dbc8943e18de9f70910bdf082" PartId="7cfbd18dc71d4dcb909754a3c9538eb8"/>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69F6634-2E92-4F64-A097-04E91660788C}">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FEB32F68-B991-4244-BC94-98A79D1B49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28</Pages>
  <Words>5309</Words>
  <Characters>34386</Characters>
  <Application>Microsoft Office Word</Application>
  <DocSecurity>0</DocSecurity>
  <Lines>286</Lines>
  <Paragraphs>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39616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GUMBYTĖ Danguolė</lastModifiedBy>
  <lastPrinted>2010-02-18T07:54:00Z</lastPrinted>
  <dcterms:modified xsi:type="dcterms:W3CDTF">2025-07-23T08:11:00Z</dcterms:modified>
  <revision>22</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