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2023-07-06 iki 2023-11-08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9d323bebd1346a1b976839cf41e668b"/>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9d323bebd1346a1b976839cf41e668b"/>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ce746023d25e40bfab4546e28da136c0"/>
            <w:lock w:val="sdtLocked"/>
            <w:richText/>
          </w:sdtPr>
          <w:sdtContent>
            <w:p>
              <w:pPr>
                <w:jc w:val="center"/>
                <w:rPr>
                  <w:b/>
                  <w:bCs/>
                </w:rPr>
              </w:pPr>
              <w:sdt>
                <w:sdtPr>
                  <w:alias w:val="Numeris"/>
                  <w:tag w:val="nr_ce746023d25e40bfab4546e28da136c0"/>
                  <w:lock w:val="sdtLocked"/>
                  <w:richText/>
                </w:sdtPr>
                <w:sdtContent>
                  <w:r>
                    <w:rPr>
                      <w:b/>
                      <w:bCs/>
                    </w:rPr>
                    <w:t>III</w:t>
                  </w:r>
                </w:sdtContent>
              </w:sdt>
              <w:r>
                <w:rPr>
                  <w:b/>
                  <w:bCs/>
                </w:rPr>
                <w:t xml:space="preserve"> SKYRIUS</w:t>
              </w:r>
            </w:p>
            <w:p>
              <w:pPr>
                <w:jc w:val="center"/>
                <w:rPr>
                  <w:b/>
                  <w:bCs/>
                </w:rPr>
              </w:pPr>
              <w:sdt>
                <w:sdtPr>
                  <w:alias w:val="Pavadinimas"/>
                  <w:tag w:val="title_ce746023d25e40bfab4546e28da136c0"/>
                  <w:lock w:val="sdtLocked"/>
                  <w:richText/>
                </w:sdtPr>
                <w:sdtContent>
                  <w:r>
                    <w:rPr>
                      <w:b/>
                      <w:bCs/>
                    </w:rPr>
                    <w:t>PLĖTROS PROGRAMOS PAŽANGOS PRIEMONĖS VEIKLŲ SUVESTINĖ</w:t>
                  </w:r>
                </w:sdtContent>
              </w:sdt>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030"/>
                <w:gridCol w:w="982"/>
                <w:gridCol w:w="764"/>
                <w:gridCol w:w="1013"/>
                <w:gridCol w:w="1040"/>
                <w:gridCol w:w="1043"/>
                <w:gridCol w:w="1248"/>
                <w:gridCol w:w="1844"/>
                <w:gridCol w:w="1535"/>
                <w:gridCol w:w="1306"/>
                <w:gridCol w:w="1069"/>
              </w:tblGrid>
              <w:tr>
                <w:trPr>
                  <w:trHeight w:val="1425"/>
                </w:trPr>
                <w:tc>
                  <w:tcPr>
                    <w:tcW w:w="613" w:type="pct"/>
                    <w:shd w:val="clear" w:color="auto" w:fill="auto"/>
                  </w:tcPr>
                  <w:p>
                    <w:pPr>
                      <w:ind w:left="-57" w:right="-57"/>
                      <w:jc w:val="center"/>
                      <w:rPr>
                        <w:b/>
                        <w:sz w:val="16"/>
                        <w:szCs w:val="16"/>
                      </w:rPr>
                    </w:pPr>
                  </w:p>
                  <w:p>
                    <w:pPr>
                      <w:ind w:left="-57" w:right="-57"/>
                      <w:jc w:val="center"/>
                      <w:rPr>
                        <w:b/>
                        <w:sz w:val="16"/>
                        <w:szCs w:val="16"/>
                      </w:rPr>
                    </w:pPr>
                  </w:p>
                  <w:p>
                    <w:pPr>
                      <w:ind w:left="324" w:right="-57"/>
                      <w:jc w:val="center"/>
                      <w:rPr>
                        <w:b/>
                        <w:sz w:val="16"/>
                        <w:szCs w:val="16"/>
                      </w:rPr>
                    </w:pPr>
                    <w:r>
                      <w:rPr>
                        <w:b/>
                        <w:sz w:val="16"/>
                        <w:szCs w:val="16"/>
                      </w:rPr>
                      <w:t>Veikla</w:t>
                    </w:r>
                  </w:p>
                </w:tc>
                <w:tc>
                  <w:tcPr>
                    <w:tcW w:w="38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33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lang w:val="en-US"/>
                      </w:rPr>
                    </w:pPr>
                    <w:r>
                      <w:rPr>
                        <w:b/>
                        <w:sz w:val="16"/>
                        <w:szCs w:val="16"/>
                      </w:rPr>
                      <w:t>Finansavimo suma (tūkst. eurų)</w:t>
                    </w:r>
                  </w:p>
                </w:tc>
                <w:tc>
                  <w:tcPr>
                    <w:tcW w:w="334"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666"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56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7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613" w:type="pct"/>
                    <w:shd w:val="clear" w:color="auto" w:fill="auto"/>
                  </w:tcPr>
                  <w:p>
                    <w:pPr>
                      <w:ind w:left="-57" w:right="-57"/>
                      <w:jc w:val="center"/>
                      <w:rPr>
                        <w:b/>
                        <w:sz w:val="16"/>
                        <w:szCs w:val="16"/>
                      </w:rPr>
                    </w:pPr>
                    <w:r>
                      <w:rPr>
                        <w:b/>
                        <w:sz w:val="16"/>
                        <w:szCs w:val="16"/>
                      </w:rPr>
                      <w:t>1</w:t>
                    </w:r>
                  </w:p>
                </w:tc>
                <w:tc>
                  <w:tcPr>
                    <w:tcW w:w="387" w:type="pct"/>
                    <w:shd w:val="clear" w:color="auto" w:fill="auto"/>
                  </w:tcPr>
                  <w:p>
                    <w:pPr>
                      <w:ind w:left="-57" w:right="-57"/>
                      <w:jc w:val="center"/>
                      <w:rPr>
                        <w:b/>
                        <w:sz w:val="16"/>
                        <w:szCs w:val="16"/>
                      </w:rPr>
                    </w:pPr>
                    <w:r>
                      <w:rPr>
                        <w:b/>
                        <w:sz w:val="16"/>
                        <w:szCs w:val="16"/>
                      </w:rPr>
                      <w:t>2</w:t>
                    </w:r>
                  </w:p>
                </w:tc>
                <w:tc>
                  <w:tcPr>
                    <w:tcW w:w="267" w:type="pct"/>
                    <w:shd w:val="clear" w:color="auto" w:fill="auto"/>
                  </w:tcPr>
                  <w:p>
                    <w:pPr>
                      <w:ind w:left="-57" w:right="-57"/>
                      <w:jc w:val="center"/>
                      <w:rPr>
                        <w:b/>
                        <w:sz w:val="16"/>
                        <w:szCs w:val="16"/>
                      </w:rPr>
                    </w:pPr>
                    <w:r>
                      <w:rPr>
                        <w:b/>
                        <w:sz w:val="16"/>
                        <w:szCs w:val="16"/>
                      </w:rPr>
                      <w:t>3</w:t>
                    </w:r>
                  </w:p>
                </w:tc>
                <w:tc>
                  <w:tcPr>
                    <w:tcW w:w="267" w:type="pct"/>
                    <w:shd w:val="clear" w:color="auto" w:fill="auto"/>
                  </w:tcPr>
                  <w:p>
                    <w:pPr>
                      <w:ind w:left="-57" w:right="-57"/>
                      <w:jc w:val="center"/>
                      <w:rPr>
                        <w:b/>
                        <w:sz w:val="16"/>
                        <w:szCs w:val="16"/>
                      </w:rPr>
                    </w:pPr>
                    <w:r>
                      <w:rPr>
                        <w:b/>
                        <w:sz w:val="16"/>
                        <w:szCs w:val="16"/>
                      </w:rPr>
                      <w:t>4</w:t>
                    </w:r>
                  </w:p>
                </w:tc>
                <w:tc>
                  <w:tcPr>
                    <w:tcW w:w="400" w:type="pct"/>
                    <w:shd w:val="clear" w:color="auto" w:fill="auto"/>
                  </w:tcPr>
                  <w:p>
                    <w:pPr>
                      <w:ind w:left="-57" w:right="-57"/>
                      <w:jc w:val="center"/>
                      <w:rPr>
                        <w:b/>
                        <w:sz w:val="16"/>
                        <w:szCs w:val="16"/>
                      </w:rPr>
                    </w:pPr>
                    <w:r>
                      <w:rPr>
                        <w:b/>
                        <w:sz w:val="16"/>
                        <w:szCs w:val="16"/>
                      </w:rPr>
                      <w:t>5</w:t>
                    </w:r>
                  </w:p>
                </w:tc>
                <w:tc>
                  <w:tcPr>
                    <w:tcW w:w="333" w:type="pct"/>
                    <w:shd w:val="clear" w:color="auto" w:fill="auto"/>
                  </w:tcPr>
                  <w:p>
                    <w:pPr>
                      <w:ind w:left="-57" w:right="-57"/>
                      <w:jc w:val="center"/>
                      <w:rPr>
                        <w:b/>
                        <w:sz w:val="16"/>
                        <w:szCs w:val="16"/>
                      </w:rPr>
                    </w:pPr>
                    <w:r>
                      <w:rPr>
                        <w:b/>
                        <w:sz w:val="16"/>
                        <w:szCs w:val="16"/>
                      </w:rPr>
                      <w:t>6</w:t>
                    </w:r>
                  </w:p>
                </w:tc>
                <w:tc>
                  <w:tcPr>
                    <w:tcW w:w="400" w:type="pct"/>
                    <w:shd w:val="clear" w:color="auto" w:fill="auto"/>
                  </w:tcPr>
                  <w:p>
                    <w:pPr>
                      <w:ind w:left="-57" w:right="-57"/>
                      <w:jc w:val="center"/>
                      <w:rPr>
                        <w:b/>
                        <w:sz w:val="16"/>
                        <w:szCs w:val="16"/>
                      </w:rPr>
                    </w:pPr>
                    <w:r>
                      <w:rPr>
                        <w:b/>
                        <w:sz w:val="16"/>
                        <w:szCs w:val="16"/>
                      </w:rPr>
                      <w:t>7</w:t>
                    </w:r>
                  </w:p>
                </w:tc>
                <w:tc>
                  <w:tcPr>
                    <w:tcW w:w="334" w:type="pct"/>
                    <w:shd w:val="clear" w:color="auto" w:fill="auto"/>
                  </w:tcPr>
                  <w:p>
                    <w:pPr>
                      <w:ind w:left="-57" w:right="-57"/>
                      <w:jc w:val="center"/>
                      <w:rPr>
                        <w:b/>
                        <w:sz w:val="16"/>
                        <w:szCs w:val="16"/>
                      </w:rPr>
                    </w:pPr>
                    <w:r>
                      <w:rPr>
                        <w:b/>
                        <w:sz w:val="16"/>
                        <w:szCs w:val="16"/>
                      </w:rPr>
                      <w:t>8</w:t>
                    </w:r>
                  </w:p>
                </w:tc>
                <w:tc>
                  <w:tcPr>
                    <w:tcW w:w="666" w:type="pct"/>
                    <w:shd w:val="clear" w:color="auto" w:fill="auto"/>
                  </w:tcPr>
                  <w:p>
                    <w:pPr>
                      <w:ind w:left="-57" w:right="-57"/>
                      <w:jc w:val="center"/>
                      <w:rPr>
                        <w:b/>
                        <w:sz w:val="16"/>
                        <w:szCs w:val="16"/>
                      </w:rPr>
                    </w:pPr>
                    <w:r>
                      <w:rPr>
                        <w:b/>
                        <w:sz w:val="16"/>
                        <w:szCs w:val="16"/>
                      </w:rPr>
                      <w:t>9</w:t>
                    </w:r>
                  </w:p>
                </w:tc>
                <w:tc>
                  <w:tcPr>
                    <w:tcW w:w="560" w:type="pct"/>
                    <w:shd w:val="clear" w:color="auto" w:fill="auto"/>
                  </w:tcPr>
                  <w:p>
                    <w:pPr>
                      <w:ind w:left="-57" w:right="-57"/>
                      <w:jc w:val="center"/>
                      <w:rPr>
                        <w:b/>
                        <w:sz w:val="16"/>
                        <w:szCs w:val="16"/>
                      </w:rPr>
                    </w:pPr>
                    <w:r>
                      <w:rPr>
                        <w:b/>
                        <w:sz w:val="16"/>
                        <w:szCs w:val="16"/>
                      </w:rPr>
                      <w:t>10</w:t>
                    </w:r>
                  </w:p>
                </w:tc>
                <w:tc>
                  <w:tcPr>
                    <w:tcW w:w="373" w:type="pct"/>
                    <w:shd w:val="clear" w:color="auto" w:fill="auto"/>
                  </w:tcPr>
                  <w:p>
                    <w:pPr>
                      <w:ind w:left="-57" w:right="-57"/>
                      <w:jc w:val="center"/>
                      <w:rPr>
                        <w:b/>
                        <w:sz w:val="16"/>
                        <w:szCs w:val="16"/>
                      </w:rPr>
                    </w:pPr>
                    <w:r>
                      <w:rPr>
                        <w:b/>
                        <w:sz w:val="16"/>
                        <w:szCs w:val="16"/>
                      </w:rPr>
                      <w:t>11</w:t>
                    </w:r>
                  </w:p>
                </w:tc>
                <w:tc>
                  <w:tcPr>
                    <w:tcW w:w="400" w:type="pct"/>
                    <w:shd w:val="clear" w:color="auto" w:fill="auto"/>
                  </w:tcPr>
                  <w:p>
                    <w:pPr>
                      <w:ind w:left="-57" w:right="-57"/>
                      <w:jc w:val="center"/>
                      <w:rPr>
                        <w:b/>
                        <w:sz w:val="16"/>
                        <w:szCs w:val="16"/>
                      </w:rPr>
                    </w:pPr>
                    <w:r>
                      <w:rPr>
                        <w:b/>
                        <w:sz w:val="16"/>
                        <w:szCs w:val="16"/>
                      </w:rPr>
                      <w:t>12</w:t>
                    </w:r>
                  </w:p>
                </w:tc>
              </w:tr>
              <w:tr>
                <w:trPr>
                  <w:trHeight w:val="458"/>
                </w:trPr>
                <w:tc>
                  <w:tcPr>
                    <w:tcW w:w="613"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pPr>
                      <w:ind w:left="-57" w:right="-57"/>
                      <w:rPr>
                        <w:sz w:val="18"/>
                        <w:szCs w:val="18"/>
                      </w:rPr>
                    </w:pPr>
                    <w:r>
                      <w:rPr>
                        <w:sz w:val="18"/>
                        <w:szCs w:val="18"/>
                      </w:rPr>
                      <w:t>R</w:t>
                    </w:r>
                  </w:p>
                </w:tc>
                <w:tc>
                  <w:tcPr>
                    <w:tcW w:w="267" w:type="pct"/>
                    <w:vMerge w:val="restart"/>
                  </w:tcPr>
                  <w:p>
                    <w:pPr>
                      <w:ind w:left="-57" w:right="-57"/>
                      <w:rPr>
                        <w:sz w:val="18"/>
                        <w:szCs w:val="18"/>
                      </w:rPr>
                    </w:pPr>
                    <w:r>
                      <w:rPr>
                        <w:sz w:val="18"/>
                        <w:szCs w:val="18"/>
                      </w:rPr>
                      <w:t>-</w:t>
                    </w:r>
                  </w:p>
                </w:tc>
                <w:tc>
                  <w:tcPr>
                    <w:tcW w:w="267"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w:t>
                    </w:r>
                  </w:p>
                </w:tc>
                <w:tc>
                  <w:tcPr>
                    <w:tcW w:w="334" w:type="pct"/>
                    <w:vMerge w:val="restart"/>
                  </w:tcPr>
                  <w:p>
                    <w:pPr>
                      <w:ind w:left="-57" w:right="-57"/>
                      <w:rPr>
                        <w:sz w:val="18"/>
                        <w:szCs w:val="18"/>
                      </w:rPr>
                    </w:pPr>
                    <w:r>
                      <w:rPr>
                        <w:sz w:val="18"/>
                        <w:szCs w:val="18"/>
                      </w:rPr>
                      <w:t>-</w:t>
                    </w:r>
                  </w:p>
                </w:tc>
                <w:tc>
                  <w:tcPr>
                    <w:tcW w:w="666"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560" w:type="pct"/>
                  </w:tcPr>
                  <w:p>
                    <w:pPr>
                      <w:ind w:left="-57" w:right="-57"/>
                      <w:rPr>
                        <w:sz w:val="18"/>
                        <w:szCs w:val="18"/>
                      </w:rPr>
                    </w:pPr>
                    <w:r>
                      <w:rPr>
                        <w:sz w:val="18"/>
                        <w:szCs w:val="18"/>
                        <w:lang w:val="en-GB"/>
                      </w:rPr>
                      <w:t>1</w:t>
                    </w:r>
                    <w:r>
                      <w:rPr>
                        <w:color w:val="000000"/>
                        <w:sz w:val="20"/>
                      </w:rPr>
                      <w:t>(2022 m.)</w:t>
                    </w:r>
                  </w:p>
                </w:tc>
                <w:tc>
                  <w:tcPr>
                    <w:tcW w:w="373" w:type="pct"/>
                    <w:vMerge w:val="restart"/>
                  </w:tcPr>
                  <w:p>
                    <w:pPr>
                      <w:ind w:left="-57" w:right="-57"/>
                      <w:rPr>
                        <w:sz w:val="18"/>
                        <w:szCs w:val="18"/>
                      </w:rPr>
                    </w:pPr>
                    <w:r>
                      <w:rPr>
                        <w:color w:val="000000"/>
                        <w:sz w:val="20"/>
                      </w:rPr>
                      <w:t>ŠMSM</w:t>
                    </w:r>
                  </w:p>
                </w:tc>
                <w:tc>
                  <w:tcPr>
                    <w:tcW w:w="400" w:type="pct"/>
                    <w:vMerge w:val="restart"/>
                  </w:tcPr>
                  <w:p>
                    <w:pPr>
                      <w:ind w:left="-57" w:right="-57"/>
                      <w:rPr>
                        <w:sz w:val="18"/>
                        <w:szCs w:val="18"/>
                      </w:rPr>
                    </w:pPr>
                    <w:r>
                      <w:rPr>
                        <w:color w:val="000000"/>
                        <w:sz w:val="20"/>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Nacionalinės profesinio mokymo pažangos platformos sukūrimą patvirtinančių teisės aktų įsigaliojimas</w:t>
                    </w:r>
                  </w:p>
                </w:tc>
                <w:tc>
                  <w:tcPr>
                    <w:tcW w:w="560" w:type="pct"/>
                  </w:tcPr>
                  <w:p>
                    <w:pPr>
                      <w:ind w:left="-57" w:right="-57"/>
                      <w:rPr>
                        <w:color w:val="000000"/>
                        <w:sz w:val="20"/>
                      </w:rPr>
                    </w:pPr>
                    <w:r>
                      <w:rPr>
                        <w:color w:val="000000"/>
                        <w:sz w:val="20"/>
                      </w:rPr>
                      <w:t xml:space="preserve">1 </w:t>
                    </w:r>
                  </w:p>
                  <w:p>
                    <w:pPr>
                      <w:ind w:left="-57" w:right="-57"/>
                      <w:rPr>
                        <w:sz w:val="18"/>
                        <w:szCs w:val="18"/>
                        <w:lang w:val="en-GB"/>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pPr>
                      <w:ind w:left="-57" w:right="-57"/>
                      <w:rPr>
                        <w:color w:val="000000"/>
                        <w:sz w:val="20"/>
                      </w:rPr>
                    </w:pPr>
                    <w:r>
                      <w:rPr>
                        <w:color w:val="000000"/>
                        <w:sz w:val="20"/>
                      </w:rPr>
                      <w:t>1</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color w:val="000000"/>
                        <w:sz w:val="20"/>
                      </w:rPr>
                    </w:pPr>
                    <w:r>
                      <w:rPr>
                        <w:color w:val="000000"/>
                        <w:sz w:val="20"/>
                      </w:rPr>
                      <w:t>P – Įsigalioję teisės aktai, kuriais nustatoma Paramos pameistrystei ir mokymuisi darbo vietoje schema</w:t>
                    </w:r>
                  </w:p>
                  <w:p>
                    <w:pPr>
                      <w:rPr>
                        <w:sz w:val="18"/>
                        <w:szCs w:val="18"/>
                      </w:rPr>
                    </w:pP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20"/>
                        <w:highlight w:val="cyan"/>
                      </w:rPr>
                    </w:pPr>
                  </w:p>
                </w:tc>
                <w:tc>
                  <w:tcPr>
                    <w:tcW w:w="666" w:type="pct"/>
                  </w:tcPr>
                  <w:p>
                    <w:pPr>
                      <w:rPr>
                        <w:color w:val="000000"/>
                        <w:sz w:val="20"/>
                        <w:highlight w:val="cyan"/>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458"/>
                </w:trPr>
                <w:tc>
                  <w:tcPr>
                    <w:tcW w:w="613" w:type="pct"/>
                    <w:vMerge w:val="restart"/>
                  </w:tcPr>
                  <w:p>
                    <w:pPr>
                      <w:ind w:left="-57" w:right="-57"/>
                      <w:rPr>
                        <w:i/>
                        <w:sz w:val="18"/>
                        <w:szCs w:val="18"/>
                      </w:rPr>
                    </w:pPr>
                    <w:r>
                      <w:rPr>
                        <w:color w:val="000000"/>
                        <w:sz w:val="20"/>
                        <w:lang w:val="es-ES"/>
                      </w:rPr>
                      <w:t xml:space="preserve">2.1. </w:t>
                    </w:r>
                    <w:r>
                      <w:rPr>
                        <w:sz w:val="20"/>
                      </w:rPr>
                      <w:t>Formaliojo profesinio mokymo programų atnaujinimas ir (ar) parengimas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 xml:space="preserve">1 900 </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color w:val="000000"/>
                        <w:sz w:val="20"/>
                      </w:rPr>
                      <w:t xml:space="preserve">399 </w:t>
                    </w:r>
                  </w:p>
                  <w:p>
                    <w:pPr>
                      <w:ind w:left="-57" w:right="-57"/>
                      <w:rPr>
                        <w:sz w:val="18"/>
                        <w:szCs w:val="18"/>
                      </w:rPr>
                    </w:pPr>
                  </w:p>
                </w:tc>
                <w:tc>
                  <w:tcPr>
                    <w:tcW w:w="334" w:type="pct"/>
                    <w:vMerge w:val="restart"/>
                  </w:tcPr>
                  <w:p>
                    <w:pPr>
                      <w:ind w:left="-57" w:right="-57"/>
                      <w:rPr>
                        <w:bCs/>
                        <w:sz w:val="20"/>
                      </w:rPr>
                    </w:pPr>
                    <w:r>
                      <w:rPr>
                        <w:sz w:val="20"/>
                      </w:rPr>
                      <w:t>Ekonomikos gaivinimo ir atsparumo didinimo priemonės lėšos (EGADP)</w:t>
                    </w:r>
                  </w:p>
                  <w:p>
                    <w:pPr>
                      <w:ind w:left="-57" w:right="-57"/>
                      <w:rPr>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left="-57" w:right="-57"/>
                      <w:rPr>
                        <w:color w:val="000000"/>
                        <w:sz w:val="20"/>
                      </w:rPr>
                    </w:pPr>
                    <w:r>
                      <w:rPr>
                        <w:color w:val="000000"/>
                        <w:sz w:val="20"/>
                      </w:rPr>
                      <w:t xml:space="preserve">1 000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color w:val="000000"/>
                        <w:sz w:val="20"/>
                        <w:lang w:val="es-ES"/>
                      </w:rPr>
                    </w:pPr>
                    <w:r>
                      <w:rPr>
                        <w:sz w:val="20"/>
                      </w:rPr>
                      <w:t>2.2. Profesijos mokytojų ir (arba) meistrų kompetencijų tobulinimas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3 100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651</w:t>
                    </w:r>
                  </w:p>
                </w:tc>
                <w:tc>
                  <w:tcPr>
                    <w:tcW w:w="334" w:type="pct"/>
                    <w:vMerge w:val="restart"/>
                  </w:tcPr>
                  <w:p>
                    <w:pPr>
                      <w:ind w:left="-57" w:right="-57"/>
                      <w:rPr>
                        <w:bCs/>
                        <w:sz w:val="20"/>
                      </w:rPr>
                    </w:pPr>
                    <w:r>
                      <w:rPr>
                        <w:sz w:val="20"/>
                      </w:rPr>
                      <w:t>Ekonomikos gaivinimo ir atsparumo didinimo priemonės lėšos (EGADP)</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right="-57"/>
                      <w:rPr>
                        <w:color w:val="000000"/>
                        <w:sz w:val="20"/>
                      </w:rPr>
                    </w:pPr>
                    <w:r>
                      <w:rPr>
                        <w:color w:val="000000"/>
                        <w:sz w:val="20"/>
                      </w:rPr>
                      <w:t xml:space="preserve">1 000 </w:t>
                    </w:r>
                  </w:p>
                  <w:p>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tcPr>
                  <w:p>
                    <w:pPr>
                      <w:ind w:left="-57" w:right="-57"/>
                      <w:rPr>
                        <w:sz w:val="18"/>
                        <w:szCs w:val="18"/>
                      </w:rPr>
                    </w:pPr>
                    <w:r>
                      <w:rPr>
                        <w:color w:val="000000"/>
                        <w:sz w:val="20"/>
                      </w:rPr>
                      <w:t>3. Priemonių bendrajam ugdymui ir profesiniam mokymui suartinti parengimas:</w:t>
                    </w: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TA</w:t>
                    </w:r>
                    <w:r>
                      <w:rPr>
                        <w:color w:val="000000"/>
                        <w:sz w:val="20"/>
                        <w:vertAlign w:val="superscript"/>
                      </w:rPr>
                      <w:footnoteReference w:id="1"/>
                    </w:r>
                    <w:r>
                      <w:rPr>
                        <w:color w:val="000000"/>
                        <w:sz w:val="20"/>
                      </w:rPr>
                      <w:t xml:space="preserve"> </w:t>
                    </w:r>
                  </w:p>
                </w:tc>
                <w:tc>
                  <w:tcPr>
                    <w:tcW w:w="400" w:type="pct"/>
                    <w:vMerge w:val="restart"/>
                  </w:tcPr>
                  <w:p>
                    <w:pPr>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1 960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560" w:type="pct"/>
                  </w:tcPr>
                  <w:p>
                    <w:pPr>
                      <w:ind w:left="-57" w:right="-57"/>
                      <w:rPr>
                        <w:color w:val="000000"/>
                        <w:sz w:val="20"/>
                      </w:rPr>
                    </w:pPr>
                    <w:r>
                      <w:rPr>
                        <w:color w:val="000000"/>
                        <w:sz w:val="20"/>
                      </w:rPr>
                      <w:t xml:space="preserve">4 900 </w:t>
                    </w:r>
                  </w:p>
                  <w:p>
                    <w:pPr>
                      <w:ind w:left="-57" w:right="-57"/>
                      <w:rPr>
                        <w:sz w:val="18"/>
                        <w:szCs w:val="18"/>
                        <w:lang w:val="en-GB"/>
                      </w:rPr>
                    </w:pPr>
                    <w:r>
                      <w:rPr>
                        <w:color w:val="000000"/>
                        <w:sz w:val="20"/>
                      </w:rPr>
                      <w:t>(</w:t>
                    </w:r>
                    <w:r>
                      <w:rPr>
                        <w:color w:val="000000"/>
                        <w:sz w:val="20"/>
                        <w:lang w:val="en-GB"/>
                      </w:rPr>
                      <w:t>2026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 SADM, EIM, ŽŪM</w:t>
                    </w: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560" w:type="pct"/>
                  </w:tcPr>
                  <w:p>
                    <w:pPr>
                      <w:ind w:left="-57" w:right="-57"/>
                      <w:rPr>
                        <w:color w:val="000000"/>
                        <w:sz w:val="20"/>
                      </w:rPr>
                    </w:pPr>
                    <w:r>
                      <w:rPr>
                        <w:color w:val="000000"/>
                        <w:sz w:val="20"/>
                      </w:rPr>
                      <w:t xml:space="preserve">4 900 </w:t>
                    </w:r>
                  </w:p>
                  <w:p>
                    <w:pPr>
                      <w:ind w:left="-57" w:right="-57"/>
                      <w:rPr>
                        <w:sz w:val="18"/>
                        <w:szCs w:val="18"/>
                      </w:rPr>
                    </w:pPr>
                    <w:r>
                      <w:rPr>
                        <w:color w:val="000000"/>
                        <w:sz w:val="20"/>
                      </w:rPr>
                      <w:t>(</w:t>
                    </w:r>
                    <w:r>
                      <w:rPr>
                        <w:color w:val="000000"/>
                        <w:sz w:val="20"/>
                        <w:lang w:val="en-GB"/>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 xml:space="preserve">n/a </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3.2. Eksperimentinių profesinio mokymo programų plėtojimas </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4 040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20"/>
                        <w:lang w:eastAsia="lt-LT"/>
                      </w:rPr>
                    </w:pPr>
                    <w:r>
                      <w:rPr>
                        <w:color w:val="000000"/>
                        <w:sz w:val="20"/>
                      </w:rPr>
                      <w:t xml:space="preserve">P – </w:t>
                    </w:r>
                    <w:r>
                      <w:rPr>
                        <w:sz w:val="20"/>
                        <w:lang w:eastAsia="lt-LT"/>
                      </w:rPr>
                      <w:t>Paramą gavę pagrindinio ugdymo programų mokiniai, besimokantys pagal eksperimentines profesinio mokymo programas</w:t>
                    </w:r>
                  </w:p>
                  <w:p>
                    <w:pPr>
                      <w:rPr>
                        <w:color w:val="000000"/>
                        <w:sz w:val="20"/>
                      </w:rPr>
                    </w:pPr>
                  </w:p>
                  <w:p>
                    <w:pPr>
                      <w:rPr>
                        <w:sz w:val="18"/>
                        <w:szCs w:val="18"/>
                      </w:rPr>
                    </w:pPr>
                  </w:p>
                </w:tc>
                <w:tc>
                  <w:tcPr>
                    <w:tcW w:w="560" w:type="pct"/>
                  </w:tcPr>
                  <w:p>
                    <w:pPr>
                      <w:ind w:right="-57"/>
                      <w:rPr>
                        <w:color w:val="000000"/>
                        <w:sz w:val="20"/>
                      </w:rPr>
                    </w:pPr>
                    <w:r>
                      <w:rPr>
                        <w:color w:val="000000"/>
                        <w:sz w:val="20"/>
                      </w:rPr>
                      <w:t xml:space="preserve">4 000 </w:t>
                    </w:r>
                  </w:p>
                  <w:p>
                    <w:pPr>
                      <w:ind w:right="-57"/>
                      <w:rPr>
                        <w:sz w:val="18"/>
                        <w:szCs w:val="18"/>
                      </w:rPr>
                    </w:pPr>
                    <w:r>
                      <w:rPr>
                        <w:color w:val="000000"/>
                        <w:sz w:val="20"/>
                      </w:rPr>
                      <w:t>(2026 m.)</w:t>
                    </w:r>
                  </w:p>
                </w:tc>
                <w:tc>
                  <w:tcPr>
                    <w:tcW w:w="373" w:type="pct"/>
                    <w:vMerge w:val="restart"/>
                  </w:tcPr>
                  <w:p>
                    <w:pPr>
                      <w:ind w:right="-57"/>
                      <w:rPr>
                        <w:sz w:val="18"/>
                        <w:szCs w:val="18"/>
                      </w:rPr>
                    </w:pPr>
                    <w:r>
                      <w:rPr>
                        <w:color w:val="000000"/>
                        <w:sz w:val="20"/>
                      </w:rPr>
                      <w:t>CPVA</w:t>
                    </w:r>
                  </w:p>
                </w:tc>
                <w:tc>
                  <w:tcPr>
                    <w:tcW w:w="400" w:type="pct"/>
                    <w:vMerge w:val="restart"/>
                  </w:tcPr>
                  <w:p>
                    <w:pPr>
                      <w:ind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color w:val="000000"/>
                        <w:sz w:val="20"/>
                      </w:rPr>
                    </w:pPr>
                    <w:r>
                      <w:rPr>
                        <w:sz w:val="20"/>
                        <w:lang w:eastAsia="lt-LT"/>
                      </w:rPr>
                      <w:t>Paramą gavę pagrindinio ugdymo programų mokiniai, besimokantys pagal eksperimentines profesinio mokymo programas</w:t>
                    </w:r>
                  </w:p>
                </w:tc>
                <w:tc>
                  <w:tcPr>
                    <w:tcW w:w="560" w:type="pct"/>
                  </w:tcPr>
                  <w:p>
                    <w:pPr>
                      <w:ind w:left="-57" w:right="-57"/>
                      <w:rPr>
                        <w:sz w:val="20"/>
                        <w:lang w:val="en-GB"/>
                      </w:rPr>
                    </w:pPr>
                    <w:r>
                      <w:rPr>
                        <w:sz w:val="20"/>
                        <w:lang w:val="en-GB"/>
                      </w:rPr>
                      <w:t xml:space="preserve">1050 </w:t>
                    </w:r>
                  </w:p>
                  <w:p>
                    <w:pPr>
                      <w:ind w:left="-57" w:right="-57"/>
                      <w:rPr>
                        <w:color w:val="000000"/>
                        <w:sz w:val="20"/>
                      </w:rPr>
                    </w:pPr>
                    <w:r>
                      <w:rPr>
                        <w:sz w:val="20"/>
                        <w:lang w:val="en-GB"/>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pPr>
                      <w:ind w:left="-57" w:right="-57"/>
                      <w:rPr>
                        <w:sz w:val="18"/>
                        <w:szCs w:val="18"/>
                      </w:rPr>
                    </w:pPr>
                    <w:r>
                      <w:rPr>
                        <w:color w:val="000000"/>
                        <w:sz w:val="20"/>
                      </w:rPr>
                      <w:t>M</w:t>
                    </w:r>
                  </w:p>
                </w:tc>
                <w:tc>
                  <w:tcPr>
                    <w:tcW w:w="267" w:type="pct"/>
                    <w:vMerge w:val="restart"/>
                  </w:tcPr>
                  <w:p>
                    <w:pPr>
                      <w:ind w:left="-57" w:right="-57"/>
                      <w:rPr>
                        <w:sz w:val="18"/>
                        <w:szCs w:val="18"/>
                      </w:rPr>
                    </w:pPr>
                    <w:r>
                      <w:rPr>
                        <w:color w:val="000000"/>
                        <w:sz w:val="20"/>
                      </w:rPr>
                      <w:t>ESFA ir profesinio mokymo įstaigos</w:t>
                    </w:r>
                  </w:p>
                </w:tc>
                <w:tc>
                  <w:tcPr>
                    <w:tcW w:w="267" w:type="pct"/>
                    <w:vMerge w:val="restart"/>
                  </w:tcPr>
                  <w:p>
                    <w:pPr>
                      <w:ind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color w:val="000000"/>
                        <w:sz w:val="20"/>
                      </w:rPr>
                    </w:pPr>
                    <w:r>
                      <w:rPr>
                        <w:color w:val="000000"/>
                        <w:sz w:val="20"/>
                      </w:rPr>
                      <w:t>19 000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105</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R – Profesinio mokymo įstaigų, organizuojančių profesinio mokymo programas pameistrystės forma, dalis (proc.)</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P – </w:t>
                    </w:r>
                    <w:r>
                      <w:rPr>
                        <w:sz w:val="20"/>
                        <w:lang w:eastAsia="lt-LT"/>
                      </w:rPr>
                      <w:t>Įgyvendintos profesinio mokymo programos pameistrystės forma</w:t>
                    </w:r>
                  </w:p>
                  <w:p>
                    <w:pPr>
                      <w:rPr>
                        <w:sz w:val="18"/>
                        <w:szCs w:val="18"/>
                      </w:rPr>
                    </w:pPr>
                  </w:p>
                </w:tc>
                <w:tc>
                  <w:tcPr>
                    <w:tcW w:w="560" w:type="pct"/>
                  </w:tcPr>
                  <w:p>
                    <w:pPr>
                      <w:ind w:left="-57" w:right="-57"/>
                      <w:rPr>
                        <w:color w:val="000000"/>
                        <w:sz w:val="20"/>
                      </w:rPr>
                    </w:pPr>
                    <w:r>
                      <w:rPr>
                        <w:color w:val="000000"/>
                        <w:sz w:val="20"/>
                      </w:rPr>
                      <w:t xml:space="preserve">3 866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right="-57"/>
                      <w:rPr>
                        <w:b/>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6 000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1 260</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560" w:type="pct"/>
                  </w:tcPr>
                  <w:p>
                    <w:pPr>
                      <w:ind w:left="-57" w:right="-57"/>
                      <w:rPr>
                        <w:color w:val="000000"/>
                        <w:sz w:val="20"/>
                      </w:rPr>
                    </w:pPr>
                    <w:r>
                      <w:rPr>
                        <w:color w:val="000000"/>
                        <w:sz w:val="20"/>
                      </w:rPr>
                      <w:t xml:space="preserve">12 394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rPr>
                    </w:pPr>
                    <w:r>
                      <w:rPr>
                        <w:color w:val="000000"/>
                        <w:sz w:val="20"/>
                      </w:rPr>
                      <w:t xml:space="preserve">R – </w:t>
                    </w:r>
                    <w:r>
                      <w:rPr>
                        <w:sz w:val="20"/>
                      </w:rPr>
                      <w:t>Švietimo ar mokymo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pPr>
                      <w:ind w:left="-57" w:right="-57"/>
                      <w:rPr>
                        <w:sz w:val="18"/>
                        <w:szCs w:val="18"/>
                      </w:rPr>
                    </w:pPr>
                  </w:p>
                </w:tc>
                <w:tc>
                  <w:tcPr>
                    <w:tcW w:w="267" w:type="pct"/>
                    <w:vAlign w:val="center"/>
                  </w:tcPr>
                  <w:p>
                    <w:pPr>
                      <w:ind w:left="-57" w:right="-57"/>
                      <w:rPr>
                        <w:sz w:val="18"/>
                        <w:szCs w:val="18"/>
                      </w:rPr>
                    </w:pPr>
                  </w:p>
                </w:tc>
                <w:tc>
                  <w:tcPr>
                    <w:tcW w:w="267" w:type="pct"/>
                    <w:vAlign w:val="center"/>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vAlign w:val="center"/>
                  </w:tcPr>
                  <w:p>
                    <w:pPr>
                      <w:ind w:left="-57" w:right="-57"/>
                      <w:rPr>
                        <w:sz w:val="18"/>
                        <w:szCs w:val="18"/>
                      </w:rPr>
                    </w:pPr>
                  </w:p>
                </w:tc>
                <w:tc>
                  <w:tcPr>
                    <w:tcW w:w="334" w:type="pct"/>
                    <w:vAlign w:val="center"/>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vAlign w:val="center"/>
                  </w:tcPr>
                  <w:p>
                    <w:pPr>
                      <w:ind w:left="-57" w:right="-57"/>
                      <w:rPr>
                        <w:sz w:val="18"/>
                        <w:szCs w:val="18"/>
                      </w:rPr>
                    </w:pPr>
                  </w:p>
                </w:tc>
                <w:tc>
                  <w:tcPr>
                    <w:tcW w:w="400" w:type="pct"/>
                    <w:vAlign w:val="center"/>
                  </w:tcPr>
                  <w:p>
                    <w:pPr>
                      <w:ind w:left="-57" w:right="-57"/>
                      <w:rPr>
                        <w:sz w:val="18"/>
                        <w:szCs w:val="18"/>
                      </w:rPr>
                    </w:pPr>
                  </w:p>
                </w:tc>
              </w:tr>
              <w:tr>
                <w:trPr>
                  <w:trHeight w:val="233"/>
                </w:trPr>
                <w:tc>
                  <w:tcPr>
                    <w:tcW w:w="613" w:type="pct"/>
                    <w:vMerge w:val="restart"/>
                  </w:tcPr>
                  <w:p>
                    <w:pPr>
                      <w:ind w:left="-57" w:right="-57"/>
                      <w:jc w:val="center"/>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477</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477</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 xml:space="preserve"> lėšos (ESF +, Sostinės regionas)</w:t>
                    </w:r>
                  </w:p>
                  <w:p>
                    <w:pPr>
                      <w:ind w:left="-57" w:right="-57"/>
                      <w:rPr>
                        <w:color w:val="000000"/>
                        <w:sz w:val="20"/>
                      </w:rPr>
                    </w:pPr>
                  </w:p>
                  <w:p>
                    <w:pPr>
                      <w:ind w:left="-57" w:right="-57"/>
                      <w:rPr>
                        <w:sz w:val="18"/>
                        <w:szCs w:val="18"/>
                      </w:rPr>
                    </w:pPr>
                    <w:r>
                      <w:rPr>
                        <w:bCs/>
                        <w:sz w:val="20"/>
                      </w:rPr>
                      <w:t>2021–2027 m. ES fondų bendrojo finansavimo lėšos (Sostinės regionas)</w:t>
                    </w:r>
                  </w:p>
                </w:tc>
                <w:tc>
                  <w:tcPr>
                    <w:tcW w:w="666"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ind w:left="-57" w:right="-57"/>
                      <w:jc w:val="cente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130 </w:t>
                    </w:r>
                  </w:p>
                  <w:p>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4 020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709</w:t>
                    </w:r>
                  </w:p>
                </w:tc>
                <w:tc>
                  <w:tcPr>
                    <w:tcW w:w="334" w:type="pct"/>
                    <w:vMerge w:val="restart"/>
                  </w:tcPr>
                  <w:p>
                    <w:pPr>
                      <w:rPr>
                        <w:color w:val="000000"/>
                        <w:sz w:val="20"/>
                      </w:rPr>
                    </w:pPr>
                    <w:r>
                      <w:rPr>
                        <w:rFonts w:eastAsia="Calibri"/>
                        <w:sz w:val="20"/>
                      </w:rPr>
                      <w:t xml:space="preserve">2021–2027 m. ES fondų </w:t>
                    </w:r>
                    <w:r>
                      <w:rPr>
                        <w:color w:val="000000"/>
                        <w:sz w:val="20"/>
                      </w:rPr>
                      <w:t>lėšos (ESF +, VVL regionas)</w:t>
                    </w:r>
                  </w:p>
                  <w:p>
                    <w:pPr>
                      <w:rPr>
                        <w:color w:val="000000"/>
                        <w:sz w:val="20"/>
                        <w:highlight w:val="yellow"/>
                      </w:rPr>
                    </w:pPr>
                  </w:p>
                  <w:p>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660 </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87" w:type="pct"/>
                    <w:vMerge w:val="restart"/>
                  </w:tcPr>
                  <w:p>
                    <w:pPr>
                      <w:ind w:left="-57" w:right="-57"/>
                      <w:rPr>
                        <w:sz w:val="18"/>
                        <w:szCs w:val="18"/>
                      </w:rPr>
                    </w:pPr>
                    <w:r>
                      <w:rPr>
                        <w:color w:val="000000"/>
                        <w:sz w:val="20"/>
                      </w:rPr>
                      <w:t>A, 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33 033</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5 829</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lėšos (ERPF; VVL regionas)</w:t>
                    </w:r>
                  </w:p>
                  <w:p>
                    <w:pPr>
                      <w:ind w:left="-57" w:right="-57"/>
                      <w:rPr>
                        <w:color w:val="000000"/>
                        <w:sz w:val="20"/>
                      </w:rPr>
                    </w:pPr>
                  </w:p>
                  <w:p>
                    <w:pPr>
                      <w:ind w:left="-57" w:right="-57"/>
                      <w:rPr>
                        <w:sz w:val="18"/>
                        <w:szCs w:val="18"/>
                      </w:rPr>
                    </w:pPr>
                    <w:r>
                      <w:rPr>
                        <w:bCs/>
                        <w:sz w:val="20"/>
                      </w:rPr>
                      <w:t>2021–2027 m. ES fondų bendrojo finansavimo lėšos (VVL regionas)</w:t>
                    </w:r>
                  </w:p>
                </w:tc>
                <w:tc>
                  <w:tcPr>
                    <w:tcW w:w="666" w:type="pct"/>
                  </w:tcPr>
                  <w:p>
                    <w:pPr>
                      <w:rPr>
                        <w:sz w:val="18"/>
                        <w:szCs w:val="18"/>
                      </w:rPr>
                    </w:pPr>
                    <w:r>
                      <w:rPr>
                        <w:color w:val="000000"/>
                        <w:sz w:val="20"/>
                      </w:rPr>
                      <w:t>R – Naujos arba modernizuotos švietimo infrastruktūros naudotojų skaičius per metus</w:t>
                    </w:r>
                  </w:p>
                </w:tc>
                <w:tc>
                  <w:tcPr>
                    <w:tcW w:w="560" w:type="pct"/>
                  </w:tcPr>
                  <w:p>
                    <w:pPr>
                      <w:ind w:left="-57" w:right="-57"/>
                      <w:rPr>
                        <w:color w:val="000000"/>
                        <w:sz w:val="20"/>
                      </w:rPr>
                    </w:pPr>
                    <w:r>
                      <w:rPr>
                        <w:color w:val="000000"/>
                        <w:sz w:val="20"/>
                      </w:rPr>
                      <w:t>22 860</w:t>
                    </w:r>
                  </w:p>
                  <w:p>
                    <w:pPr>
                      <w:ind w:left="-57" w:right="-57"/>
                      <w:rPr>
                        <w:sz w:val="18"/>
                        <w:szCs w:val="18"/>
                      </w:rPr>
                    </w:pPr>
                    <w:r>
                      <w:rPr>
                        <w:color w:val="000000"/>
                        <w:sz w:val="20"/>
                      </w:rPr>
                      <w:t>(2029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jc w:val="center"/>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shd w:val="clear" w:color="auto" w:fill="FFFFFF"/>
                      </w:rPr>
                      <w:t>P – Naujos arba modernizuotos švietimo infrastruktūros mokymo klasių talpumas </w:t>
                    </w:r>
                  </w:p>
                </w:tc>
                <w:tc>
                  <w:tcPr>
                    <w:tcW w:w="560" w:type="pct"/>
                  </w:tcPr>
                  <w:p>
                    <w:pPr>
                      <w:ind w:left="-57" w:right="-57"/>
                      <w:rPr>
                        <w:color w:val="000000"/>
                        <w:sz w:val="20"/>
                        <w:bdr w:val="none" w:sz="0" w:space="0" w:color="auto" w:frame="1"/>
                      </w:rPr>
                    </w:pPr>
                    <w:r>
                      <w:rPr>
                        <w:color w:val="000000"/>
                        <w:sz w:val="20"/>
                        <w:bdr w:val="none" w:sz="0" w:space="0" w:color="auto" w:frame="1"/>
                      </w:rPr>
                      <w:t>28 575</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Investicijų į profesinio mokymo infrastruktūrą poreikio analizė</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(2024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pPr>
                      <w:ind w:left="-57" w:right="-57"/>
                      <w:rPr>
                        <w:sz w:val="18"/>
                        <w:szCs w:val="18"/>
                      </w:rPr>
                    </w:pPr>
                    <w:r>
                      <w:rPr>
                        <w:color w:val="000000"/>
                        <w:sz w:val="20"/>
                      </w:rPr>
                      <w:t>K</w:t>
                    </w:r>
                  </w:p>
                </w:tc>
                <w:tc>
                  <w:tcPr>
                    <w:tcW w:w="267" w:type="pct"/>
                  </w:tcPr>
                  <w:p>
                    <w:pPr>
                      <w:ind w:left="-57" w:right="-57"/>
                      <w:rPr>
                        <w:sz w:val="18"/>
                        <w:szCs w:val="18"/>
                      </w:rPr>
                    </w:pPr>
                    <w:r>
                      <w:rPr>
                        <w:color w:val="000000"/>
                        <w:sz w:val="20"/>
                      </w:rPr>
                      <w:t xml:space="preserve">ESFA </w:t>
                    </w:r>
                  </w:p>
                </w:tc>
                <w:tc>
                  <w:tcPr>
                    <w:tcW w:w="267" w:type="pct"/>
                  </w:tcPr>
                  <w:p>
                    <w:pPr>
                      <w:ind w:left="-57" w:right="-57"/>
                      <w:rPr>
                        <w:color w:val="000000"/>
                        <w:sz w:val="20"/>
                      </w:rPr>
                    </w:pPr>
                    <w:r>
                      <w:rPr>
                        <w:color w:val="000000"/>
                        <w:sz w:val="20"/>
                      </w:rPr>
                      <w:t>P</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p>
                </w:tc>
                <w:tc>
                  <w:tcPr>
                    <w:tcW w:w="400" w:type="pct"/>
                  </w:tcPr>
                  <w:p>
                    <w:pPr>
                      <w:ind w:left="-57" w:right="-57"/>
                      <w:rPr>
                        <w:sz w:val="18"/>
                        <w:szCs w:val="18"/>
                      </w:rPr>
                    </w:pPr>
                    <w:r>
                      <w:rPr>
                        <w:sz w:val="18"/>
                        <w:szCs w:val="18"/>
                      </w:rPr>
                      <w:t>Taip</w:t>
                    </w:r>
                  </w:p>
                </w:tc>
                <w:tc>
                  <w:tcPr>
                    <w:tcW w:w="333" w:type="pct"/>
                  </w:tcPr>
                  <w:p>
                    <w:pPr>
                      <w:ind w:left="-57" w:right="-57"/>
                      <w:rPr>
                        <w:sz w:val="18"/>
                        <w:szCs w:val="18"/>
                      </w:rPr>
                    </w:pPr>
                    <w:r>
                      <w:rPr>
                        <w:sz w:val="18"/>
                        <w:szCs w:val="18"/>
                      </w:rPr>
                      <w:t>D</w:t>
                    </w:r>
                  </w:p>
                </w:tc>
                <w:tc>
                  <w:tcPr>
                    <w:tcW w:w="400" w:type="pct"/>
                  </w:tcPr>
                  <w:p>
                    <w:pPr>
                      <w:rPr>
                        <w:color w:val="000000"/>
                        <w:sz w:val="20"/>
                      </w:rPr>
                    </w:pPr>
                    <w:r>
                      <w:rPr>
                        <w:color w:val="000000"/>
                        <w:sz w:val="20"/>
                      </w:rPr>
                      <w:t>1 000</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sz w:val="18"/>
                        <w:szCs w:val="18"/>
                      </w:rPr>
                    </w:pPr>
                    <w:r>
                      <w:rPr>
                        <w:color w:val="000000"/>
                        <w:sz w:val="20"/>
                      </w:rPr>
                      <w:t>210</w:t>
                    </w:r>
                  </w:p>
                </w:tc>
                <w:tc>
                  <w:tcPr>
                    <w:tcW w:w="334" w:type="pct"/>
                  </w:tcPr>
                  <w:p>
                    <w:pPr>
                      <w:ind w:left="-57" w:right="-57"/>
                      <w:rPr>
                        <w:sz w:val="20"/>
                      </w:rPr>
                    </w:pPr>
                    <w:r>
                      <w:rPr>
                        <w:sz w:val="20"/>
                      </w:rPr>
                      <w:t>Ekonomikos gaivinimo ir atsparumo didinimo priemonės lėšos (EGADP)</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 xml:space="preserve">R – Profesinio mokymo įstaigų, organizuojančių profesinio mokymo programas pameistrystės forma, dalis </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(2026 m.)</w:t>
                    </w:r>
                  </w:p>
                </w:tc>
                <w:tc>
                  <w:tcPr>
                    <w:tcW w:w="373" w:type="pct"/>
                  </w:tcPr>
                  <w:p>
                    <w:pPr>
                      <w:ind w:left="-57" w:right="-57"/>
                      <w:rPr>
                        <w:sz w:val="18"/>
                        <w:szCs w:val="18"/>
                      </w:rPr>
                    </w:pPr>
                    <w:r>
                      <w:rPr>
                        <w:color w:val="000000"/>
                        <w:sz w:val="20"/>
                      </w:rPr>
                      <w:t>CPVA</w:t>
                    </w:r>
                  </w:p>
                </w:tc>
                <w:tc>
                  <w:tcPr>
                    <w:tcW w:w="400" w:type="pct"/>
                  </w:tcPr>
                  <w:p>
                    <w:pPr>
                      <w:ind w:left="-57" w:right="-57"/>
                      <w:rPr>
                        <w:sz w:val="18"/>
                        <w:szCs w:val="18"/>
                      </w:rPr>
                    </w:pPr>
                    <w:r>
                      <w:rPr>
                        <w:color w:val="000000"/>
                        <w:sz w:val="20"/>
                      </w:rPr>
                      <w:t>ŠMSM, SADM, EIM, ŽŪM</w:t>
                    </w:r>
                  </w:p>
                </w:tc>
              </w:tr>
            </w:tbl>
            <w:p>
              <w:pPr>
                <w:ind w:firstLine="567"/>
                <w:rPr>
                  <w:b/>
                  <w:sz w:val="18"/>
                  <w:szCs w:val="18"/>
                </w:rPr>
              </w:pPr>
            </w:p>
            <w:sdt>
              <w:sdtPr>
                <w:alias w:val="poskyris"/>
                <w:tag w:val="part_3db68d6960144d7faecdc8357322b61e"/>
                <w:lock w:val="sdtLocked"/>
                <w:richText/>
              </w:sdtPr>
              <w:sdtContent>
                <w:p>
                  <w:pPr>
                    <w:ind w:left="142" w:firstLine="567"/>
                    <w:jc w:val="both"/>
                    <w:rPr>
                      <w:b/>
                      <w:sz w:val="18"/>
                      <w:szCs w:val="18"/>
                    </w:rPr>
                  </w:pPr>
                  <w:sdt>
                    <w:sdtPr>
                      <w:alias w:val="Pavadinimas"/>
                      <w:tag w:val="title_3db68d6960144d7faecdc8357322b61e"/>
                      <w:lock w:val="sdtLocked"/>
                      <w:richText/>
                    </w:sdtPr>
                    <w:sdtContent>
                      <w:r>
                        <w:rPr>
                          <w:b/>
                          <w:sz w:val="18"/>
                          <w:szCs w:val="18"/>
                        </w:rPr>
                        <w:t>Paaiškinimai:</w:t>
                      </w:r>
                    </w:sdtContent>
                  </w:sdt>
                </w:p>
                <w:sdt>
                  <w:sdtPr>
                    <w:alias w:val="1 p."/>
                    <w:tag w:val="part_074c6e92a8774ba3a40003ff08ae504b"/>
                    <w:lock w:val="sdtLocked"/>
                    <w:richText/>
                  </w:sdtPr>
                  <w:sdtContent>
                    <w:p>
                      <w:pPr>
                        <w:ind w:left="142" w:firstLine="567"/>
                        <w:jc w:val="both"/>
                        <w:rPr>
                          <w:sz w:val="18"/>
                          <w:szCs w:val="18"/>
                        </w:rPr>
                      </w:pPr>
                      <w:sdt>
                        <w:sdtPr>
                          <w:alias w:val="Numeris"/>
                          <w:tag w:val="nr_074c6e92a8774ba3a40003ff08ae504b"/>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d1314700d40e47788284c5e1b8787ee8"/>
                    <w:lock w:val="sdtLocked"/>
                    <w:richText/>
                  </w:sdtPr>
                  <w:sdtContent>
                    <w:p>
                      <w:pPr>
                        <w:ind w:left="142" w:firstLine="567"/>
                        <w:jc w:val="both"/>
                        <w:rPr>
                          <w:sz w:val="18"/>
                          <w:szCs w:val="18"/>
                        </w:rPr>
                      </w:pPr>
                      <w:sdt>
                        <w:sdtPr>
                          <w:alias w:val="Numeris"/>
                          <w:tag w:val="nr_d1314700d40e47788284c5e1b8787ee8"/>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e87d874d950f418d9a181b48c0ae12ce"/>
                    <w:lock w:val="sdtLocked"/>
                    <w:richText/>
                  </w:sdtPr>
                  <w:sdtContent>
                    <w:p>
                      <w:pPr>
                        <w:ind w:left="142" w:firstLine="567"/>
                        <w:jc w:val="both"/>
                        <w:rPr>
                          <w:sz w:val="18"/>
                          <w:szCs w:val="18"/>
                        </w:rPr>
                      </w:pPr>
                      <w:sdt>
                        <w:sdtPr>
                          <w:alias w:val="Numeris"/>
                          <w:tag w:val="nr_e87d874d950f418d9a181b48c0ae12ce"/>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84f93e0861ae44458712df0465c957b2"/>
                    <w:lock w:val="sdtLocked"/>
                    <w:richText/>
                  </w:sdtPr>
                  <w:sdtContent>
                    <w:p>
                      <w:pPr>
                        <w:ind w:left="142" w:firstLine="567"/>
                        <w:jc w:val="both"/>
                        <w:rPr>
                          <w:sz w:val="18"/>
                          <w:szCs w:val="18"/>
                        </w:rPr>
                      </w:pPr>
                      <w:sdt>
                        <w:sdtPr>
                          <w:alias w:val="Numeris"/>
                          <w:tag w:val="nr_84f93e0861ae44458712df0465c957b2"/>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dc599ebc27874e34abe561f29ee00e69"/>
                    <w:lock w:val="sdtLocked"/>
                    <w:richText/>
                  </w:sdtPr>
                  <w:sdtContent>
                    <w:p>
                      <w:pPr>
                        <w:ind w:left="142" w:firstLine="567"/>
                        <w:jc w:val="both"/>
                        <w:rPr>
                          <w:sz w:val="18"/>
                          <w:szCs w:val="18"/>
                        </w:rPr>
                      </w:pPr>
                      <w:sdt>
                        <w:sdtPr>
                          <w:alias w:val="Numeris"/>
                          <w:tag w:val="nr_dc599ebc27874e34abe561f29ee00e69"/>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2748e42c80464409b39fbc32ddcf11f6"/>
                    <w:lock w:val="sdtLocked"/>
                    <w:richText/>
                  </w:sdtPr>
                  <w:sdtContent>
                    <w:p>
                      <w:pPr>
                        <w:ind w:left="142" w:firstLine="567"/>
                        <w:jc w:val="both"/>
                        <w:rPr>
                          <w:sz w:val="18"/>
                          <w:szCs w:val="18"/>
                        </w:rPr>
                      </w:pPr>
                      <w:sdt>
                        <w:sdtPr>
                          <w:alias w:val="Numeris"/>
                          <w:tag w:val="nr_2748e42c80464409b39fbc32ddcf11f6"/>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748b22bd580b438cb2180d289e93fc3b"/>
                    <w:lock w:val="sdtLocked"/>
                    <w:richText/>
                  </w:sdtPr>
                  <w:sdtContent>
                    <w:p>
                      <w:pPr>
                        <w:ind w:left="142" w:firstLine="567"/>
                        <w:jc w:val="both"/>
                        <w:rPr>
                          <w:sz w:val="18"/>
                          <w:szCs w:val="18"/>
                        </w:rPr>
                      </w:pPr>
                      <w:sdt>
                        <w:sdtPr>
                          <w:alias w:val="Numeris"/>
                          <w:tag w:val="nr_748b22bd580b438cb2180d289e93fc3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9f3b6f92d90c4594ae02b2fa7ce20429"/>
                    <w:lock w:val="sdtLocked"/>
                    <w:richText/>
                  </w:sdtPr>
                  <w:sdtContent>
                    <w:p>
                      <w:pPr>
                        <w:ind w:left="142" w:firstLine="567"/>
                        <w:jc w:val="both"/>
                        <w:rPr>
                          <w:iCs/>
                          <w:sz w:val="18"/>
                          <w:szCs w:val="18"/>
                        </w:rPr>
                      </w:pPr>
                      <w:sdt>
                        <w:sdtPr>
                          <w:alias w:val="Numeris"/>
                          <w:tag w:val="nr_9f3b6f92d90c4594ae02b2fa7ce20429"/>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b38c060ba6724edc94d76ba272f365f5"/>
                    <w:lock w:val="sdtLocked"/>
                    <w:richText/>
                  </w:sdtPr>
                  <w:sdtContent>
                    <w:p>
                      <w:pPr>
                        <w:ind w:left="142" w:firstLine="284"/>
                        <w:jc w:val="both"/>
                        <w:rPr>
                          <w:sz w:val="18"/>
                          <w:szCs w:val="18"/>
                        </w:rPr>
                      </w:pPr>
                      <w:sdt>
                        <w:sdtPr>
                          <w:alias w:val="Numeris"/>
                          <w:tag w:val="nr_b38c060ba6724edc94d76ba272f365f5"/>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6e679f308bc1426a8267a37c5303d637"/>
                    <w:lock w:val="sdtLocked"/>
                    <w:richText/>
                  </w:sdtPr>
                  <w:sdtContent>
                    <w:p>
                      <w:pPr>
                        <w:ind w:left="142" w:firstLine="567"/>
                        <w:jc w:val="both"/>
                        <w:rPr>
                          <w:sz w:val="18"/>
                          <w:szCs w:val="18"/>
                        </w:rPr>
                      </w:pPr>
                      <w:sdt>
                        <w:sdtPr>
                          <w:alias w:val="Numeris"/>
                          <w:tag w:val="nr_6e679f308bc1426a8267a37c5303d637"/>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54bf7bdb9eec4606ace7d20eaf99a0f4"/>
                    <w:lock w:val="sdtLocked"/>
                    <w:richText/>
                  </w:sdtPr>
                  <w:sdtContent>
                    <w:p>
                      <w:pPr>
                        <w:ind w:left="142" w:firstLine="567"/>
                        <w:jc w:val="both"/>
                        <w:rPr>
                          <w:sz w:val="18"/>
                          <w:szCs w:val="18"/>
                        </w:rPr>
                      </w:pPr>
                      <w:sdt>
                        <w:sdtPr>
                          <w:alias w:val="Numeris"/>
                          <w:tag w:val="nr_54bf7bdb9eec4606ace7d20eaf99a0f4"/>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0f7fe7cab64945d0af0b2efe22b25ee9"/>
                    <w:lock w:val="sdtLocked"/>
                    <w:richText/>
                  </w:sdtPr>
                  <w:sdtContent>
                    <w:p>
                      <w:pPr>
                        <w:ind w:left="142" w:firstLine="567"/>
                        <w:jc w:val="both"/>
                        <w:rPr>
                          <w:sz w:val="18"/>
                          <w:szCs w:val="18"/>
                        </w:rPr>
                      </w:pPr>
                      <w:sdt>
                        <w:sdtPr>
                          <w:alias w:val="Numeris"/>
                          <w:tag w:val="nr_0f7fe7cab64945d0af0b2efe22b25ee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1 priedo 6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5 priedo 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2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34.xml"/>
  <Relationship Id="rId2" Type="http://schemas.openxmlformats.org/officeDocument/2006/relationships/header" Target="header11.xml"/>
  <Relationship Id="rId20" Type="http://schemas.openxmlformats.org/officeDocument/2006/relationships/header" Target="header35.xml"/>
  <Relationship Id="rId21" Type="http://schemas.openxmlformats.org/officeDocument/2006/relationships/footer" Target="footer34.xml"/>
  <Relationship Id="rId22" Type="http://schemas.openxmlformats.org/officeDocument/2006/relationships/footer" Target="footer35.xml"/>
  <Relationship Id="rId23" Type="http://schemas.openxmlformats.org/officeDocument/2006/relationships/header" Target="header36.xml"/>
  <Relationship Id="rId24" Type="http://schemas.openxmlformats.org/officeDocument/2006/relationships/footer" Target="footer36.xml"/>
  <Relationship Id="rId25" Type="http://schemas.openxmlformats.org/officeDocument/2006/relationships/customXml" Target="../customXml/item4.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9d323bebd1346a1b976839cf41e668b">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ce746023d25e40bfab4546e28da136c0">
      <Part Type="poskyris" Title="Paaiškinimai:" DocPartId="31d9a954f361493da2acd26e5319f8b1" PartId="3db68d6960144d7faecdc8357322b61e">
        <Part Type="punktas" Nr="1" Abbr="1 p." DocPartId="4d6da245e4fe4aac8dc8a06ada2de966" PartId="074c6e92a8774ba3a40003ff08ae504b"/>
        <Part Type="punktas" Nr="2" Abbr="2 p." DocPartId="fc0b5b3002694851af4fd7ec7668569a" PartId="d1314700d40e47788284c5e1b8787ee8"/>
        <Part Type="punktas" Nr="3" Abbr="3 p." DocPartId="aad48cff74224bf9bdd005508c710e3f" PartId="e87d874d950f418d9a181b48c0ae12ce"/>
        <Part Type="punktas" Nr="4" Abbr="4 p." DocPartId="9cbda802c94644c6af516b016dfc5db9" PartId="84f93e0861ae44458712df0465c957b2"/>
        <Part Type="punktas" Nr="5" Abbr="5 p." DocPartId="509e81bc45844a618aad4cc674b26553" PartId="dc599ebc27874e34abe561f29ee00e69"/>
        <Part Type="punktas" Nr="6" Abbr="6 p." DocPartId="d61554d1147c40c89673bd76084f82f3" PartId="2748e42c80464409b39fbc32ddcf11f6"/>
        <Part Type="punktas" Nr="7" Abbr="7 p." DocPartId="0f747f04792c487cacaf9e13bc609ba8" PartId="748b22bd580b438cb2180d289e93fc3b"/>
        <Part Type="punktas" Nr="8" Abbr="8 p." DocPartId="4c0606007e7042f184e8dba9c6cba0f4" PartId="9f3b6f92d90c4594ae02b2fa7ce20429"/>
        <Part Type="punktas" Nr="9" Abbr="9 p." DocPartId="60ea83e2175943ca915d93ea62e0570d" PartId="b38c060ba6724edc94d76ba272f365f5"/>
        <Part Type="punktas" Nr="10" Abbr="10 p." DocPartId="7e881ba8cc324e19819b4c4c8e50b667" PartId="6e679f308bc1426a8267a37c5303d637"/>
        <Part Type="punktas" Nr="11" Abbr="11 p." DocPartId="e6cd0a467b20453e8475b49a2531c128" PartId="54bf7bdb9eec4606ace7d20eaf99a0f4"/>
        <Part Type="punktas" Nr="12" Abbr="12 p." DocPartId="0bcbb4df03d241e49598a93445d05cb5" PartId="0f7fe7cab64945d0af0b2efe22b25ee9"/>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FC77466-7F6B-4718-9C99-8878DE1438C5}">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933724A8-EA29-45F9-B1DF-4EC8D156BD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18</Pages>
  <Words>3813</Words>
  <Characters>26050</Characters>
  <Application>Microsoft Office Word</Application>
  <DocSecurity>0</DocSecurity>
  <Lines>217</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29804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2023-07-07T08:22:00Z</dcterms:modified>
  <revision>12</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