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5164fa85fe0449caf5cb2eb01a6a2e3"/>
        <w:lock w:val="sdtLocked"/>
        <w:richText/>
      </w:sdtPr>
      <w:sdtContent>
        <w:p>
          <w:pPr>
            <w:jc w:val="both"/>
            <w:rPr>
              <w:rFonts w:ascii="Times New Roman" w:hAnsi="Times New Roman"/>
            </w:rPr>
          </w:pPr>
          <w:r>
            <w:rPr>
              <w:rFonts w:ascii="Times New Roman" w:hAnsi="Times New Roman"/>
              <w:b/>
              <w:i/>
            </w:rPr>
            <w:t>Suvestinė redakcija nuo 2022-09-15 iki 2022-11-25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2022-06-09, i. k. 2022-12548</w:t>
          </w:r>
        </w:p>
        <w:p>
          <w:pPr>
            <w:jc w:val="both"/>
            <w:rPr>
              <w:rFonts w:ascii="Times New Roman" w:hAnsi="Times New Roman"/>
              <w:sz w:val="20"/>
            </w:rPr>
          </w:pPr>
        </w:p>
        <w:p>
          <w:pPr>
            <w:tabs>
              <w:tab w:val="center" w:pos="4819"/>
              <w:tab w:val="right" w:pos="9071"/>
            </w:tabs>
            <w:overflowPunct w:val="0"/>
            <w:jc w:val="center"/>
            <w:textAlignment w:val="baseline"/>
            <w:rPr>
              <w:sz w:val="2"/>
              <w:szCs w:val="2"/>
            </w:rPr>
          </w:pPr>
        </w:p>
        <w:p>
          <w:pPr>
            <w:jc w:val="center"/>
            <w:rPr>
              <w:b/>
              <w:bCs/>
              <w:szCs w:val="24"/>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4"/>
            </w:rPr>
          </w:pPr>
          <w:r>
            <w:rPr>
              <w:b/>
              <w:bCs/>
              <w:sz w:val="28"/>
              <w:szCs w:val="24"/>
            </w:rPr>
            <w:t>LIETUVOS RESPUBLIKOS ŠVIETIMO, MOKSLO IR SPORTO MINISTRAS</w:t>
          </w:r>
        </w:p>
        <w:p>
          <w:pPr>
            <w:overflowPunct w:val="0"/>
            <w:jc w:val="center"/>
            <w:textAlignment w:val="baseline"/>
          </w:pPr>
        </w:p>
        <w:p>
          <w:pPr>
            <w:overflowPunct w:val="0"/>
            <w:jc w:val="center"/>
            <w:textAlignment w:val="baseline"/>
            <w:rPr>
              <w:b/>
              <w:bCs/>
              <w:szCs w:val="24"/>
            </w:rPr>
          </w:pPr>
          <w:r>
            <w:rPr>
              <w:b/>
              <w:bCs/>
            </w:rPr>
            <w:t>ĮSAKYMAS</w:t>
          </w:r>
        </w:p>
        <w:p>
          <w:pPr>
            <w:overflowPunct w:val="0"/>
            <w:jc w:val="center"/>
            <w:textAlignment w:val="baseline"/>
            <w:rPr>
              <w:b/>
              <w:szCs w:val="24"/>
            </w:rPr>
          </w:pPr>
          <w:r>
            <w:rPr>
              <w:b/>
              <w:szCs w:val="24"/>
            </w:rPr>
            <w:t>DĖL 2021–2030 M. PLĖTROS PROGRAMOS VALDYTOJOS LIETUVOS RESPUBLIKOS ŠVIETIMO, MOKSLO IR SPORTO MINISTERIJOS ŠVIETIMO PLĖTROS PROGRAMOS PAŽANGOS PRIEMONĖS NR. 12-003-03-04-03 „SUKURTI RINKOS POREIKIUS ATLIEPIANČIĄ PROFESINIO UGDYMO SISTEMĄ“</w:t>
          </w:r>
          <w:r>
            <w:rPr>
              <w:rFonts w:ascii="HelveticaLT" w:hAnsi="HelveticaLT"/>
              <w:b/>
              <w:i/>
              <w:color w:val="000000"/>
              <w:sz w:val="20"/>
              <w:szCs w:val="24"/>
              <w:lang w:eastAsia="lt-LT"/>
            </w:rPr>
            <w:t xml:space="preserve"> </w:t>
          </w:r>
          <w:r>
            <w:rPr>
              <w:b/>
              <w:szCs w:val="24"/>
            </w:rPr>
            <w:t>APRAŠO PATVIRTINIMO</w:t>
          </w:r>
        </w:p>
        <w:p>
          <w:pPr>
            <w:overflowPunct w:val="0"/>
            <w:jc w:val="center"/>
            <w:textAlignment w:val="baseline"/>
            <w:rPr>
              <w:szCs w:val="24"/>
            </w:rPr>
          </w:pPr>
        </w:p>
        <w:p>
          <w:pPr>
            <w:keepNext/>
            <w:tabs>
              <w:tab w:val="left" w:pos="5035"/>
            </w:tabs>
            <w:overflowPunct w:val="0"/>
            <w:jc w:val="center"/>
            <w:textAlignment w:val="baseline"/>
            <w:outlineLvl w:val="2"/>
            <w:rPr>
              <w:szCs w:val="24"/>
            </w:rPr>
          </w:pPr>
          <w:r>
            <w:rPr>
              <w:szCs w:val="24"/>
            </w:rPr>
            <w:t>2022 m. birželio 9 d. Nr.</w:t>
          </w:r>
          <w:r>
            <w:t xml:space="preserve"> </w:t>
          </w:r>
          <w:r>
            <w:rPr>
              <w:szCs w:val="24"/>
            </w:rPr>
            <w:t xml:space="preserve">V-952 </w:t>
          </w:r>
        </w:p>
        <w:p>
          <w:pPr>
            <w:keepNext/>
            <w:tabs>
              <w:tab w:val="left" w:pos="5035"/>
            </w:tabs>
            <w:overflowPunct w:val="0"/>
            <w:jc w:val="center"/>
            <w:textAlignment w:val="baseline"/>
            <w:outlineLvl w:val="2"/>
            <w:rPr>
              <w:szCs w:val="24"/>
            </w:rPr>
          </w:pPr>
          <w:r>
            <w:rPr>
              <w:szCs w:val="24"/>
            </w:rPr>
            <w:t>Vilnius</w:t>
          </w:r>
        </w:p>
        <w:p>
          <w:pPr>
            <w:keepNext/>
            <w:tabs>
              <w:tab w:val="left" w:pos="5035"/>
            </w:tabs>
            <w:overflowPunct w:val="0"/>
            <w:jc w:val="center"/>
            <w:textAlignment w:val="baseline"/>
            <w:outlineLvl w:val="2"/>
            <w:rPr>
              <w:szCs w:val="24"/>
            </w:rPr>
          </w:pPr>
        </w:p>
        <w:p>
          <w:pPr>
            <w:keepNext/>
            <w:tabs>
              <w:tab w:val="left" w:pos="5035"/>
            </w:tabs>
            <w:overflowPunct w:val="0"/>
            <w:jc w:val="center"/>
            <w:textAlignment w:val="baseline"/>
            <w:outlineLvl w:val="2"/>
            <w:rPr>
              <w:szCs w:val="24"/>
            </w:rPr>
          </w:pPr>
        </w:p>
        <w:sdt>
          <w:sdtPr>
            <w:alias w:val="preambule"/>
            <w:tag w:val="part_8ccc40fe317e4a778407aafe19756488"/>
            <w:lock w:val="sdtLocked"/>
            <w:richText/>
          </w:sdtPr>
          <w:sdtContent>
            <w:p>
              <w:pPr>
                <w:overflowPunct w:val="0"/>
                <w:ind w:firstLine="806"/>
                <w:jc w:val="both"/>
                <w:textAlignment w:val="baseline"/>
                <w:rPr>
                  <w:color w:val="000000"/>
                  <w:szCs w:val="24"/>
                </w:rPr>
              </w:pPr>
              <w:r>
                <w:rPr>
                  <w:szCs w:val="24"/>
                </w:rPr>
                <w:t>Vadovaudamasi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xml:space="preserve"> straipsnio 3 dalies įgyvendinimo“, 87 punktu,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12-003-03-04-03,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sdtContent>
        </w:sdt>
        <w:sdt>
          <w:sdtPr>
            <w:alias w:val="pastraipa"/>
            <w:tag w:val="part_221f0ba4ea44457b8998c752ff99527c"/>
            <w:lock w:val="sdtLocked"/>
            <w:richText/>
          </w:sdtPr>
          <w:sdtContent>
            <w:p>
              <w:pPr>
                <w:overflowPunct w:val="0"/>
                <w:ind w:firstLine="709"/>
                <w:jc w:val="both"/>
                <w:textAlignment w:val="baseline"/>
                <w:rPr>
                  <w:sz w:val="2"/>
                  <w:szCs w:val="2"/>
                </w:rPr>
              </w:pPr>
              <w:r>
                <w:rPr>
                  <w:szCs w:val="24"/>
                </w:rPr>
                <w:t>t v i r t i n u 2021–2030 m. plėtros programos valdytojos Lietuvos Respublikos švietimo, mokslo ir sporto ministerijos švietimo plėtros programos pažangos priemonės Nr. 12-003-03-04-03 „Sukurti rinkos poreikius atliepiančią profesinio ugdymo sistemą“ aprašą (pridedama).</w:t>
              </w:r>
            </w:p>
          </w:sdtContent>
        </w:sdt>
        <w:sdt>
          <w:sdtPr>
            <w:alias w:val="signatura"/>
            <w:tag w:val="part_18ab7962aef74cfebb1a492c5626f97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tabs>
                  <w:tab w:val="left" w:pos="7088"/>
                </w:tabs>
                <w:overflowPunct w:val="0"/>
                <w:jc w:val="both"/>
                <w:textAlignment w:val="baseline"/>
                <w:rPr>
                  <w:szCs w:val="24"/>
                </w:rPr>
              </w:pPr>
              <w:r>
                <w:rPr>
                  <w:szCs w:val="24"/>
                </w:rPr>
                <w:t>Švietimo, mokslo ir sporto ministrė</w:t>
                <w:tab/>
                <w:t>Jurgita Šiugždinienė</w:t>
              </w:r>
              <w:r>
                <w:rPr>
                  <w:color w:val="000000"/>
                  <w:szCs w:val="24"/>
                </w:rPr>
                <w:t> </w:t>
              </w:r>
            </w:p>
          </w:sdtContent>
        </w:sdt>
      </w:sdtContent>
    </w:sdt>
    <w:sdt>
      <w:sdtPr>
        <w:alias w:val="patvirtinta"/>
        <w:tag w:val="part_717467c0a2544bb9be153b6c08017b40"/>
        <w:lock w:val="sdtLocked"/>
        <w:richText/>
      </w:sdtPr>
      <w:sdtContent>
        <w:p>
          <w:pPr>
            <w:shd w:val="clear" w:color="000000" w:fill="auto"/>
            <w:ind w:left="7088"/>
            <w:sectPr>
              <w:headerReference w:type="even" r:id="rId19"/>
              <w:headerReference w:type="default" r:id="rId20"/>
              <w:footerReference w:type="even" r:id="rId21"/>
              <w:footerReference w:type="default" r:id="rId22"/>
              <w:headerReference w:type="first" r:id="rId23"/>
              <w:footerReference w:type="first" r:id="rId24"/>
              <w:type w:val="continuous"/>
              <w:pgSz w:w="11906" w:h="16838"/>
              <w:pgMar w:top="1134" w:right="567" w:bottom="1134" w:left="1701" w:header="567" w:footer="567" w:gutter="0"/>
              <w:cols w:space="1296"/>
              <w:titlePg/>
              <w:docGrid w:linePitch="326"/>
            </w:sectPr>
          </w:pPr>
        </w:p>
        <w:p>
          <w:pPr>
            <w:shd w:val="clear" w:color="000000" w:fill="auto"/>
            <w:ind w:left="7088"/>
            <w:rPr>
              <w:szCs w:val="24"/>
            </w:rPr>
          </w:pPr>
          <w:r>
            <w:rPr>
              <w:szCs w:val="24"/>
            </w:rPr>
            <w:t>PATVIRTINTA</w:t>
          </w:r>
        </w:p>
        <w:p>
          <w:pPr>
            <w:shd w:val="clear" w:color="000000" w:fill="auto"/>
            <w:ind w:left="7088"/>
            <w:rPr>
              <w:szCs w:val="24"/>
            </w:rPr>
          </w:pPr>
          <w:r>
            <w:rPr>
              <w:szCs w:val="24"/>
            </w:rPr>
            <w:t xml:space="preserve">Lietuvos Respublikos švietimo, mokslo ir sporto ministro </w:t>
          </w:r>
        </w:p>
        <w:p>
          <w:pPr>
            <w:shd w:val="clear" w:color="000000" w:fill="auto"/>
            <w:ind w:left="7088"/>
            <w:rPr>
              <w:szCs w:val="24"/>
            </w:rPr>
          </w:pPr>
          <w:r>
            <w:rPr>
              <w:szCs w:val="24"/>
            </w:rPr>
            <w:t>2022 m. birželio 9 d. įsakymu Nr. V-952</w:t>
          </w:r>
        </w:p>
        <w:p>
          <w:pPr>
            <w:shd w:val="clear" w:color="000000" w:fill="auto"/>
            <w:ind w:left="5670"/>
            <w:rPr>
              <w:szCs w:val="24"/>
            </w:rPr>
          </w:pPr>
        </w:p>
        <w:p>
          <w:pPr>
            <w:shd w:val="clear" w:color="000000" w:fill="auto"/>
            <w:jc w:val="center"/>
            <w:rPr>
              <w:b/>
              <w:szCs w:val="24"/>
            </w:rPr>
          </w:pPr>
        </w:p>
        <w:sdt>
          <w:sdtPr>
            <w:alias w:val="Pavadinimas"/>
            <w:tag w:val="title_717467c0a2544bb9be153b6c08017b40"/>
            <w:lock w:val="sdtLocked"/>
            <w:richText/>
          </w:sdtPr>
          <w:sdtContent>
            <w:p>
              <w:pPr>
                <w:shd w:val="clear" w:color="000000" w:fill="auto"/>
                <w:jc w:val="center"/>
                <w:rPr>
                  <w:b/>
                  <w:szCs w:val="24"/>
                </w:rPr>
              </w:pPr>
              <w:r>
                <w:rPr>
                  <w:b/>
                  <w:szCs w:val="24"/>
                </w:rPr>
                <w:t xml:space="preserve">2021–2030 M. PLĖTROS PROGRAMOS VALDYTOJOS LIETUVOS RESPUBLIKOS ŠVIETIMO, MOKSLO IR SPORTO MINISTERIJOS ŠVIETIMO PLĖTROS PROGRAMOS PAŽANGOS PRIEMONĖS </w:t>
              </w:r>
            </w:p>
            <w:p>
              <w:pPr>
                <w:shd w:val="clear" w:color="000000" w:fill="auto"/>
                <w:jc w:val="center"/>
                <w:rPr>
                  <w:b/>
                  <w:szCs w:val="24"/>
                  <w:lang w:eastAsia="lt-LT"/>
                </w:rPr>
              </w:pPr>
              <w:r>
                <w:rPr>
                  <w:b/>
                  <w:szCs w:val="24"/>
                </w:rPr>
                <w:t>NR. 12-003-03-04-03 „SUKURTI</w:t>
              </w:r>
              <w:r>
                <w:rPr>
                  <w:b/>
                  <w:iCs/>
                  <w:szCs w:val="24"/>
                  <w:lang w:eastAsia="lt-LT"/>
                </w:rPr>
                <w:t xml:space="preserve"> RINKOS POREIKIUS ATLIEPIANČIĄ PROFESINIO UGDYMO SISTEMĄ“</w:t>
              </w:r>
              <w:r>
                <w:rPr>
                  <w:b/>
                  <w:szCs w:val="24"/>
                  <w:lang w:eastAsia="lt-LT"/>
                </w:rPr>
                <w:t xml:space="preserve"> APRAŠAS</w:t>
              </w:r>
            </w:p>
          </w:sdtContent>
        </w:sdt>
        <w:p>
          <w:pPr>
            <w:shd w:val="clear" w:color="000000" w:fill="auto"/>
            <w:jc w:val="center"/>
            <w:rPr>
              <w:b/>
              <w:szCs w:val="24"/>
              <w:lang w:eastAsia="lt-LT"/>
            </w:rPr>
          </w:pPr>
        </w:p>
        <w:p>
          <w:pPr>
            <w:shd w:val="clear" w:color="000000" w:fill="auto"/>
            <w:jc w:val="center"/>
            <w:rPr>
              <w:b/>
              <w:szCs w:val="24"/>
              <w:lang w:eastAsia="lt-LT"/>
            </w:rPr>
          </w:pPr>
        </w:p>
        <w:sdt>
          <w:sdtPr>
            <w:alias w:val="skyrius"/>
            <w:tag w:val="part_66e0507eed9c4648937dbe2b2bf92f4f"/>
            <w:lock w:val="sdtLocked"/>
            <w:richText/>
          </w:sdtPr>
          <w:sdtContent>
            <w:p>
              <w:pPr>
                <w:shd w:val="clear" w:color="000000" w:fill="auto"/>
                <w:tabs>
                  <w:tab w:val="left" w:pos="1985"/>
                </w:tabs>
                <w:jc w:val="center"/>
                <w:rPr>
                  <w:b/>
                  <w:bCs/>
                  <w:szCs w:val="24"/>
                </w:rPr>
              </w:pPr>
              <w:sdt>
                <w:sdtPr>
                  <w:alias w:val="Numeris"/>
                  <w:tag w:val="nr_66e0507eed9c4648937dbe2b2bf92f4f"/>
                  <w:lock w:val="sdtLocked"/>
                  <w:richText/>
                </w:sdtPr>
                <w:sdtContent>
                  <w:r>
                    <w:rPr>
                      <w:b/>
                      <w:bCs/>
                      <w:szCs w:val="24"/>
                    </w:rPr>
                    <w:t>I</w:t>
                  </w:r>
                </w:sdtContent>
              </w:sdt>
              <w:r>
                <w:rPr>
                  <w:b/>
                  <w:bCs/>
                  <w:szCs w:val="24"/>
                </w:rPr>
                <w:t xml:space="preserve"> SKYRIUS</w:t>
              </w:r>
            </w:p>
            <w:p>
              <w:pPr>
                <w:shd w:val="clear" w:color="000000" w:fill="auto"/>
                <w:jc w:val="center"/>
                <w:rPr>
                  <w:b/>
                  <w:bCs/>
                  <w:lang w:eastAsia="lt-LT"/>
                </w:rPr>
              </w:pPr>
              <w:sdt>
                <w:sdtPr>
                  <w:alias w:val="Pavadinimas"/>
                  <w:tag w:val="title_66e0507eed9c4648937dbe2b2bf92f4f"/>
                  <w:lock w:val="sdtLocked"/>
                  <w:richText/>
                </w:sdtPr>
                <w:sdtContent>
                  <w:r>
                    <w:rPr>
                      <w:b/>
                      <w:bCs/>
                      <w:lang w:eastAsia="lt-LT"/>
                    </w:rPr>
                    <w:t>PLĖTROS PROGRAMOS PAŽANGOS PRIEMONĖS SIEKIAMI REZULTATAI</w:t>
                  </w:r>
                </w:sdtContent>
              </w:sdt>
            </w:p>
            <w:p>
              <w:pPr>
                <w:shd w:val="clear" w:color="000000" w:fill="auto"/>
                <w:jc w:val="center"/>
                <w:rPr>
                  <w:b/>
                  <w:bCs/>
                  <w:lang w:eastAsia="lt-LT"/>
                </w:rPr>
              </w:pPr>
            </w:p>
            <w:tbl>
              <w:tblPr>
                <w:tblW w:w="13180" w:type="dxa"/>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1"/>
                <w:gridCol w:w="1105"/>
                <w:gridCol w:w="4535"/>
                <w:gridCol w:w="1163"/>
                <w:gridCol w:w="992"/>
                <w:gridCol w:w="992"/>
                <w:gridCol w:w="1276"/>
                <w:gridCol w:w="2126"/>
              </w:tblGrid>
              <w:tr>
                <w:trPr>
                  <w:trHeight w:val="348"/>
                </w:trPr>
                <w:tc>
                  <w:tcPr>
                    <w:tcW w:w="992"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Rodiklio kodas</w:t>
                    </w:r>
                  </w:p>
                </w:tc>
                <w:tc>
                  <w:tcPr>
                    <w:tcW w:w="1105"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jc w:val="center"/>
                      <w:rPr>
                        <w:b/>
                        <w:sz w:val="18"/>
                        <w:szCs w:val="18"/>
                      </w:rPr>
                    </w:pPr>
                  </w:p>
                  <w:p>
                    <w:pPr>
                      <w:shd w:val="clear" w:color="000000" w:fill="auto"/>
                      <w:jc w:val="center"/>
                      <w:rPr>
                        <w:b/>
                        <w:sz w:val="18"/>
                        <w:szCs w:val="18"/>
                      </w:rPr>
                    </w:pPr>
                    <w:r>
                      <w:rPr>
                        <w:b/>
                        <w:sz w:val="18"/>
                        <w:szCs w:val="18"/>
                      </w:rPr>
                      <w:t>Rodiklio tipas (rezultato / produkto)</w:t>
                    </w:r>
                  </w:p>
                </w:tc>
                <w:tc>
                  <w:tcPr>
                    <w:tcW w:w="4536"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Rodiklio pavadinimas</w:t>
                    </w:r>
                  </w:p>
                </w:tc>
                <w:tc>
                  <w:tcPr>
                    <w:tcW w:w="1163"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Matavimo vienetas</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jc w:val="center"/>
                      <w:rPr>
                        <w:b/>
                        <w:sz w:val="18"/>
                        <w:szCs w:val="18"/>
                      </w:rPr>
                    </w:pPr>
                    <w:r>
                      <w:rPr>
                        <w:b/>
                        <w:sz w:val="18"/>
                        <w:szCs w:val="18"/>
                      </w:rPr>
                      <w:t>Pradinė rodiklio reikšmė (metai)</w:t>
                    </w:r>
                  </w:p>
                </w:tc>
                <w:tc>
                  <w:tcPr>
                    <w:tcW w:w="2268"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jc w:val="center"/>
                      <w:rPr>
                        <w:b/>
                        <w:sz w:val="18"/>
                        <w:szCs w:val="18"/>
                      </w:rPr>
                    </w:pPr>
                    <w:r>
                      <w:rPr>
                        <w:b/>
                        <w:sz w:val="18"/>
                        <w:szCs w:val="18"/>
                      </w:rPr>
                      <w:t>Siektinos rodiklio reikšmės</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jc w:val="center"/>
                      <w:rPr>
                        <w:b/>
                        <w:sz w:val="18"/>
                        <w:szCs w:val="18"/>
                      </w:rPr>
                    </w:pPr>
                    <w:r>
                      <w:rPr>
                        <w:b/>
                        <w:sz w:val="18"/>
                        <w:szCs w:val="18"/>
                      </w:rPr>
                      <w:t>Finansavimo šaltinis</w:t>
                    </w:r>
                  </w:p>
                </w:tc>
              </w:tr>
              <w:tr>
                <w:trPr>
                  <w:trHeight w:val="667"/>
                </w:trPr>
                <w:tc>
                  <w:tcPr>
                    <w:tcW w:w="99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18"/>
                        <w:szCs w:val="18"/>
                      </w:rPr>
                    </w:pPr>
                  </w:p>
                </w:tc>
                <w:tc>
                  <w:tcPr>
                    <w:tcW w:w="1105"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18"/>
                        <w:szCs w:val="18"/>
                      </w:rPr>
                    </w:pPr>
                  </w:p>
                </w:tc>
                <w:tc>
                  <w:tcPr>
                    <w:tcW w:w="453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18"/>
                        <w:szCs w:val="18"/>
                      </w:rPr>
                    </w:pPr>
                  </w:p>
                </w:tc>
                <w:tc>
                  <w:tcPr>
                    <w:tcW w:w="116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18"/>
                        <w:szCs w:val="18"/>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18"/>
                        <w:szCs w:val="18"/>
                      </w:rPr>
                    </w:pP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jc w:val="center"/>
                      <w:rPr>
                        <w:b/>
                        <w:sz w:val="18"/>
                        <w:szCs w:val="18"/>
                      </w:rPr>
                    </w:pPr>
                    <w:r>
                      <w:rPr>
                        <w:b/>
                        <w:sz w:val="18"/>
                        <w:szCs w:val="18"/>
                      </w:rPr>
                      <w:t>Tarpinė reikšmė 2025 m.</w:t>
                    </w:r>
                  </w:p>
                </w:tc>
                <w:tc>
                  <w:tcPr>
                    <w:tcW w:w="127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jc w:val="center"/>
                      <w:rPr>
                        <w:b/>
                        <w:sz w:val="18"/>
                        <w:szCs w:val="18"/>
                      </w:rPr>
                    </w:pPr>
                    <w:r>
                      <w:rPr>
                        <w:b/>
                        <w:sz w:val="18"/>
                        <w:szCs w:val="18"/>
                      </w:rPr>
                      <w:t>Galutinė reikšmė</w:t>
                    </w:r>
                  </w:p>
                  <w:p>
                    <w:pPr>
                      <w:shd w:val="clear" w:color="000000" w:fill="auto"/>
                      <w:jc w:val="center"/>
                      <w:rPr>
                        <w:b/>
                        <w:sz w:val="18"/>
                        <w:szCs w:val="18"/>
                      </w:rPr>
                    </w:pPr>
                    <w:r>
                      <w:rPr>
                        <w:b/>
                        <w:sz w:val="18"/>
                        <w:szCs w:val="18"/>
                      </w:rPr>
                      <w:t xml:space="preserve">2030 m. </w:t>
                    </w: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18"/>
                        <w:szCs w:val="18"/>
                      </w:rPr>
                    </w:pPr>
                  </w:p>
                </w:tc>
              </w:tr>
              <w:tr>
                <w:trPr>
                  <w:trHeight w:val="193"/>
                </w:trPr>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spacing w:line="276" w:lineRule="auto"/>
                      <w:jc w:val="center"/>
                      <w:rPr>
                        <w:b/>
                        <w:sz w:val="18"/>
                        <w:szCs w:val="18"/>
                      </w:rPr>
                    </w:pPr>
                    <w:r>
                      <w:rPr>
                        <w:b/>
                        <w:sz w:val="18"/>
                        <w:szCs w:val="18"/>
                      </w:rPr>
                      <w:t>1</w:t>
                    </w:r>
                  </w:p>
                </w:tc>
                <w:tc>
                  <w:tcPr>
                    <w:tcW w:w="1105"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spacing w:line="276" w:lineRule="auto"/>
                      <w:jc w:val="center"/>
                      <w:rPr>
                        <w:b/>
                        <w:sz w:val="18"/>
                        <w:szCs w:val="18"/>
                      </w:rPr>
                    </w:pPr>
                    <w:r>
                      <w:rPr>
                        <w:b/>
                        <w:sz w:val="18"/>
                        <w:szCs w:val="18"/>
                      </w:rPr>
                      <w:t>2</w:t>
                    </w:r>
                  </w:p>
                </w:tc>
                <w:tc>
                  <w:tcPr>
                    <w:tcW w:w="453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spacing w:line="276" w:lineRule="auto"/>
                      <w:jc w:val="center"/>
                      <w:rPr>
                        <w:b/>
                        <w:sz w:val="18"/>
                        <w:szCs w:val="18"/>
                      </w:rPr>
                    </w:pPr>
                    <w:r>
                      <w:rPr>
                        <w:b/>
                        <w:sz w:val="18"/>
                        <w:szCs w:val="18"/>
                      </w:rPr>
                      <w:t>3</w:t>
                    </w:r>
                  </w:p>
                </w:tc>
                <w:tc>
                  <w:tcPr>
                    <w:tcW w:w="116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spacing w:line="276" w:lineRule="auto"/>
                      <w:jc w:val="center"/>
                      <w:rPr>
                        <w:b/>
                        <w:sz w:val="18"/>
                        <w:szCs w:val="18"/>
                      </w:rPr>
                    </w:pPr>
                    <w:r>
                      <w:rPr>
                        <w:b/>
                        <w:sz w:val="18"/>
                        <w:szCs w:val="18"/>
                      </w:rPr>
                      <w:t>4</w:t>
                    </w: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spacing w:line="276" w:lineRule="auto"/>
                      <w:jc w:val="center"/>
                      <w:rPr>
                        <w:b/>
                        <w:sz w:val="18"/>
                        <w:szCs w:val="18"/>
                      </w:rPr>
                    </w:pPr>
                    <w:r>
                      <w:rPr>
                        <w:b/>
                        <w:sz w:val="18"/>
                        <w:szCs w:val="18"/>
                      </w:rPr>
                      <w:t>5</w:t>
                    </w: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jc w:val="center"/>
                      <w:rPr>
                        <w:b/>
                        <w:sz w:val="18"/>
                        <w:szCs w:val="18"/>
                      </w:rPr>
                    </w:pPr>
                    <w:r>
                      <w:rPr>
                        <w:b/>
                        <w:sz w:val="18"/>
                        <w:szCs w:val="18"/>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jc w:val="center"/>
                      <w:rPr>
                        <w:b/>
                        <w:sz w:val="18"/>
                        <w:szCs w:val="18"/>
                      </w:rPr>
                    </w:pPr>
                    <w:r>
                      <w:rPr>
                        <w:b/>
                        <w:sz w:val="18"/>
                        <w:szCs w:val="18"/>
                      </w:rPr>
                      <w:t>7</w:t>
                    </w:r>
                  </w:p>
                </w:tc>
                <w:tc>
                  <w:tcPr>
                    <w:tcW w:w="212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spacing w:line="276" w:lineRule="auto"/>
                      <w:jc w:val="center"/>
                      <w:rPr>
                        <w:b/>
                        <w:sz w:val="18"/>
                        <w:szCs w:val="18"/>
                      </w:rPr>
                    </w:pPr>
                    <w:r>
                      <w:rPr>
                        <w:b/>
                        <w:sz w:val="18"/>
                        <w:szCs w:val="18"/>
                      </w:rPr>
                      <w:t>8</w:t>
                    </w:r>
                  </w:p>
                </w:tc>
              </w:tr>
              <w:tr>
                <w:trPr>
                  <w:trHeight w:val="75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R-12-003-03-04-03-01</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rPr>
                        <w:i/>
                        <w:sz w:val="20"/>
                      </w:rPr>
                    </w:pPr>
                    <w:r>
                      <w:rPr>
                        <w:color w:val="000000"/>
                        <w:sz w:val="20"/>
                      </w:rPr>
                      <w:t>Rezultato</w:t>
                    </w:r>
                    <w:r>
                      <w:rPr>
                        <w:lang w:eastAsia="lt-LT"/>
                      </w:rPr>
                      <w:t xml:space="preserve"> </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sz w:val="20"/>
                      </w:rPr>
                    </w:pPr>
                    <w:r>
                      <w:rPr>
                        <w:sz w:val="20"/>
                      </w:rPr>
                      <w:t xml:space="preserve">Mokinių, iš nepalankias sąlygas turinčių asmenų grupių, kuriems buvo skirta parama profesinio mokymo prieinamumui gerinti, dalis </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proc.</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spacing w:line="276" w:lineRule="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4</w:t>
                    </w:r>
                  </w:p>
                  <w:p>
                    <w:pPr>
                      <w:shd w:val="clear" w:color="000000" w:fill="auto"/>
                      <w:spacing w:line="276" w:lineRule="auto"/>
                      <w:jc w:val="center"/>
                      <w:rPr>
                        <w:sz w:val="20"/>
                      </w:rPr>
                    </w:pPr>
                    <w:r>
                      <w:rPr>
                        <w:sz w:val="20"/>
                      </w:rPr>
                      <w:t>(2029)</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2021–2027 m. ES struktūrinių fondų ir bendrojo finansavimo lėšos (ESF+)</w:t>
                    </w:r>
                  </w:p>
                </w:tc>
              </w:tr>
              <w:tr>
                <w:trPr>
                  <w:trHeight w:val="1026"/>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R-12-003-03-04-03-02</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both"/>
                      <w:rPr>
                        <w:color w:val="232323"/>
                        <w:sz w:val="20"/>
                      </w:rPr>
                    </w:pPr>
                    <w:r>
                      <w:rPr>
                        <w:color w:val="232323"/>
                        <w:sz w:val="20"/>
                      </w:rPr>
                      <w:t xml:space="preserve">Profesinio mokymo įstaigų, organizuojančių profesinio mokymo programas pameistrystės forma, dalis </w:t>
                    </w:r>
                  </w:p>
                  <w:p>
                    <w:pPr>
                      <w:shd w:val="clear" w:color="000000" w:fill="auto"/>
                      <w:rPr>
                        <w:color w:val="000000"/>
                        <w:sz w:val="20"/>
                      </w:rPr>
                    </w:pP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proc.</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47</w:t>
                    </w:r>
                  </w:p>
                  <w:p>
                    <w:pPr>
                      <w:shd w:val="clear" w:color="000000" w:fill="auto"/>
                      <w:spacing w:line="276" w:lineRule="auto"/>
                      <w:jc w:val="center"/>
                      <w:rPr>
                        <w:sz w:val="20"/>
                      </w:rPr>
                    </w:pPr>
                    <w:r>
                      <w:rPr>
                        <w:sz w:val="20"/>
                      </w:rPr>
                      <w:t>(2019)</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center"/>
                      <w:rPr>
                        <w:sz w:val="20"/>
                      </w:rPr>
                    </w:pPr>
                    <w:r>
                      <w:rPr>
                        <w:sz w:val="20"/>
                      </w:rPr>
                      <w:t>65</w:t>
                    </w:r>
                  </w:p>
                  <w:p>
                    <w:pPr>
                      <w:shd w:val="clear" w:color="000000" w:fill="auto"/>
                      <w:jc w:val="center"/>
                      <w:rPr>
                        <w:sz w:val="20"/>
                      </w:rPr>
                    </w:pPr>
                    <w:r>
                      <w:rPr>
                        <w:sz w:val="20"/>
                      </w:rPr>
                      <w:t>(2024)</w:t>
                    </w:r>
                  </w:p>
                  <w:p>
                    <w:pPr>
                      <w:shd w:val="clear" w:color="000000" w:fill="auto"/>
                      <w:jc w:val="center"/>
                      <w:rPr>
                        <w:sz w:val="20"/>
                        <w:lang w:eastAsia="lt-LT"/>
                      </w:rPr>
                    </w:pPr>
                  </w:p>
                  <w:p>
                    <w:pPr>
                      <w:shd w:val="clear" w:color="000000" w:fill="auto"/>
                      <w:spacing w:line="276" w:lineRule="auto"/>
                      <w:jc w:val="cente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100</w:t>
                    </w:r>
                  </w:p>
                  <w:p>
                    <w:pPr>
                      <w:shd w:val="clear" w:color="000000" w:fill="auto"/>
                      <w:jc w:val="center"/>
                      <w:rPr>
                        <w:color w:val="000000"/>
                        <w:sz w:val="20"/>
                      </w:rPr>
                    </w:pPr>
                    <w:r>
                      <w:rPr>
                        <w:color w:val="000000"/>
                        <w:sz w:val="20"/>
                      </w:rPr>
                      <w:t>(2026 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R-12-003-03-04-03-03</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 xml:space="preserve">Mokinių, kurie mokosi pagal pagrindinio ir vidurinio ugdymo programas bendrojo ugdymo mokyklose ir baigusių pirminio profesinio mokymo programos modulius, skaičiaus padidėjimas </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spacing w:line="276" w:lineRule="auto"/>
                      <w:jc w:val="center"/>
                      <w:rPr>
                        <w:sz w:val="20"/>
                      </w:rPr>
                    </w:pPr>
                    <w:r>
                      <w:rPr>
                        <w:sz w:val="20"/>
                      </w:rPr>
                      <w:t>(2020)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1 500 (2024</w:t>
                    </w:r>
                  </w:p>
                  <w:p>
                    <w:pPr>
                      <w:shd w:val="clear" w:color="000000" w:fill="auto"/>
                      <w:spacing w:line="276" w:lineRule="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center"/>
                      <w:rPr>
                        <w:color w:val="000000"/>
                        <w:sz w:val="20"/>
                      </w:rPr>
                    </w:pPr>
                    <w:r>
                      <w:rPr>
                        <w:color w:val="000000"/>
                        <w:sz w:val="20"/>
                      </w:rPr>
                      <w:t>4 900</w:t>
                    </w:r>
                  </w:p>
                  <w:p>
                    <w:pPr>
                      <w:shd w:val="clear" w:color="000000" w:fill="auto"/>
                      <w:jc w:val="center"/>
                      <w:rPr>
                        <w:color w:val="000000"/>
                        <w:sz w:val="20"/>
                      </w:rPr>
                    </w:pPr>
                    <w:r>
                      <w:rPr>
                        <w:color w:val="000000"/>
                        <w:sz w:val="20"/>
                      </w:rPr>
                      <w:t xml:space="preserve">(2026 </w:t>
                    </w:r>
                  </w:p>
                  <w:p>
                    <w:pPr>
                      <w:shd w:val="clear" w:color="000000" w:fill="auto"/>
                      <w:jc w:val="center"/>
                      <w:rPr>
                        <w:color w:val="000000"/>
                        <w:sz w:val="20"/>
                      </w:rPr>
                    </w:pPr>
                    <w:r>
                      <w:rPr>
                        <w:color w:val="000000"/>
                        <w:sz w:val="20"/>
                      </w:rPr>
                      <w:t>II ketv.)</w:t>
                    </w:r>
                  </w:p>
                  <w:p>
                    <w:pPr>
                      <w:shd w:val="clear" w:color="000000" w:fill="auto"/>
                      <w:spacing w:line="276" w:lineRule="auto"/>
                      <w:jc w:val="center"/>
                      <w:rPr>
                        <w:sz w:val="20"/>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R-12-003-03-04-03-04</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color w:val="000000"/>
                        <w:sz w:val="20"/>
                      </w:rPr>
                    </w:pPr>
                    <w:r>
                      <w:rPr>
                        <w:color w:val="000000"/>
                        <w:sz w:val="20"/>
                      </w:rPr>
                      <w:t>Naujos arba modernizuotos švietimo infrastruktūros naudotojų skaičius per metus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 xml:space="preserve">0 </w:t>
                    </w:r>
                  </w:p>
                  <w:p>
                    <w:pPr>
                      <w:shd w:val="clear" w:color="000000" w:fill="auto"/>
                      <w:jc w:val="center"/>
                      <w:rPr>
                        <w:color w:val="000000"/>
                        <w:sz w:val="20"/>
                      </w:rPr>
                    </w:pPr>
                    <w:r>
                      <w:rPr>
                        <w:color w:val="000000"/>
                        <w:sz w:val="20"/>
                      </w:rPr>
                      <w:t xml:space="preserve">(2021) </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 xml:space="preserve">22 860 (2029) </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rFonts w:eastAsia="Calibri"/>
                        <w:sz w:val="20"/>
                      </w:rPr>
                      <w:t xml:space="preserve">2021–2027 m. ES struktūrinių fondų ir bendrojo finansavimo lėšos </w:t>
                    </w:r>
                    <w:r>
                      <w:rPr>
                        <w:sz w:val="20"/>
                      </w:rPr>
                      <w:t>(ERPF)</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P-12-003-03-04-03-05</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color w:val="000000"/>
                        <w:sz w:val="20"/>
                      </w:rPr>
                    </w:pPr>
                    <w:r>
                      <w:rPr>
                        <w:color w:val="232323"/>
                        <w:sz w:val="20"/>
                      </w:rPr>
                      <w:t>Mokiniai iš nepalankias sąlygas turinčių asmenų grupių, kuriems buvo skirta parama profesinio mokymo prieinamumui gerinti</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120 (2024)</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790 </w:t>
                    </w:r>
                  </w:p>
                  <w:p>
                    <w:pPr>
                      <w:shd w:val="clear" w:color="000000" w:fill="auto"/>
                      <w:jc w:val="center"/>
                      <w:rPr>
                        <w:sz w:val="20"/>
                      </w:rPr>
                    </w:pPr>
                    <w:r>
                      <w:rPr>
                        <w:sz w:val="20"/>
                      </w:rPr>
                      <w:t>(2029)</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rFonts w:eastAsia="Calibri"/>
                        <w:sz w:val="20"/>
                      </w:rPr>
                    </w:pPr>
                    <w:r>
                      <w:rPr>
                        <w:rFonts w:eastAsia="Calibri"/>
                        <w:sz w:val="20"/>
                      </w:rPr>
                      <w:t>2021–2027 m. ES struktūrinių fondų ir bendrojo finansavimo lėšos (ESF+)</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P-12-003-03-04-03-06</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color w:val="000000"/>
                        <w:sz w:val="20"/>
                      </w:rPr>
                    </w:pPr>
                    <w:r>
                      <w:rPr>
                        <w:color w:val="000000"/>
                        <w:sz w:val="20"/>
                      </w:rPr>
                      <w:t>Naujos arba modernizuotos švietimo infrastruktūros mokymo klasių talpumas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spacing w:line="256" w:lineRule="auto"/>
                      <w:jc w:val="center"/>
                      <w:rPr>
                        <w:sz w:val="20"/>
                      </w:rPr>
                    </w:pPr>
                    <w:r>
                      <w:rPr>
                        <w:sz w:val="20"/>
                      </w:rPr>
                      <w:t>0</w:t>
                    </w:r>
                  </w:p>
                  <w:p>
                    <w:pPr>
                      <w:shd w:val="clear" w:color="000000" w:fill="auto"/>
                      <w:jc w:val="cente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28 575</w:t>
                    </w:r>
                  </w:p>
                  <w:p>
                    <w:pPr>
                      <w:shd w:val="clear" w:color="000000" w:fill="auto"/>
                      <w:jc w:val="center"/>
                      <w:rPr>
                        <w:sz w:val="20"/>
                      </w:rPr>
                    </w:pPr>
                    <w:r>
                      <w:rPr>
                        <w:sz w:val="20"/>
                      </w:rPr>
                      <w:t>(2029)</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rFonts w:eastAsia="Calibri"/>
                        <w:sz w:val="20"/>
                      </w:rPr>
                      <w:t xml:space="preserve">2021–2027 m. ES struktūrinių fondų ir bendrojo finansavimo lėšos </w:t>
                    </w:r>
                    <w:r>
                      <w:rPr>
                        <w:sz w:val="20"/>
                      </w:rPr>
                      <w:t>(ERPF)</w:t>
                    </w:r>
                  </w:p>
                </w:tc>
              </w:tr>
              <w:tr>
                <w:trPr>
                  <w:trHeight w:val="972"/>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green"/>
                      </w:rPr>
                    </w:pPr>
                    <w:r>
                      <w:rPr>
                        <w:sz w:val="20"/>
                      </w:rPr>
                      <w:t>P-12-003-03-04-03-07</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both"/>
                      <w:rPr>
                        <w:sz w:val="20"/>
                      </w:rPr>
                    </w:pPr>
                    <w:r>
                      <w:rPr>
                        <w:sz w:val="20"/>
                      </w:rPr>
                      <w:t>Paskelbtas teisės akto dėl Nacionalinės profesinio mokymo pažangos platformos steigimo projektas konsultacijoms su socialiniais partneriais ir suinteresuotosiomis šalimis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vienetai</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w:t>
                    </w:r>
                  </w:p>
                  <w:p>
                    <w:pPr>
                      <w:shd w:val="clear" w:color="000000" w:fill="auto"/>
                      <w:jc w:val="center"/>
                      <w:rPr>
                        <w:sz w:val="20"/>
                      </w:rPr>
                    </w:pPr>
                    <w:r>
                      <w:rPr>
                        <w:sz w:val="20"/>
                      </w:rPr>
                      <w:t xml:space="preserve">(2022 </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P-12-003-03-04-03-08</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color w:val="000000"/>
                        <w:sz w:val="20"/>
                      </w:rPr>
                    </w:pPr>
                    <w:r>
                      <w:rPr>
                        <w:color w:val="000000"/>
                        <w:sz w:val="20"/>
                      </w:rPr>
                      <w:t>Nacionalinės profesinio mokymo pažangos platformos sukūrimą patvirtinančių teisės aktų įsigaliojimas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skaičius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1 </w:t>
                    </w:r>
                  </w:p>
                  <w:p>
                    <w:pPr>
                      <w:shd w:val="clear" w:color="000000" w:fill="auto"/>
                      <w:jc w:val="center"/>
                      <w:rPr>
                        <w:sz w:val="20"/>
                      </w:rPr>
                    </w:pPr>
                    <w:r>
                      <w:rPr>
                        <w:sz w:val="20"/>
                      </w:rPr>
                      <w:t xml:space="preserve">(2022 </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P-12-003-03-04-03-09</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both"/>
                      <w:rPr>
                        <w:sz w:val="20"/>
                        <w:lang w:eastAsia="nl-BE"/>
                      </w:rPr>
                    </w:pPr>
                    <w:r>
                      <w:rPr>
                        <w:sz w:val="20"/>
                        <w:lang w:eastAsia="nl-BE"/>
                      </w:rPr>
                      <w:t>Poreikių atnaujinti arba kurti naujas mokymo programas, konsultuojantis su socialiniais partneriais, sudarymas</w:t>
                    </w:r>
                  </w:p>
                  <w:p>
                    <w:pPr>
                      <w:shd w:val="clear" w:color="000000" w:fill="auto"/>
                      <w:jc w:val="both"/>
                      <w:rPr>
                        <w:sz w:val="20"/>
                        <w:lang w:eastAsia="nl-BE"/>
                      </w:rPr>
                    </w:pP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vienetai</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w:t>
                    </w:r>
                  </w:p>
                  <w:p>
                    <w:pPr>
                      <w:shd w:val="clear" w:color="000000" w:fill="auto"/>
                      <w:jc w:val="center"/>
                      <w:rPr>
                        <w:sz w:val="20"/>
                      </w:rPr>
                    </w:pPr>
                    <w:r>
                      <w:rPr>
                        <w:sz w:val="20"/>
                      </w:rPr>
                      <w:t>(2023</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P-12-003-03-04-03-10</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Užregistruotos naujos / atnaujintos profesinio mokymo programos, kurios yra prieinamos mokymo paslaugų teikėjams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skaičius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30 </w:t>
                    </w:r>
                  </w:p>
                  <w:p>
                    <w:pPr>
                      <w:shd w:val="clear" w:color="000000" w:fill="auto"/>
                      <w:jc w:val="center"/>
                      <w:rPr>
                        <w:sz w:val="20"/>
                      </w:rPr>
                    </w:pPr>
                    <w:r>
                      <w:rPr>
                        <w:sz w:val="20"/>
                      </w:rPr>
                      <w:t xml:space="preserve">(2024 </w:t>
                    </w:r>
                  </w:p>
                  <w:p>
                    <w:pPr>
                      <w:shd w:val="clear" w:color="000000" w:fill="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95</w:t>
                    </w:r>
                  </w:p>
                  <w:p>
                    <w:pPr>
                      <w:shd w:val="clear" w:color="000000" w:fill="auto"/>
                      <w:jc w:val="center"/>
                      <w:rPr>
                        <w:sz w:val="20"/>
                      </w:rPr>
                    </w:pPr>
                    <w:r>
                      <w:rPr>
                        <w:sz w:val="20"/>
                      </w:rPr>
                      <w:t xml:space="preserve">(2026 </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P-12-003-03-04-03-11</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Profesijos mokytojai ir (arba) meistrai, dalyvaujantys pameistrių ir praktikas atliekančių mokinių mokymo procese</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200 </w:t>
                    </w:r>
                  </w:p>
                  <w:p>
                    <w:pPr>
                      <w:shd w:val="clear" w:color="000000" w:fill="auto"/>
                      <w:jc w:val="center"/>
                      <w:rPr>
                        <w:sz w:val="20"/>
                      </w:rPr>
                    </w:pPr>
                    <w:r>
                      <w:rPr>
                        <w:sz w:val="20"/>
                      </w:rPr>
                      <w:t xml:space="preserve">(2024 </w:t>
                    </w:r>
                  </w:p>
                  <w:p>
                    <w:pPr>
                      <w:shd w:val="clear" w:color="000000" w:fill="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1 000</w:t>
                    </w:r>
                  </w:p>
                  <w:p>
                    <w:pPr>
                      <w:shd w:val="clear" w:color="000000" w:fill="auto"/>
                      <w:jc w:val="center"/>
                      <w:rPr>
                        <w:sz w:val="20"/>
                      </w:rPr>
                    </w:pPr>
                    <w:r>
                      <w:rPr>
                        <w:sz w:val="20"/>
                      </w:rPr>
                      <w:t xml:space="preserve">(2026 </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P-12-003-03-04-03-12</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both"/>
                      <w:rPr>
                        <w:sz w:val="20"/>
                        <w:lang w:eastAsia="nl-BE"/>
                      </w:rPr>
                    </w:pPr>
                    <w:r>
                      <w:rPr>
                        <w:sz w:val="20"/>
                        <w:lang w:eastAsia="nl-BE"/>
                      </w:rPr>
                      <w:t>Paskelbtas Profesinio mokymo įstatymo pakeitimo dėl profesinio mokymo kompetencijų centrų projektas konsultacijoms su socialiniais partneriais ir suinteresuotomis šalimis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vienetai</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w:t>
                    </w:r>
                  </w:p>
                  <w:p>
                    <w:pPr>
                      <w:shd w:val="clear" w:color="000000" w:fill="auto"/>
                      <w:jc w:val="center"/>
                      <w:rPr>
                        <w:sz w:val="20"/>
                      </w:rPr>
                    </w:pPr>
                    <w:r>
                      <w:rPr>
                        <w:sz w:val="20"/>
                      </w:rPr>
                      <w:t>(2022</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P-12-003-03-04-03-13</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Įsigalioję Profesinio mokymo įstatymo pakeitimai dėl profesinio mokymo kompetencijos centrų</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skaičius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1 </w:t>
                    </w:r>
                  </w:p>
                  <w:p>
                    <w:pPr>
                      <w:shd w:val="clear" w:color="000000" w:fill="auto"/>
                      <w:jc w:val="center"/>
                      <w:rPr>
                        <w:sz w:val="20"/>
                      </w:rPr>
                    </w:pPr>
                    <w:r>
                      <w:rPr>
                        <w:sz w:val="20"/>
                      </w:rPr>
                      <w:t xml:space="preserve">(2022 </w:t>
                    </w:r>
                  </w:p>
                  <w:p>
                    <w:pPr>
                      <w:shd w:val="clear" w:color="000000" w:fill="auto"/>
                      <w:jc w:val="center"/>
                      <w:rPr>
                        <w:sz w:val="20"/>
                      </w:rPr>
                    </w:pPr>
                    <w:r>
                      <w:rPr>
                        <w:sz w:val="20"/>
                      </w:rPr>
                      <w:t>IV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P-12-003-03-04-03-14</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Įsigalioję teisės aktai, kuriais nustatoma Paramos pameistrystei ir mokymuisi darbo vietoje schema</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skaičius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1 </w:t>
                    </w:r>
                  </w:p>
                  <w:p>
                    <w:pPr>
                      <w:shd w:val="clear" w:color="000000" w:fill="auto"/>
                      <w:jc w:val="center"/>
                      <w:rPr>
                        <w:sz w:val="20"/>
                      </w:rPr>
                    </w:pPr>
                    <w:r>
                      <w:rPr>
                        <w:sz w:val="20"/>
                      </w:rPr>
                      <w:t xml:space="preserve">(2022 </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P-12-003-03-04-03-15</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Įgyvendintos pameistrystės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1 000 (2024 </w:t>
                    </w:r>
                  </w:p>
                  <w:p>
                    <w:pPr>
                      <w:shd w:val="clear" w:color="000000" w:fill="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3 866 </w:t>
                    </w:r>
                  </w:p>
                  <w:p>
                    <w:pPr>
                      <w:shd w:val="clear" w:color="000000" w:fill="auto"/>
                      <w:jc w:val="center"/>
                      <w:rPr>
                        <w:sz w:val="20"/>
                      </w:rPr>
                    </w:pPr>
                    <w:r>
                      <w:rPr>
                        <w:sz w:val="20"/>
                      </w:rPr>
                      <w:t>(2026</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P-12-003-03-04-03-16</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Moksleiviai, dalyvavę nacionalinėje mobilumo programoje ir gavę pažymėjimą, patvirtinantį, kad jie pagerino praktinius ir skaitmeninius įgūdžius sektoriniuose praktinio mokymo centruose (skaitmeninius įgūdžius pagerins ne mažiau kaip 40 proc. dalyvių)</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3 000 (2024</w:t>
                    </w:r>
                  </w:p>
                  <w:p>
                    <w:pPr>
                      <w:shd w:val="clear" w:color="000000" w:fill="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center"/>
                      <w:rPr>
                        <w:sz w:val="20"/>
                      </w:rPr>
                    </w:pPr>
                    <w:r>
                      <w:rPr>
                        <w:sz w:val="20"/>
                      </w:rPr>
                      <w:t>12 394</w:t>
                    </w:r>
                  </w:p>
                  <w:p>
                    <w:pPr>
                      <w:shd w:val="clear" w:color="000000" w:fill="auto"/>
                      <w:jc w:val="center"/>
                      <w:rPr>
                        <w:sz w:val="20"/>
                      </w:rPr>
                    </w:pPr>
                    <w:r>
                      <w:rPr>
                        <w:sz w:val="20"/>
                      </w:rPr>
                      <w:t xml:space="preserve">(2026 </w:t>
                    </w:r>
                  </w:p>
                  <w:p>
                    <w:pPr>
                      <w:shd w:val="clear" w:color="000000" w:fill="auto"/>
                      <w:jc w:val="center"/>
                      <w:rPr>
                        <w:sz w:val="20"/>
                      </w:rPr>
                    </w:pPr>
                    <w:r>
                      <w:rPr>
                        <w:sz w:val="20"/>
                      </w:rPr>
                      <w:t>II ketv.)</w:t>
                    </w:r>
                  </w:p>
                  <w:p>
                    <w:pPr>
                      <w:shd w:val="clear" w:color="000000" w:fill="auto"/>
                      <w:jc w:val="center"/>
                      <w:rPr>
                        <w:sz w:val="20"/>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P-12-003-03-04-03-17</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Pagal pagrindinio ir vidurinio ugdymo programas bendrojo ugdymo mokyklose besimokantys mokiniai, baigę pirminio profesinio mokymo programos modulius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1 500 (2024</w:t>
                    </w:r>
                  </w:p>
                  <w:p>
                    <w:pPr>
                      <w:shd w:val="clear" w:color="000000" w:fill="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center"/>
                      <w:rPr>
                        <w:sz w:val="20"/>
                      </w:rPr>
                    </w:pPr>
                    <w:r>
                      <w:rPr>
                        <w:sz w:val="20"/>
                      </w:rPr>
                      <w:t>4 900</w:t>
                    </w:r>
                  </w:p>
                  <w:p>
                    <w:pPr>
                      <w:shd w:val="clear" w:color="000000" w:fill="auto"/>
                      <w:jc w:val="center"/>
                      <w:rPr>
                        <w:sz w:val="20"/>
                      </w:rPr>
                    </w:pPr>
                    <w:r>
                      <w:rPr>
                        <w:sz w:val="20"/>
                      </w:rPr>
                      <w:t>(2026</w:t>
                    </w:r>
                  </w:p>
                  <w:p>
                    <w:pPr>
                      <w:shd w:val="clear" w:color="000000" w:fill="auto"/>
                      <w:jc w:val="center"/>
                      <w:rPr>
                        <w:sz w:val="20"/>
                      </w:rPr>
                    </w:pPr>
                    <w:r>
                      <w:rPr>
                        <w:sz w:val="20"/>
                      </w:rPr>
                      <w:t>II ketv.)</w:t>
                    </w:r>
                  </w:p>
                  <w:p>
                    <w:pPr>
                      <w:shd w:val="clear" w:color="000000" w:fill="auto"/>
                      <w:jc w:val="center"/>
                      <w:rPr>
                        <w:sz w:val="20"/>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ind w:firstLine="53"/>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P-12-003-03-04-03-18</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Gavę paramą pagrindinio ugdymo programų mokiniai, besimokantys pagal eksperimentines profesinio mokymo programas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1 300 (2024 </w:t>
                    </w:r>
                  </w:p>
                  <w:p>
                    <w:pPr>
                      <w:shd w:val="clear" w:color="000000" w:fill="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center"/>
                      <w:rPr>
                        <w:sz w:val="20"/>
                      </w:rPr>
                    </w:pPr>
                    <w:r>
                      <w:rPr>
                        <w:sz w:val="20"/>
                      </w:rPr>
                      <w:t>4 000</w:t>
                    </w:r>
                  </w:p>
                  <w:p>
                    <w:pPr>
                      <w:shd w:val="clear" w:color="000000" w:fill="auto"/>
                      <w:jc w:val="center"/>
                      <w:rPr>
                        <w:sz w:val="20"/>
                      </w:rPr>
                    </w:pPr>
                    <w:r>
                      <w:rPr>
                        <w:sz w:val="20"/>
                      </w:rPr>
                      <w:t xml:space="preserve">(2026 </w:t>
                    </w:r>
                  </w:p>
                  <w:p>
                    <w:pPr>
                      <w:shd w:val="clear" w:color="000000" w:fill="auto"/>
                      <w:jc w:val="center"/>
                      <w:rPr>
                        <w:sz w:val="20"/>
                      </w:rPr>
                    </w:pPr>
                    <w:r>
                      <w:rPr>
                        <w:sz w:val="20"/>
                      </w:rPr>
                      <w:t>II ketv.)</w:t>
                    </w:r>
                  </w:p>
                  <w:p>
                    <w:pPr>
                      <w:shd w:val="clear" w:color="000000" w:fill="auto"/>
                      <w:jc w:val="center"/>
                      <w:rPr>
                        <w:sz w:val="20"/>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R-12-003-03-04-03-19</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Švietimo ar mokymo veiklos dalyvių skaičius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R-12-003-03-04-03-20</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rPr>
                        <w:color w:val="000000"/>
                        <w:sz w:val="20"/>
                      </w:rPr>
                    </w:pPr>
                    <w:r>
                      <w:rPr>
                        <w:color w:val="000000"/>
                        <w:sz w:val="20"/>
                      </w:rPr>
                      <w:t>Švietimo ir mokymo veiklos dalyvių skaičius</w:t>
                    </w:r>
                  </w:p>
                  <w:p>
                    <w:pPr>
                      <w:shd w:val="clear" w:color="000000" w:fill="auto"/>
                      <w:rPr>
                        <w:color w:val="000000"/>
                        <w:sz w:val="20"/>
                      </w:rPr>
                    </w:pP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R-12-003-03-04-03-21</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 xml:space="preserve">Skaitmeninių įgūdžių ugdymo veiklos dalyvių skaičius </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R-12-003-03-04-03-22</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Paramą gaunančių 15–29 metų amžiaus jaunuolių skaičius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center"/>
                      <w:rPr>
                        <w:sz w:val="20"/>
                      </w:rPr>
                    </w:pPr>
                    <w:r>
                      <w:rPr>
                        <w:sz w:val="20"/>
                      </w:rPr>
                      <w:t>n/a</w:t>
                    </w:r>
                  </w:p>
                  <w:p>
                    <w:pPr>
                      <w:shd w:val="clear" w:color="000000" w:fill="auto"/>
                      <w:jc w:val="center"/>
                      <w:rPr>
                        <w:sz w:val="20"/>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P-12-003-03-04-03-23</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Investicijų į profesinio mokymo infrastruktūrą poreikio analizė</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vienetai</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w:t>
                    </w:r>
                  </w:p>
                  <w:p>
                    <w:pPr>
                      <w:shd w:val="clear" w:color="000000" w:fill="auto"/>
                      <w:jc w:val="center"/>
                      <w:rPr>
                        <w:sz w:val="20"/>
                      </w:rPr>
                    </w:pPr>
                    <w:r>
                      <w:rPr>
                        <w:sz w:val="20"/>
                      </w:rPr>
                      <w:t>(2024</w:t>
                    </w:r>
                  </w:p>
                  <w:p>
                    <w:pPr>
                      <w:shd w:val="clear" w:color="000000" w:fill="auto"/>
                      <w:jc w:val="center"/>
                      <w:rPr>
                        <w:lang w:eastAsia="lt-LT"/>
                      </w:rPr>
                    </w:pPr>
                    <w:r>
                      <w:rPr>
                        <w:sz w:val="20"/>
                      </w:rPr>
                      <w:t>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2021–2027 m. ES struktūrinių fondų ir bendrojo finansavimo lėšos (ERPF)</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P-12-003-03-04-03-24</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 xml:space="preserve">Įsigalioję profesinio mokymo įstatymo pakeitimai dėl  priėmimo į valstybės finansuojamas vietas profesiniame mokyme planavimo metodikos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pPr>
                    <w:r>
                      <w:rPr>
                        <w:color w:val="000000"/>
                        <w:sz w:val="20"/>
                      </w:rPr>
                      <w:t>skaičius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w:t>
                    </w:r>
                  </w:p>
                  <w:p>
                    <w:pPr>
                      <w:shd w:val="clear" w:color="000000" w:fill="auto"/>
                      <w:jc w:val="center"/>
                      <w:rPr>
                        <w:sz w:val="20"/>
                      </w:rPr>
                    </w:pPr>
                    <w:r>
                      <w:rPr>
                        <w:sz w:val="20"/>
                      </w:rPr>
                      <w:t>(2022 m. 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spacing w:line="276" w:lineRule="auto"/>
                      <w:jc w:val="center"/>
                      <w:rPr>
                        <w:sz w:val="20"/>
                      </w:rPr>
                    </w:pPr>
                    <w:r>
                      <w:rPr>
                        <w:sz w:val="20"/>
                      </w:rPr>
                      <w:t>2021–2027 m. ES struktūrinių fondų ir bendrojo finansavimo lėšos (ERPF)</w:t>
                    </w:r>
                  </w:p>
                  <w:p>
                    <w:pPr>
                      <w:shd w:val="clear" w:color="000000" w:fill="auto"/>
                      <w:spacing w:line="276" w:lineRule="auto"/>
                      <w:jc w:val="center"/>
                      <w:rPr>
                        <w:sz w:val="20"/>
                      </w:rPr>
                    </w:pPr>
                  </w:p>
                </w:tc>
              </w:tr>
            </w:tbl>
            <w:p>
              <w:pPr>
                <w:shd w:val="clear" w:color="000000" w:fill="auto"/>
                <w:jc w:val="both"/>
                <w:rPr>
                  <w:sz w:val="16"/>
                  <w:szCs w:val="16"/>
                </w:rPr>
              </w:pPr>
            </w:p>
            <w:p>
              <w:pPr>
                <w:shd w:val="clear" w:color="000000" w:fill="auto"/>
                <w:jc w:val="both"/>
                <w:rPr>
                  <w:sz w:val="20"/>
                </w:rPr>
              </w:pPr>
              <w:r>
                <w:rPr>
                  <w:b/>
                  <w:sz w:val="18"/>
                  <w:szCs w:val="18"/>
                </w:rPr>
                <w:t xml:space="preserve">PASTABA. </w:t>
              </w:r>
              <w:r>
                <w:rPr>
                  <w:sz w:val="20"/>
                </w:rPr>
                <w:t xml:space="preserve">Rodikliai – Švietimo ir mokymo veiklos dalyvių skaičius, Švietimo ar mokymo veiklos dalyvių skaičius, </w:t>
              </w:r>
              <w:r>
                <w:rPr>
                  <w:color w:val="000000"/>
                  <w:sz w:val="20"/>
                </w:rPr>
                <w:t xml:space="preserve">Skaitmeninių įgūdžių ugdymo veiklos dalyvių skaičius </w:t>
              </w:r>
              <w:r>
                <w:rPr>
                  <w:sz w:val="20"/>
                </w:rPr>
                <w:t xml:space="preserve">ir </w:t>
              </w:r>
              <w:r>
                <w:rPr>
                  <w:color w:val="000000"/>
                  <w:sz w:val="20"/>
                </w:rPr>
                <w:t>Paramą gaunančių 15–29 metų amžiaus jaunuolių skaičius</w:t>
              </w:r>
              <w:r>
                <w:rPr>
                  <w:sz w:val="20"/>
                </w:rPr>
                <w:t xml:space="preserve">  yra </w:t>
              </w:r>
              <w:r>
                <w:rPr>
                  <w:color w:val="000000"/>
                  <w:sz w:val="20"/>
                </w:rPr>
                <w:t xml:space="preserve"> </w:t>
              </w:r>
              <w:r>
                <w:rPr>
                  <w:sz w:val="20"/>
                </w:rPr>
                <w:t>Ekonomikos gaivinimo ir atsparumo didinimo plano „Naujos kartos Lietuva“ bendrieji rodikliai, kurie neturi siektinų reikšmių. Duomenys bus renkami iš susijusių reformų ir investicijų rodiklių. Ataskaitinis laikotarpis iki 2027 m. I ketv.</w:t>
              </w:r>
            </w:p>
            <w:p>
              <w:pPr>
                <w:shd w:val="clear" w:color="000000" w:fill="auto"/>
                <w:rPr>
                  <w:b/>
                  <w:sz w:val="18"/>
                  <w:szCs w:val="18"/>
                </w:rPr>
              </w:pPr>
            </w:p>
            <w:sdt>
              <w:sdtPr>
                <w:alias w:val="poskyris"/>
                <w:tag w:val="part_eb6da35d86994d59a65e7a0bfed20cf2"/>
                <w:lock w:val="sdtLocked"/>
                <w:richText/>
              </w:sdtPr>
              <w:sdtContent>
                <w:p>
                  <w:pPr>
                    <w:shd w:val="clear" w:color="000000" w:fill="auto"/>
                    <w:rPr>
                      <w:b/>
                      <w:sz w:val="16"/>
                      <w:szCs w:val="16"/>
                    </w:rPr>
                  </w:pPr>
                  <w:sdt>
                    <w:sdtPr>
                      <w:alias w:val="Pavadinimas"/>
                      <w:tag w:val="title_eb6da35d86994d59a65e7a0bfed20cf2"/>
                      <w:lock w:val="sdtLocked"/>
                      <w:richText/>
                    </w:sdtPr>
                    <w:sdtContent>
                      <w:r>
                        <w:rPr>
                          <w:b/>
                          <w:sz w:val="16"/>
                          <w:szCs w:val="16"/>
                        </w:rPr>
                        <w:t>Paaiškinimai:</w:t>
                      </w:r>
                    </w:sdtContent>
                  </w:sdt>
                </w:p>
                <w:sdt>
                  <w:sdtPr>
                    <w:alias w:val="1 p."/>
                    <w:tag w:val="part_f4683b15e8bb43cfbe34147be6ddd1c8"/>
                    <w:lock w:val="sdtLocked"/>
                    <w:richText/>
                  </w:sdtPr>
                  <w:sdtContent>
                    <w:p>
                      <w:pPr>
                        <w:shd w:val="clear" w:color="000000" w:fill="auto"/>
                        <w:ind w:firstLine="993"/>
                        <w:jc w:val="both"/>
                        <w:rPr>
                          <w:sz w:val="16"/>
                          <w:szCs w:val="16"/>
                        </w:rPr>
                      </w:pPr>
                      <w:sdt>
                        <w:sdtPr>
                          <w:alias w:val="Numeris"/>
                          <w:tag w:val="nr_f4683b15e8bb43cfbe34147be6ddd1c8"/>
                          <w:lock w:val="sdtLocked"/>
                          <w:richText/>
                        </w:sdtPr>
                        <w:sdtContent>
                          <w:r>
                            <w:rPr>
                              <w:sz w:val="16"/>
                              <w:szCs w:val="16"/>
                            </w:rPr>
                            <w:t>1</w:t>
                          </w:r>
                        </w:sdtContent>
                      </w:sdt>
                      <w:r>
                        <w:rPr>
                          <w:sz w:val="16"/>
                          <w:szCs w:val="16"/>
                        </w:rPr>
                        <w:t>. Kartu su šiuo aprašu tvirtinamas projektų finansavimo sąlygų aprašas (jeigu taikoma) pagal atitinkamo finansavimo šaltinio vadovaujančiosios institucijos (kai finansuojama valstybės biudžeto lėšomis, išskyrus bendrajam finansavimui skirtas lėšas, – portfelio valdytojo) nustatytą formą. Konkrečios veiklos (poveiklės) ar jų grupės projektų finansavimo sąlygų aprašas gali būti pridedamas patvirtinus priemonės aprašą, atsižvelgiant į planuojamą konkrečios (-ių) veiklos (-ų) (poveiklės (-ių) įgyvendinimo datą. Jeigu atskiruose veiklos (poveiklės) kvietimuose numatomos skirtingos projektų finansavimo sąlygos, rengiami atskiri projektų finansavimo sąlygų aprašai. Kartu su projektų finansavimo sąlygų aprašais gali būti tvirtinami projektų specialieji ir prioritetiniai atrankos kriterijai, valstybės pagalbos teikimo taisyklės ir kiti projektų atrankai, įgyvendinimui, tęstinumui taikomi reikalavimai.</w:t>
                      </w:r>
                    </w:p>
                  </w:sdtContent>
                </w:sdt>
                <w:sdt>
                  <w:sdtPr>
                    <w:alias w:val="2 p."/>
                    <w:tag w:val="part_b738f48b84c34f49896e1e8b8f3d8d3a"/>
                    <w:lock w:val="sdtLocked"/>
                    <w:richText/>
                  </w:sdtPr>
                  <w:sdtContent>
                    <w:p>
                      <w:pPr>
                        <w:shd w:val="clear" w:color="000000" w:fill="auto"/>
                        <w:ind w:firstLine="993"/>
                        <w:jc w:val="both"/>
                        <w:rPr>
                          <w:sz w:val="16"/>
                          <w:szCs w:val="16"/>
                        </w:rPr>
                      </w:pPr>
                      <w:sdt>
                        <w:sdtPr>
                          <w:alias w:val="Numeris"/>
                          <w:tag w:val="nr_b738f48b84c34f49896e1e8b8f3d8d3a"/>
                          <w:lock w:val="sdtLocked"/>
                          <w:richText/>
                        </w:sdtPr>
                        <w:sdtContent>
                          <w:r>
                            <w:rPr>
                              <w:sz w:val="16"/>
                              <w:szCs w:val="16"/>
                            </w:rPr>
                            <w:t>2</w:t>
                          </w:r>
                        </w:sdtContent>
                      </w:sdt>
                      <w:r>
                        <w:rPr>
                          <w:sz w:val="16"/>
                          <w:szCs w:val="16"/>
                        </w:rPr>
                        <w:t>. Aprašo pavadinime pažangos priemonės kodas nurodomas ir lentelės 1 skiltis pildoma vadovaujantis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141 straipsnio 3 dalies įgyvendinimo“ (toliau – Strateginio valdymo metodika), 9 priede nustatyta tvarka.</w:t>
                      </w:r>
                    </w:p>
                  </w:sdtContent>
                </w:sdt>
                <w:sdt>
                  <w:sdtPr>
                    <w:alias w:val="3 p."/>
                    <w:tag w:val="part_058a13e003b44f3894658f18a8413ca6"/>
                    <w:lock w:val="sdtLocked"/>
                    <w:richText/>
                  </w:sdtPr>
                  <w:sdtContent>
                    <w:p>
                      <w:pPr>
                        <w:shd w:val="clear" w:color="000000" w:fill="auto"/>
                        <w:ind w:firstLine="993"/>
                        <w:jc w:val="both"/>
                        <w:rPr>
                          <w:sz w:val="16"/>
                          <w:szCs w:val="16"/>
                        </w:rPr>
                      </w:pPr>
                      <w:sdt>
                        <w:sdtPr>
                          <w:alias w:val="Numeris"/>
                          <w:tag w:val="nr_058a13e003b44f3894658f18a8413ca6"/>
                          <w:lock w:val="sdtLocked"/>
                          <w:richText/>
                        </w:sdtPr>
                        <w:sdtContent>
                          <w:r>
                            <w:rPr>
                              <w:sz w:val="16"/>
                              <w:szCs w:val="16"/>
                            </w:rPr>
                            <w:t>3</w:t>
                          </w:r>
                        </w:sdtContent>
                      </w:sdt>
                      <w:r>
                        <w:rPr>
                          <w:sz w:val="16"/>
                          <w:szCs w:val="16"/>
                        </w:rPr>
                        <w:t xml:space="preserve">. 3 skiltyje rezultato rodikliai nurodomi tokie patys, kokie nurodyti Plėtros programoje. Produkto rodikliai nurodomi, jei taikomi priemonei pagal finansavimo šaltinio (pvz., Lietuvos Respublikos valstybės biudžetas) reikalavimus, ir privalomai nurodomi, į Plėtros programos pažangos priemonės aprašą įtraukiant tuos rodiklius, dėl kurių prisiimti įsipareigojimai pagal atitinkamą fondą ar programą reglamentuojantį teisės aktą, jei įgyvendinamos Europos Sąjungos fondų (pvz., 2021–2027 metų Europos Sąjungos fondų investicijų programa, Ekonomikos gaivinimo ir atsparumo didinimo priemonės planas „Naujos kartos Lietuva“) ir kitos tarptautinės programos. </w:t>
                      </w:r>
                    </w:p>
                  </w:sdtContent>
                </w:sdt>
                <w:sdt>
                  <w:sdtPr>
                    <w:alias w:val="4 p."/>
                    <w:tag w:val="part_a4cea886573f4471a3b95d3dee5195a6"/>
                    <w:lock w:val="sdtLocked"/>
                    <w:richText/>
                  </w:sdtPr>
                  <w:sdtContent>
                    <w:p>
                      <w:pPr>
                        <w:shd w:val="clear" w:color="000000" w:fill="auto"/>
                        <w:ind w:firstLine="993"/>
                        <w:jc w:val="both"/>
                        <w:rPr>
                          <w:sz w:val="16"/>
                          <w:szCs w:val="16"/>
                        </w:rPr>
                      </w:pPr>
                      <w:sdt>
                        <w:sdtPr>
                          <w:alias w:val="Numeris"/>
                          <w:tag w:val="nr_a4cea886573f4471a3b95d3dee5195a6"/>
                          <w:lock w:val="sdtLocked"/>
                          <w:richText/>
                        </w:sdtPr>
                        <w:sdtContent>
                          <w:r>
                            <w:rPr>
                              <w:sz w:val="16"/>
                              <w:szCs w:val="16"/>
                            </w:rPr>
                            <w:t>4</w:t>
                          </w:r>
                        </w:sdtContent>
                      </w:sdt>
                      <w:r>
                        <w:rPr>
                          <w:sz w:val="16"/>
                          <w:szCs w:val="16"/>
                        </w:rPr>
                        <w:t xml:space="preserve">. Jei tarpinės ir (ar) galutinės siektinos rodiklio reikšmės pasiekimo metai nesutampa su nurodytais metais, 6 ir 7 skiltyse po tarpine ir (ar) galutinė siektina rodiklio reikšme skliaustuose nurodomi kiti teisingi tarpinės ir (ar) galutinės siektinos rodiklio reikšmės pasiekimo metai.  </w:t>
                      </w:r>
                    </w:p>
                  </w:sdtContent>
                </w:sdt>
                <w:sdt>
                  <w:sdtPr>
                    <w:alias w:val="5 p."/>
                    <w:tag w:val="part_274288cc28a343d0a250ecd19b4e476c"/>
                    <w:lock w:val="sdtLocked"/>
                    <w:richText/>
                  </w:sdtPr>
                  <w:sdtContent>
                    <w:p>
                      <w:pPr>
                        <w:shd w:val="clear" w:color="000000" w:fill="auto"/>
                        <w:ind w:firstLine="993"/>
                        <w:jc w:val="both"/>
                        <w:rPr>
                          <w:sz w:val="16"/>
                          <w:szCs w:val="16"/>
                        </w:rPr>
                      </w:pPr>
                      <w:sdt>
                        <w:sdtPr>
                          <w:alias w:val="Numeris"/>
                          <w:tag w:val="nr_274288cc28a343d0a250ecd19b4e476c"/>
                          <w:lock w:val="sdtLocked"/>
                          <w:richText/>
                        </w:sdtPr>
                        <w:sdtContent>
                          <w:r>
                            <w:rPr>
                              <w:sz w:val="16"/>
                              <w:szCs w:val="16"/>
                            </w:rPr>
                            <w:t>5</w:t>
                          </w:r>
                        </w:sdtContent>
                      </w:sdt>
                      <w:r>
                        <w:rPr>
                          <w:sz w:val="16"/>
                          <w:szCs w:val="16"/>
                        </w:rPr>
                        <w:t>. 8 skiltyje nurodomas finansavimo šaltinis. Jei tas pats rodiklis priskirtas keliems finansavimo šaltiniams, jis nurodomas tiek kartų, kiek yra skirtingų finansavimo šaltinių (bendrasis finansavimas ir pridėtinės vertės mokestis atskirai neišskiriami).</w:t>
                      </w:r>
                    </w:p>
                    <w:p>
                      <w:pPr>
                        <w:shd w:val="clear" w:color="000000" w:fill="auto"/>
                        <w:jc w:val="both"/>
                        <w:rPr>
                          <w:sz w:val="16"/>
                          <w:szCs w:val="16"/>
                        </w:rPr>
                      </w:pPr>
                    </w:p>
                    <w:p>
                      <w:pPr>
                        <w:shd w:val="clear" w:color="000000" w:fill="auto"/>
                        <w:ind w:firstLine="993"/>
                        <w:jc w:val="both"/>
                        <w:rPr>
                          <w:sz w:val="16"/>
                          <w:szCs w:val="16"/>
                        </w:rPr>
                      </w:pPr>
                    </w:p>
                  </w:sdtContent>
                </w:sdt>
              </w:sdtContent>
            </w:sdt>
          </w:sdtContent>
        </w:sdt>
        <w:sdt>
          <w:sdtPr>
            <w:alias w:val="skyrius"/>
            <w:tag w:val="part_052a44996adb4fdb90e514025ffa9489"/>
            <w:lock w:val="sdtLocked"/>
            <w:richText/>
          </w:sdtPr>
          <w:sdtContent>
            <w:p>
              <w:pPr>
                <w:shd w:val="clear" w:color="000000" w:fill="auto"/>
                <w:jc w:val="center"/>
                <w:rPr>
                  <w:b/>
                  <w:szCs w:val="24"/>
                </w:rPr>
              </w:pPr>
              <w:sdt>
                <w:sdtPr>
                  <w:alias w:val="Numeris"/>
                  <w:tag w:val="nr_052a44996adb4fdb90e514025ffa9489"/>
                  <w:lock w:val="sdtLocked"/>
                  <w:richText/>
                </w:sdtPr>
                <w:sdtContent>
                  <w:r>
                    <w:rPr>
                      <w:b/>
                      <w:szCs w:val="24"/>
                    </w:rPr>
                    <w:t>II</w:t>
                  </w:r>
                </w:sdtContent>
              </w:sdt>
              <w:r>
                <w:rPr>
                  <w:b/>
                  <w:szCs w:val="24"/>
                </w:rPr>
                <w:t xml:space="preserve"> SKYRIUS</w:t>
              </w:r>
            </w:p>
            <w:p>
              <w:pPr>
                <w:shd w:val="clear" w:color="000000" w:fill="auto"/>
                <w:jc w:val="center"/>
                <w:rPr>
                  <w:b/>
                  <w:szCs w:val="24"/>
                </w:rPr>
              </w:pPr>
              <w:sdt>
                <w:sdtPr>
                  <w:alias w:val="Pavadinimas"/>
                  <w:tag w:val="title_052a44996adb4fdb90e514025ffa9489"/>
                  <w:lock w:val="sdtLocked"/>
                  <w:richText/>
                </w:sdtPr>
                <w:sdtContent>
                  <w:r>
                    <w:rPr>
                      <w:b/>
                      <w:szCs w:val="24"/>
                    </w:rPr>
                    <w:t>PLĖTROS PROGRAMOS PAŽANGOS PRIEMONĖS FINANSAVIMO ŠALTINIAI</w:t>
                  </w:r>
                </w:sdtContent>
              </w:sdt>
            </w:p>
            <w:p>
              <w:pPr>
                <w:shd w:val="clear" w:color="000000" w:fill="auto"/>
                <w:jc w:val="center"/>
                <w:rPr>
                  <w:b/>
                  <w:szCs w:val="24"/>
                </w:rPr>
              </w:pPr>
            </w:p>
            <w:tbl>
              <w:tblPr>
                <w:tblW w:w="13320" w:type="dxa"/>
                <w:tblInd w:w="846" w:type="dxa"/>
                <w:tblLayout w:type="fixed"/>
                <w:tblCellMar>
                  <w:left w:w="30" w:type="dxa"/>
                  <w:right w:w="30" w:type="dxa"/>
                </w:tblCellMar>
                <w:tblLook w:val="04A0" w:firstRow="1" w:lastRow="0" w:firstColumn="1" w:lastColumn="0" w:noHBand="0" w:noVBand="1"/>
              </w:tblPr>
              <w:tblGrid>
                <w:gridCol w:w="9919"/>
                <w:gridCol w:w="3401"/>
              </w:tblGrid>
              <w:tr>
                <w:trPr>
                  <w:cantSplit/>
                  <w:trHeight w:val="414"/>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Finansavimo apimtis ir šaltiniai</w:t>
                    </w:r>
                  </w:p>
                </w:tc>
                <w:tc>
                  <w:tcPr>
                    <w:tcW w:w="340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Lėšų poreikis (tūkst. eurų)</w:t>
                    </w:r>
                  </w:p>
                </w:tc>
              </w:tr>
              <w:tr>
                <w:trPr>
                  <w:cantSplit/>
                  <w:trHeight w:val="272"/>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1</w:t>
                    </w:r>
                  </w:p>
                </w:tc>
                <w:tc>
                  <w:tcPr>
                    <w:tcW w:w="3402" w:type="dxa"/>
                    <w:tcBorders>
                      <w:top w:val="single" w:sz="4" w:space="0" w:color="auto"/>
                      <w:left w:val="single" w:sz="4" w:space="0" w:color="auto"/>
                      <w:bottom w:val="nil"/>
                      <w:right w:val="single" w:sz="4" w:space="0" w:color="auto"/>
                    </w:tcBorders>
                    <w:shd w:val="clear" w:color="auto" w:fill="DEEAF6" w:themeFill="accent1" w:themeFillTint="33"/>
                    <w:hideMark/>
                  </w:tcPr>
                  <w:p>
                    <w:pPr>
                      <w:shd w:val="clear" w:color="000000" w:fill="auto"/>
                      <w:ind w:left="15" w:hanging="15"/>
                      <w:jc w:val="center"/>
                      <w:rPr>
                        <w:b/>
                        <w:sz w:val="18"/>
                        <w:szCs w:val="18"/>
                      </w:rPr>
                    </w:pPr>
                    <w:r>
                      <w:rPr>
                        <w:b/>
                        <w:sz w:val="18"/>
                        <w:szCs w:val="18"/>
                      </w:rPr>
                      <w:t>2</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20"/>
                      </w:rPr>
                    </w:pPr>
                    <w:r>
                      <w:rPr>
                        <w:b/>
                        <w:sz w:val="20"/>
                      </w:rPr>
                      <w:t>1.1. Valstybės biudžeto lėšos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
                        <w:bCs/>
                        <w:sz w:val="20"/>
                      </w:rPr>
                    </w:pPr>
                    <w:r>
                      <w:rPr>
                        <w:b/>
                        <w:bCs/>
                        <w:sz w:val="20"/>
                      </w:rPr>
                      <w:t>2 310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Cs/>
                        <w:sz w:val="20"/>
                        <w:highlight w:val="yellow"/>
                      </w:rPr>
                    </w:pPr>
                    <w:r>
                      <w:rPr>
                        <w:bCs/>
                        <w:sz w:val="20"/>
                      </w:rPr>
                      <w:t xml:space="preserve">1.1.1.1.2. Valstybės biudžeto lėšos, skirtos apmokėti bendrai finansuojamų iš ES fondų lėšų projektų netinkamam finansuoti iš ES fondų lėšų pirkimo ir (arba) importo PVM </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sz w:val="20"/>
                      </w:rPr>
                    </w:pPr>
                    <w:r>
                      <w:rPr>
                        <w:sz w:val="20"/>
                      </w:rPr>
                      <w:t>2 310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
                        <w:sz w:val="20"/>
                      </w:rPr>
                      <w:t>1.2. Europos Sąjungos ir kitos tarptautinės finansinės paramos bendrojo finansavimo lėšos</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sz w:val="20"/>
                        <w:highlight w:val="yellow"/>
                      </w:rPr>
                    </w:pPr>
                    <w:r>
                      <w:rPr>
                        <w:b/>
                        <w:bCs/>
                        <w:color w:val="000000"/>
                        <w:sz w:val="20"/>
                      </w:rPr>
                      <w:t xml:space="preserve">7 015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Cs/>
                        <w:sz w:val="20"/>
                      </w:rPr>
                      <w:t>1.2.2.8.1. 2021–2027 m. ES struktūrinių fondų bendrojo finansavimo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b/>
                        <w:bCs/>
                        <w:color w:val="000000"/>
                        <w:sz w:val="20"/>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Cs/>
                        <w:sz w:val="20"/>
                      </w:rPr>
                    </w:pPr>
                    <w:r>
                      <w:rPr>
                        <w:bCs/>
                        <w:sz w:val="20"/>
                      </w:rPr>
                      <w:t>ESF+, Sostinės regionas</w:t>
                    </w:r>
                    <w:r>
                      <w:rPr>
                        <w:szCs w:val="24"/>
                        <w:lang w:eastAsia="lt-LT"/>
                      </w:rPr>
                      <w:t xml:space="preserve"> </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477</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hideMark/>
                  </w:tcPr>
                  <w:p>
                    <w:pPr>
                      <w:shd w:val="clear" w:color="000000" w:fill="auto"/>
                      <w:jc w:val="both"/>
                      <w:rPr>
                        <w:bCs/>
                        <w:sz w:val="20"/>
                      </w:rPr>
                    </w:pPr>
                    <w:r>
                      <w:rPr>
                        <w:bCs/>
                        <w:sz w:val="20"/>
                      </w:rPr>
                      <w:t xml:space="preserve">ESF+, </w:t>
                    </w:r>
                    <w:r>
                      <w:rPr>
                        <w:sz w:val="20"/>
                        <w:lang w:eastAsia="lt-LT"/>
                      </w:rPr>
                      <w:t xml:space="preserve">Vidurio ir vakarų Lietuvos regionas (toliau – </w:t>
                    </w:r>
                    <w:r>
                      <w:rPr>
                        <w:bCs/>
                        <w:sz w:val="20"/>
                      </w:rPr>
                      <w:t>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 xml:space="preserve">709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hideMark/>
                  </w:tcPr>
                  <w:p>
                    <w:pPr>
                      <w:shd w:val="clear" w:color="000000" w:fill="auto"/>
                      <w:jc w:val="both"/>
                      <w:rPr>
                        <w:bCs/>
                        <w:sz w:val="20"/>
                      </w:rPr>
                    </w:pPr>
                    <w:r>
                      <w:rPr>
                        <w:bCs/>
                        <w:sz w:val="20"/>
                      </w:rPr>
                      <w:t>ERPF, 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5 829</w:t>
                    </w:r>
                  </w:p>
                </w:tc>
              </w:tr>
              <w:tr>
                <w:trPr>
                  <w:cantSplit/>
                  <w:trHeight w:val="259"/>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
                        <w:sz w:val="20"/>
                      </w:rPr>
                      <w:t>1.3. Europos Sąjungos ir kitos tarptautinės finansinės paramos lėšos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sz w:val="20"/>
                        <w:highlight w:val="yellow"/>
                      </w:rPr>
                    </w:pPr>
                    <w:r>
                      <w:rPr>
                        <w:b/>
                        <w:bCs/>
                        <w:color w:val="000000"/>
                        <w:sz w:val="20"/>
                      </w:rPr>
                      <w:t>74 530</w:t>
                    </w:r>
                  </w:p>
                </w:tc>
              </w:tr>
              <w:tr>
                <w:trPr>
                  <w:cantSplit/>
                  <w:trHeight w:val="259"/>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Cs/>
                        <w:sz w:val="20"/>
                      </w:rPr>
                      <w:t xml:space="preserve">1.3.2.8.1. </w:t>
                    </w:r>
                    <w:r>
                      <w:rPr>
                        <w:rFonts w:eastAsia="Calibri"/>
                        <w:sz w:val="20"/>
                      </w:rPr>
                      <w:t xml:space="preserve">2021–2027 m. ES struktūrinių fondų </w:t>
                    </w:r>
                    <w:r>
                      <w:rPr>
                        <w:color w:val="000000"/>
                        <w:sz w:val="20"/>
                      </w:rPr>
                      <w:t>lėšos:</w:t>
                    </w:r>
                  </w:p>
                </w:tc>
                <w:tc>
                  <w:tcPr>
                    <w:tcW w:w="3402" w:type="dxa"/>
                    <w:tcBorders>
                      <w:top w:val="single" w:sz="4" w:space="0" w:color="auto"/>
                      <w:left w:val="single" w:sz="4" w:space="0" w:color="auto"/>
                      <w:bottom w:val="single" w:sz="4" w:space="0" w:color="auto"/>
                      <w:right w:val="single" w:sz="4" w:space="0" w:color="auto"/>
                    </w:tcBorders>
                    <w:vAlign w:val="center"/>
                  </w:tcPr>
                  <w:p>
                    <w:pPr>
                      <w:shd w:val="clear" w:color="000000" w:fill="auto"/>
                      <w:ind w:left="257"/>
                      <w:jc w:val="both"/>
                      <w:rPr>
                        <w:b/>
                        <w:bCs/>
                        <w:color w:val="000000"/>
                        <w:sz w:val="20"/>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sz w:val="20"/>
                      </w:rPr>
                    </w:pPr>
                    <w:r>
                      <w:rPr>
                        <w:color w:val="000000"/>
                        <w:sz w:val="20"/>
                      </w:rPr>
                      <w:t>ESF +, Sostinės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Cs/>
                        <w:sz w:val="20"/>
                        <w:highlight w:val="yellow"/>
                      </w:rPr>
                    </w:pPr>
                    <w:r>
                      <w:rPr>
                        <w:bCs/>
                        <w:sz w:val="20"/>
                      </w:rPr>
                      <w:t xml:space="preserve">477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sz w:val="20"/>
                      </w:rPr>
                    </w:pPr>
                    <w:r>
                      <w:rPr>
                        <w:color w:val="000000"/>
                        <w:sz w:val="20"/>
                      </w:rPr>
                      <w:t>ESF +, 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Cs/>
                        <w:sz w:val="20"/>
                      </w:rPr>
                    </w:pPr>
                    <w:r>
                      <w:rPr>
                        <w:bCs/>
                        <w:sz w:val="20"/>
                      </w:rPr>
                      <w:t>4 020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color w:val="000000"/>
                        <w:sz w:val="20"/>
                      </w:rPr>
                    </w:pPr>
                    <w:r>
                      <w:rPr>
                        <w:color w:val="000000"/>
                        <w:sz w:val="20"/>
                      </w:rPr>
                      <w:t xml:space="preserve">ERPF; VVL regionas </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rPr>
                    </w:pPr>
                    <w:r>
                      <w:rPr>
                        <w:color w:val="000000"/>
                        <w:sz w:val="20"/>
                      </w:rPr>
                      <w:t>33 033</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color w:val="000000"/>
                        <w:sz w:val="20"/>
                      </w:rPr>
                    </w:pPr>
                    <w:r>
                      <w:rPr>
                        <w:bCs/>
                        <w:sz w:val="20"/>
                      </w:rPr>
                      <w:t>1.3.3.1.57</w:t>
                    </w:r>
                    <w:r>
                      <w:rPr>
                        <w:bCs/>
                        <w:i/>
                        <w:iCs/>
                        <w:sz w:val="20"/>
                      </w:rPr>
                      <w:t>.</w:t>
                    </w:r>
                    <w:r>
                      <w:rPr>
                        <w:color w:val="000000"/>
                        <w:sz w:val="20"/>
                      </w:rPr>
                      <w:t xml:space="preserve"> Ekonomikos gaivinimo ir atsparumo didinimo priemonės lėšos (EGADP)</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rPr>
                    </w:pPr>
                    <w:r>
                      <w:rPr>
                        <w:color w:val="000000"/>
                        <w:sz w:val="20"/>
                      </w:rPr>
                      <w:t>37 000</w:t>
                    </w:r>
                  </w:p>
                </w:tc>
              </w:tr>
              <w:tr>
                <w:trPr>
                  <w:cantSplit/>
                  <w:trHeight w:val="228"/>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spacing w:line="276" w:lineRule="auto"/>
                      <w:ind w:left="1276" w:hanging="1276"/>
                      <w:jc w:val="both"/>
                      <w:rPr>
                        <w:b/>
                        <w:sz w:val="20"/>
                      </w:rPr>
                    </w:pPr>
                    <w:r>
                      <w:rPr>
                        <w:b/>
                        <w:sz w:val="20"/>
                      </w:rPr>
                      <w:t xml:space="preserve">1.4. Biudžetinių įstaigų pajamų įmokos ir kitos pajamos </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b/>
                        <w:sz w:val="20"/>
                      </w:rPr>
                    </w:pPr>
                    <w:r>
                      <w:rPr>
                        <w:b/>
                        <w:sz w:val="20"/>
                      </w:rPr>
                      <w:t>-</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20"/>
                      </w:rPr>
                    </w:pPr>
                    <w:r>
                      <w:rPr>
                        <w:b/>
                        <w:sz w:val="20"/>
                      </w:rPr>
                      <w:t>2. Kitos lėšos</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b/>
                        <w:sz w:val="20"/>
                      </w:rPr>
                    </w:pPr>
                    <w:r>
                      <w:rPr>
                        <w:b/>
                        <w:sz w:val="20"/>
                      </w:rPr>
                      <w:t>-</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2.1.Savivaldybių biudžetų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2.2. Privačios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2.3. Kitos viešosios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11"/>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rPr>
                        <w:b/>
                        <w:sz w:val="20"/>
                      </w:rPr>
                    </w:pPr>
                    <w:r>
                      <w:rPr>
                        <w:b/>
                        <w:sz w:val="20"/>
                      </w:rPr>
                      <w:t>IŠ VISO</w:t>
                    </w:r>
                  </w:p>
                </w:tc>
                <w:tc>
                  <w:tcPr>
                    <w:tcW w:w="340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257"/>
                      <w:rPr>
                        <w:b/>
                        <w:bCs/>
                        <w:color w:val="000000"/>
                        <w:sz w:val="20"/>
                        <w:highlight w:val="yellow"/>
                      </w:rPr>
                    </w:pPr>
                    <w:r>
                      <w:rPr>
                        <w:b/>
                        <w:bCs/>
                        <w:color w:val="000000"/>
                        <w:sz w:val="20"/>
                      </w:rPr>
                      <w:t xml:space="preserve">83 855 </w:t>
                    </w:r>
                  </w:p>
                </w:tc>
              </w:tr>
            </w:tbl>
            <w:p>
              <w:pPr>
                <w:shd w:val="clear" w:color="000000" w:fill="auto"/>
                <w:rPr>
                  <w:b/>
                  <w:sz w:val="18"/>
                  <w:szCs w:val="18"/>
                </w:rPr>
              </w:pPr>
            </w:p>
            <w:sdt>
              <w:sdtPr>
                <w:alias w:val="poskyris"/>
                <w:tag w:val="part_2e5aabde538c4a76b118e98a98e0910d"/>
                <w:lock w:val="sdtLocked"/>
                <w:richText/>
              </w:sdtPr>
              <w:sdtContent>
                <w:p>
                  <w:pPr>
                    <w:shd w:val="clear" w:color="000000" w:fill="auto"/>
                    <w:rPr>
                      <w:b/>
                      <w:sz w:val="16"/>
                      <w:szCs w:val="16"/>
                    </w:rPr>
                  </w:pPr>
                  <w:sdt>
                    <w:sdtPr>
                      <w:alias w:val="Pavadinimas"/>
                      <w:tag w:val="title_2e5aabde538c4a76b118e98a98e0910d"/>
                      <w:lock w:val="sdtLocked"/>
                      <w:richText/>
                    </w:sdtPr>
                    <w:sdtContent>
                      <w:r>
                        <w:rPr>
                          <w:b/>
                          <w:sz w:val="16"/>
                          <w:szCs w:val="16"/>
                        </w:rPr>
                        <w:t>Paaiškinimai:</w:t>
                      </w:r>
                    </w:sdtContent>
                  </w:sdt>
                </w:p>
                <w:sdt>
                  <w:sdtPr>
                    <w:alias w:val="1 p."/>
                    <w:tag w:val="part_8f5dda9ebea84270ac0b61ebe00d0685"/>
                    <w:lock w:val="sdtLocked"/>
                    <w:richText/>
                  </w:sdtPr>
                  <w:sdtContent>
                    <w:p>
                      <w:pPr>
                        <w:shd w:val="clear" w:color="000000" w:fill="auto"/>
                        <w:ind w:firstLine="993"/>
                        <w:jc w:val="both"/>
                        <w:rPr>
                          <w:sz w:val="16"/>
                          <w:szCs w:val="16"/>
                        </w:rPr>
                      </w:pPr>
                      <w:sdt>
                        <w:sdtPr>
                          <w:alias w:val="Numeris"/>
                          <w:tag w:val="nr_8f5dda9ebea84270ac0b61ebe00d0685"/>
                          <w:lock w:val="sdtLocked"/>
                          <w:richText/>
                        </w:sdtPr>
                        <w:sdtContent>
                          <w:r>
                            <w:rPr>
                              <w:sz w:val="16"/>
                              <w:szCs w:val="16"/>
                            </w:rPr>
                            <w:t>1</w:t>
                          </w:r>
                        </w:sdtContent>
                      </w:sdt>
                      <w:r>
                        <w:rPr>
                          <w:sz w:val="16"/>
                          <w:szCs w:val="16"/>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86d0fed8b6f34aab851a36df4d7f5a32"/>
                    <w:lock w:val="sdtLocked"/>
                    <w:richText/>
                  </w:sdtPr>
                  <w:sdtContent>
                    <w:p>
                      <w:pPr>
                        <w:shd w:val="clear" w:color="000000" w:fill="auto"/>
                        <w:ind w:firstLine="993"/>
                        <w:jc w:val="both"/>
                        <w:rPr>
                          <w:sz w:val="16"/>
                          <w:szCs w:val="16"/>
                        </w:rPr>
                      </w:pPr>
                      <w:sdt>
                        <w:sdtPr>
                          <w:alias w:val="Numeris"/>
                          <w:tag w:val="nr_86d0fed8b6f34aab851a36df4d7f5a32"/>
                          <w:lock w:val="sdtLocked"/>
                          <w:richText/>
                        </w:sdtPr>
                        <w:sdtContent>
                          <w:r>
                            <w:rPr>
                              <w:sz w:val="16"/>
                              <w:szCs w:val="16"/>
                            </w:rPr>
                            <w:t>2</w:t>
                          </w:r>
                        </w:sdtContent>
                      </w:sdt>
                      <w:r>
                        <w:rPr>
                          <w:sz w:val="16"/>
                          <w:szCs w:val="16"/>
                        </w:rPr>
                        <w:t>. 2 skiltyje nurodomas lėšų poreikis turi neviršyti Nacionaliniame pažangos plane nustatytų finansinių projekcijų arba turi būti pateikiamas pagrindimas, iš kokių finansavimo šaltinių, programų ketinama skirti projekcijas viršijančią lėšų dalį.</w:t>
                      </w:r>
                    </w:p>
                  </w:sdtContent>
                </w:sdt>
                <w:sdt>
                  <w:sdtPr>
                    <w:alias w:val="3 p."/>
                    <w:tag w:val="part_a6ca3671466f4521be6b5c26139972b6"/>
                    <w:lock w:val="sdtLocked"/>
                    <w:richText/>
                  </w:sdtPr>
                  <w:sdtContent>
                    <w:p>
                      <w:pPr>
                        <w:shd w:val="clear" w:color="000000" w:fill="auto"/>
                        <w:ind w:firstLine="993"/>
                        <w:jc w:val="both"/>
                      </w:pPr>
                      <w:sdt>
                        <w:sdtPr>
                          <w:alias w:val="Numeris"/>
                          <w:tag w:val="nr_a6ca3671466f4521be6b5c26139972b6"/>
                          <w:lock w:val="sdtLocked"/>
                          <w:richText/>
                        </w:sdtPr>
                        <w:sdtContent>
                          <w:r>
                            <w:rPr>
                              <w:sz w:val="16"/>
                              <w:szCs w:val="16"/>
                            </w:rPr>
                            <w:t>3</w:t>
                          </w:r>
                        </w:sdtContent>
                      </w:sdt>
                      <w:r>
                        <w:rPr>
                          <w:sz w:val="16"/>
                          <w:szCs w:val="16"/>
                        </w:rPr>
                        <w:t xml:space="preserve">. 2.3 papunktyje 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shd w:val="clear" w:color="000000" w:fill="auto"/>
                        <w:sectPr>
                          <w:pgSz w:w="16838" w:h="11906" w:orient="landscape"/>
                          <w:pgMar w:top="567" w:right="1135" w:bottom="567" w:left="1134" w:header="567" w:footer="567" w:gutter="0"/>
                          <w:pgNumType w:start="1"/>
                          <w:cols w:space="1296"/>
                          <w:titlePg/>
                          <w:docGrid w:linePitch="326"/>
                        </w:sectPr>
                      </w:pPr>
                    </w:p>
                    <w:p>
                      <w:pPr>
                        <w:shd w:val="clear" w:color="000000" w:fill="auto"/>
                        <w:tabs>
                          <w:tab w:val="center" w:pos="4819"/>
                          <w:tab w:val="right" w:pos="9071"/>
                        </w:tabs>
                        <w:overflowPunct w:val="0"/>
                        <w:textAlignment w:val="baseline"/>
                        <w:rPr>
                          <w:rFonts w:ascii="HelveticaLT" w:hAnsi="HelveticaLT"/>
                          <w:sz w:val="20"/>
                          <w:lang w:val="en-GB"/>
                        </w:rPr>
                      </w:pPr>
                    </w:p>
                  </w:sdtContent>
                </w:sdt>
              </w:sdtContent>
            </w:sdt>
          </w:sdtContent>
        </w:sdt>
        <w:sdt>
          <w:sdtPr>
            <w:alias w:val="skyrius"/>
            <w:tag w:val="part_1f88841e94034a388dd0c0ef201d6a3b"/>
            <w:lock w:val="sdtLocked"/>
            <w:richText/>
          </w:sdtPr>
          <w:sdtContent>
            <w:p>
              <w:pPr>
                <w:shd w:val="clear" w:color="000000" w:fill="auto"/>
                <w:jc w:val="center"/>
                <w:rPr>
                  <w:b/>
                  <w:bCs/>
                </w:rPr>
              </w:pPr>
              <w:sdt>
                <w:sdtPr>
                  <w:alias w:val="Numeris"/>
                  <w:tag w:val="nr_1f88841e94034a388dd0c0ef201d6a3b"/>
                  <w:lock w:val="sdtLocked"/>
                  <w:richText/>
                </w:sdtPr>
                <w:sdtContent>
                  <w:r>
                    <w:rPr>
                      <w:b/>
                      <w:bCs/>
                    </w:rPr>
                    <w:t>III</w:t>
                  </w:r>
                </w:sdtContent>
              </w:sdt>
              <w:r>
                <w:rPr>
                  <w:b/>
                  <w:bCs/>
                </w:rPr>
                <w:t xml:space="preserve"> SKYRIUS</w:t>
              </w:r>
            </w:p>
            <w:p>
              <w:pPr>
                <w:shd w:val="clear" w:color="000000" w:fill="auto"/>
                <w:jc w:val="center"/>
                <w:rPr>
                  <w:b/>
                  <w:bCs/>
                </w:rPr>
              </w:pPr>
              <w:sdt>
                <w:sdtPr>
                  <w:alias w:val="Pavadinimas"/>
                  <w:tag w:val="title_1f88841e94034a388dd0c0ef201d6a3b"/>
                  <w:lock w:val="sdtLocked"/>
                  <w:richText/>
                </w:sdtPr>
                <w:sdtContent>
                  <w:r>
                    <w:rPr>
                      <w:b/>
                      <w:bCs/>
                    </w:rPr>
                    <w:t>PLĖTROS PROGRAMOS PAŽANGOS PRIEMONĖS VEIKLŲ SUVESTINĖ</w:t>
                  </w:r>
                </w:sdtContent>
              </w:sdt>
            </w:p>
            <w:p>
              <w:pPr>
                <w:shd w:val="clear" w:color="000000" w:fill="auto"/>
                <w:jc w:val="center"/>
                <w:rPr>
                  <w:b/>
                  <w:bCs/>
                </w:rPr>
              </w:pPr>
            </w:p>
            <w:tbl>
              <w:tblPr>
                <w:tblW w:w="150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0"/>
                <w:gridCol w:w="884"/>
                <w:gridCol w:w="982"/>
                <w:gridCol w:w="764"/>
                <w:gridCol w:w="942"/>
                <w:gridCol w:w="1013"/>
                <w:gridCol w:w="817"/>
                <w:gridCol w:w="886"/>
                <w:gridCol w:w="992"/>
                <w:gridCol w:w="1240"/>
                <w:gridCol w:w="7"/>
                <w:gridCol w:w="1459"/>
                <w:gridCol w:w="720"/>
                <w:gridCol w:w="819"/>
                <w:gridCol w:w="957"/>
                <w:gridCol w:w="1035"/>
                <w:gridCol w:w="13"/>
              </w:tblGrid>
              <w:tr>
                <w:trPr>
                  <w:trHeight w:val="1425"/>
                </w:trPr>
                <w:tc>
                  <w:tcPr>
                    <w:tcW w:w="1509"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Veikla</w:t>
                    </w:r>
                  </w:p>
                </w:tc>
                <w:tc>
                  <w:tcPr>
                    <w:tcW w:w="884"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Veiklos (poveiklės, projekto) tipas</w:t>
                    </w:r>
                  </w:p>
                </w:tc>
                <w:tc>
                  <w:tcPr>
                    <w:tcW w:w="98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Galimi pareiškėjai</w:t>
                    </w:r>
                  </w:p>
                </w:tc>
                <w:tc>
                  <w:tcPr>
                    <w:tcW w:w="764"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 xml:space="preserve">Projektų </w:t>
                    </w:r>
                  </w:p>
                  <w:p>
                    <w:pPr>
                      <w:shd w:val="clear" w:color="000000" w:fill="auto"/>
                      <w:ind w:left="-57" w:right="-57"/>
                      <w:jc w:val="center"/>
                      <w:rPr>
                        <w:b/>
                        <w:sz w:val="16"/>
                        <w:szCs w:val="16"/>
                      </w:rPr>
                    </w:pPr>
                    <w:r>
                      <w:rPr>
                        <w:b/>
                        <w:sz w:val="16"/>
                        <w:szCs w:val="16"/>
                      </w:rPr>
                      <w:t>atrankos būdas</w:t>
                    </w:r>
                  </w:p>
                </w:tc>
                <w:tc>
                  <w:tcPr>
                    <w:tcW w:w="94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Valstybei svarbus ar (ir) Ministro Pirmininko strateginių projektų portfelio projektas</w:t>
                    </w:r>
                  </w:p>
                  <w:p>
                    <w:pPr>
                      <w:shd w:val="clear" w:color="000000" w:fill="auto"/>
                      <w:ind w:left="-57" w:right="-57"/>
                      <w:jc w:val="center"/>
                      <w:rPr>
                        <w:b/>
                        <w:sz w:val="16"/>
                        <w:szCs w:val="16"/>
                      </w:rPr>
                    </w:pPr>
                    <w:r>
                      <w:rPr>
                        <w:b/>
                        <w:sz w:val="16"/>
                        <w:szCs w:val="16"/>
                      </w:rPr>
                      <w:t>(įrašomas požymis: VS, MPP)</w:t>
                    </w:r>
                  </w:p>
                </w:tc>
                <w:tc>
                  <w:tcPr>
                    <w:tcW w:w="1013"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Tiesiogiai prisidedama prie HP</w:t>
                    </w:r>
                  </w:p>
                  <w:p>
                    <w:pPr>
                      <w:shd w:val="clear" w:color="000000" w:fill="auto"/>
                      <w:ind w:left="-57" w:right="-57"/>
                      <w:jc w:val="center"/>
                      <w:rPr>
                        <w:b/>
                        <w:sz w:val="16"/>
                        <w:szCs w:val="16"/>
                      </w:rPr>
                    </w:pPr>
                    <w:r>
                      <w:rPr>
                        <w:b/>
                        <w:sz w:val="16"/>
                        <w:szCs w:val="16"/>
                      </w:rPr>
                      <w:t>(Taip / Ne)</w:t>
                    </w:r>
                  </w:p>
                </w:tc>
                <w:tc>
                  <w:tcPr>
                    <w:tcW w:w="81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Valstybės pagalba (Taip / Ne)</w:t>
                    </w:r>
                  </w:p>
                </w:tc>
                <w:tc>
                  <w:tcPr>
                    <w:tcW w:w="886"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Finansavimo forma</w:t>
                    </w: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Finansavimo suma(tūkst. eurų)</w:t>
                    </w:r>
                  </w:p>
                </w:tc>
                <w:tc>
                  <w:tcPr>
                    <w:tcW w:w="1247"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1459"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Rodiklio pavadinimas ir tipas</w:t>
                    </w:r>
                  </w:p>
                </w:tc>
                <w:tc>
                  <w:tcPr>
                    <w:tcW w:w="7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Siektina galutinė rodiklio reikšmė</w:t>
                    </w:r>
                  </w:p>
                </w:tc>
                <w:tc>
                  <w:tcPr>
                    <w:tcW w:w="819"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Įgyvendi-nimo pradžia (metai, ketv.)</w:t>
                    </w:r>
                  </w:p>
                </w:tc>
                <w:tc>
                  <w:tcPr>
                    <w:tcW w:w="95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trike/>
                        <w:sz w:val="16"/>
                        <w:szCs w:val="16"/>
                      </w:rPr>
                    </w:pPr>
                    <w:r>
                      <w:rPr>
                        <w:b/>
                        <w:sz w:val="16"/>
                        <w:szCs w:val="16"/>
                      </w:rPr>
                      <w:t>Adminis-truojančioji institucija</w:t>
                    </w:r>
                  </w:p>
                </w:tc>
                <w:tc>
                  <w:tcPr>
                    <w:tcW w:w="1048"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Dalyvaujanti institucija</w:t>
                    </w:r>
                  </w:p>
                </w:tc>
              </w:tr>
              <w:tr>
                <w:trPr>
                  <w:trHeight w:val="279"/>
                </w:trPr>
                <w:tc>
                  <w:tcPr>
                    <w:tcW w:w="1509"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w:t>
                    </w:r>
                  </w:p>
                </w:tc>
                <w:tc>
                  <w:tcPr>
                    <w:tcW w:w="884"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2</w:t>
                    </w:r>
                  </w:p>
                </w:tc>
                <w:tc>
                  <w:tcPr>
                    <w:tcW w:w="98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3</w:t>
                    </w:r>
                  </w:p>
                </w:tc>
                <w:tc>
                  <w:tcPr>
                    <w:tcW w:w="764"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4</w:t>
                    </w:r>
                  </w:p>
                </w:tc>
                <w:tc>
                  <w:tcPr>
                    <w:tcW w:w="94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5</w:t>
                    </w:r>
                  </w:p>
                </w:tc>
                <w:tc>
                  <w:tcPr>
                    <w:tcW w:w="1013"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6</w:t>
                    </w:r>
                  </w:p>
                </w:tc>
                <w:tc>
                  <w:tcPr>
                    <w:tcW w:w="81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7</w:t>
                    </w:r>
                  </w:p>
                </w:tc>
                <w:tc>
                  <w:tcPr>
                    <w:tcW w:w="88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8</w:t>
                    </w: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9</w:t>
                    </w:r>
                  </w:p>
                </w:tc>
                <w:tc>
                  <w:tcPr>
                    <w:tcW w:w="1247"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10</w:t>
                    </w:r>
                  </w:p>
                </w:tc>
                <w:tc>
                  <w:tcPr>
                    <w:tcW w:w="1459"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11</w:t>
                    </w:r>
                  </w:p>
                </w:tc>
                <w:tc>
                  <w:tcPr>
                    <w:tcW w:w="720"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12</w:t>
                    </w:r>
                  </w:p>
                </w:tc>
                <w:tc>
                  <w:tcPr>
                    <w:tcW w:w="819"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13</w:t>
                    </w:r>
                  </w:p>
                </w:tc>
                <w:tc>
                  <w:tcPr>
                    <w:tcW w:w="95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14</w:t>
                    </w:r>
                  </w:p>
                </w:tc>
                <w:tc>
                  <w:tcPr>
                    <w:tcW w:w="1048"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15</w:t>
                    </w:r>
                  </w:p>
                </w:tc>
              </w:tr>
              <w:tr>
                <w:trPr>
                  <w:trHeight w:val="396"/>
                </w:trPr>
                <w:tc>
                  <w:tcPr>
                    <w:tcW w:w="1509"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color w:val="000000"/>
                        <w:sz w:val="20"/>
                      </w:rPr>
                      <w:t>1. Teisės aktų, susijusių su profesinio mokymo reglamentavimu, rengimas</w:t>
                    </w: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tc>
                <w:tc>
                  <w:tcPr>
                    <w:tcW w:w="88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R</w:t>
                    </w:r>
                  </w:p>
                </w:tc>
                <w:tc>
                  <w:tcPr>
                    <w:tcW w:w="98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w:t>
                    </w:r>
                  </w:p>
                </w:tc>
                <w:tc>
                  <w:tcPr>
                    <w:tcW w:w="76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w:t>
                    </w: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w:t>
                    </w:r>
                  </w:p>
                </w:tc>
                <w:tc>
                  <w:tcPr>
                    <w:tcW w:w="1247"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w:t>
                    </w: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P – </w:t>
                    </w:r>
                    <w:r>
                      <w:rPr>
                        <w:color w:val="000000"/>
                        <w:sz w:val="20"/>
                        <w:shd w:val="clear" w:color="auto" w:fill="FFFFFF"/>
                      </w:rPr>
                      <w:t>Paskelbtas teisės akto dėl Nacionalinės profesinio mokymo pažangos platformos steigimo projektas konsultacijoms su socialiniais partneriais ir suinteresuotosiomis šalimis </w:t>
                    </w: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1</w:t>
                    </w:r>
                  </w:p>
                  <w:p>
                    <w:pPr>
                      <w:shd w:val="clear" w:color="000000" w:fill="auto"/>
                      <w:ind w:left="-57" w:right="-57"/>
                      <w:jc w:val="center"/>
                      <w:rPr>
                        <w:color w:val="000000"/>
                        <w:sz w:val="20"/>
                      </w:rPr>
                    </w:pPr>
                  </w:p>
                </w:tc>
                <w:tc>
                  <w:tcPr>
                    <w:tcW w:w="819" w:type="dxa"/>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2022 m. I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w:t>
                    </w: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w:t>
                    </w:r>
                  </w:p>
                </w:tc>
              </w:tr>
              <w:tr>
                <w:trPr>
                  <w:trHeight w:val="2124"/>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Nacionalinės profesinio mokymo pažangos platformos sukūrimą patvirtinančių teisės aktų įsigaliojimas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w:t>
                    </w:r>
                  </w:p>
                </w:tc>
                <w:tc>
                  <w:tcPr>
                    <w:tcW w:w="81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2022 m. I ketv.</w:t>
                    </w: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564"/>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P – </w:t>
                    </w:r>
                    <w:r>
                      <w:rPr>
                        <w:sz w:val="20"/>
                        <w:lang w:eastAsia="nl-BE"/>
                      </w:rPr>
                      <w:t>Paskelbtas Profesinio mokymo įstatymo pakeitimo dėl profesinio mokymo kompetencijų centrų projektas konsultacijoms su socialiniais partneriais ir suinteresuotomis šalimis</w:t>
                    </w:r>
                    <w:r>
                      <w:rPr>
                        <w:color w:val="000000"/>
                        <w:sz w:val="20"/>
                        <w:shd w:val="clear" w:color="auto" w:fill="FFFFFF"/>
                      </w:rPr>
                      <w:t> </w:t>
                    </w: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ind w:right="-57"/>
                      <w:rPr>
                        <w:color w:val="000000"/>
                        <w:sz w:val="20"/>
                      </w:rPr>
                    </w:pPr>
                    <w:r>
                      <w:rPr>
                        <w:color w:val="000000"/>
                        <w:sz w:val="20"/>
                      </w:rPr>
                      <w:t>1</w:t>
                    </w: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819"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2022 m. I ketv.</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184"/>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Įsigalioję Profesinio mokymo įstatymo pakeitimai dėl profesinio mokymo kompetencijos centrų</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w:t>
                    </w:r>
                  </w:p>
                </w:tc>
                <w:tc>
                  <w:tcPr>
                    <w:tcW w:w="819" w:type="dxa"/>
                    <w:tcBorders>
                      <w:top w:val="single" w:sz="4" w:space="0" w:color="auto"/>
                      <w:left w:val="single" w:sz="4" w:space="0" w:color="auto"/>
                      <w:bottom w:val="single" w:sz="4" w:space="0" w:color="auto"/>
                      <w:right w:val="single" w:sz="4" w:space="0" w:color="auto"/>
                    </w:tcBorders>
                    <w:hideMark/>
                  </w:tcPr>
                  <w:p>
                    <w:pPr>
                      <w:shd w:val="clear" w:color="000000" w:fill="auto"/>
                      <w:rPr>
                        <w:color w:val="000000"/>
                        <w:sz w:val="20"/>
                      </w:rPr>
                    </w:pPr>
                    <w:r>
                      <w:rPr>
                        <w:color w:val="000000"/>
                        <w:sz w:val="20"/>
                      </w:rPr>
                      <w:t>2021 m.</w:t>
                    </w:r>
                  </w:p>
                  <w:p>
                    <w:pPr>
                      <w:shd w:val="clear" w:color="000000" w:fill="auto"/>
                      <w:ind w:left="-57" w:right="-57"/>
                      <w:jc w:val="center"/>
                      <w:rPr>
                        <w:color w:val="000000"/>
                        <w:sz w:val="20"/>
                      </w:rPr>
                    </w:pPr>
                    <w:r>
                      <w:rPr>
                        <w:color w:val="000000"/>
                        <w:sz w:val="20"/>
                      </w:rPr>
                      <w:t>II ketv.</w:t>
                    </w: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244"/>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color w:val="000000"/>
                        <w:sz w:val="20"/>
                      </w:rPr>
                      <w:t>P – Įsigalioję teisės aktai, kuriais nustatoma Paramos pameistrystei ir mokymuisi darbo vietoje schema</w:t>
                    </w:r>
                  </w:p>
                  <w:p>
                    <w:pPr>
                      <w:shd w:val="clear" w:color="000000" w:fill="auto"/>
                      <w:ind w:left="-57" w:right="-57"/>
                      <w:rPr>
                        <w:color w:val="000000"/>
                        <w:sz w:val="20"/>
                      </w:rPr>
                    </w:pP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1</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819"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2022 m. I ketv.</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3217"/>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p>
                    <w:pPr>
                      <w:shd w:val="clear" w:color="000000" w:fill="auto"/>
                      <w:ind w:left="-57" w:right="-57"/>
                      <w:rPr>
                        <w:color w:val="000000"/>
                        <w:sz w:val="20"/>
                      </w:rPr>
                    </w:pPr>
                    <w:r>
                      <w:rPr>
                        <w:color w:val="000000"/>
                        <w:sz w:val="20"/>
                      </w:rPr>
                      <w:t>P – Įsigalioję profesinio mokymo įstatymo pakeitimai dėl priėmimo į valstybės finansuojamas vietas profesiniame mokyme planavimo metodikos</w:t>
                    </w: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p>
                  <w:p>
                    <w:pPr>
                      <w:shd w:val="clear" w:color="000000" w:fill="auto"/>
                      <w:ind w:right="-57"/>
                      <w:jc w:val="center"/>
                      <w:rPr>
                        <w:color w:val="000000"/>
                        <w:sz w:val="20"/>
                      </w:rPr>
                    </w:pPr>
                    <w:r>
                      <w:rPr>
                        <w:color w:val="000000"/>
                        <w:sz w:val="20"/>
                      </w:rPr>
                      <w:t>1</w:t>
                    </w:r>
                  </w:p>
                </w:tc>
                <w:tc>
                  <w:tcPr>
                    <w:tcW w:w="819"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p>
                  <w:p>
                    <w:pPr>
                      <w:shd w:val="clear" w:color="000000" w:fill="auto"/>
                      <w:ind w:left="-57" w:right="-57"/>
                      <w:jc w:val="center"/>
                      <w:rPr>
                        <w:color w:val="000000"/>
                        <w:sz w:val="20"/>
                      </w:rPr>
                    </w:pPr>
                    <w:r>
                      <w:rPr>
                        <w:color w:val="000000"/>
                        <w:sz w:val="20"/>
                      </w:rPr>
                      <w:t>2022 m. II ketv.</w:t>
                    </w: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141"/>
                </w:trPr>
                <w:tc>
                  <w:tcPr>
                    <w:tcW w:w="150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2. Priemonių profesinio mokymo programoms atnaujinti ar parengti, profesijos mokytojams ir meistrams praktikams pritraukti parengimas</w:t>
                    </w:r>
                  </w:p>
                </w:tc>
                <w:tc>
                  <w:tcPr>
                    <w:tcW w:w="88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w:t>
                    </w:r>
                  </w:p>
                </w:tc>
                <w:tc>
                  <w:tcPr>
                    <w:tcW w:w="98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ESFA</w:t>
                    </w:r>
                  </w:p>
                </w:tc>
                <w:tc>
                  <w:tcPr>
                    <w:tcW w:w="76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P</w:t>
                    </w: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D</w:t>
                    </w: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5 000</w:t>
                    </w:r>
                  </w:p>
                </w:tc>
                <w:tc>
                  <w:tcPr>
                    <w:tcW w:w="1247" w:type="dxa"/>
                    <w:gridSpan w:val="2"/>
                    <w:tcBorders>
                      <w:top w:val="single" w:sz="4" w:space="0" w:color="auto"/>
                      <w:left w:val="single" w:sz="4" w:space="0" w:color="auto"/>
                      <w:bottom w:val="single" w:sz="4" w:space="0" w:color="auto"/>
                      <w:right w:val="single" w:sz="4" w:space="0" w:color="auto"/>
                    </w:tcBorders>
                  </w:tcPr>
                  <w:p>
                    <w:pPr>
                      <w:shd w:val="clear" w:color="000000" w:fill="auto"/>
                      <w:ind w:left="-57" w:right="-57"/>
                      <w:rPr>
                        <w:sz w:val="20"/>
                      </w:rPr>
                    </w:pPr>
                    <w:r>
                      <w:rPr>
                        <w:sz w:val="20"/>
                      </w:rPr>
                      <w:t>Ekonomikos gaivinimo ir atsparumo didinimo priemonės lėšos (EGADP)</w:t>
                    </w:r>
                  </w:p>
                  <w:p>
                    <w:pPr>
                      <w:shd w:val="clear" w:color="000000" w:fill="auto"/>
                      <w:ind w:left="-57" w:right="-57"/>
                      <w:rPr>
                        <w:color w:val="000000"/>
                        <w:sz w:val="20"/>
                      </w:rPr>
                    </w:pPr>
                  </w:p>
                </w:tc>
                <w:tc>
                  <w:tcPr>
                    <w:tcW w:w="145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P – </w:t>
                    </w:r>
                    <w:r>
                      <w:rPr>
                        <w:color w:val="000000"/>
                        <w:sz w:val="20"/>
                        <w:bdr w:val="none" w:sz="0" w:space="0" w:color="auto" w:frame="1"/>
                      </w:rPr>
                      <w:t>Poreikių atnaujinti arba kurti naujas mokymo programas, konsultuojantis su socialiniais partneriais, sudarymas</w:t>
                    </w:r>
                  </w:p>
                </w:tc>
                <w:tc>
                  <w:tcPr>
                    <w:tcW w:w="720" w:type="dxa"/>
                    <w:vMerge w:val="restart"/>
                    <w:tcBorders>
                      <w:top w:val="single" w:sz="4" w:space="0" w:color="auto"/>
                      <w:left w:val="single" w:sz="4" w:space="0" w:color="auto"/>
                      <w:bottom w:val="single" w:sz="4" w:space="0" w:color="auto"/>
                      <w:right w:val="single" w:sz="4" w:space="0" w:color="auto"/>
                    </w:tcBorders>
                  </w:tcPr>
                  <w:p>
                    <w:pPr>
                      <w:shd w:val="clear" w:color="000000" w:fill="auto"/>
                      <w:ind w:right="-57"/>
                      <w:jc w:val="center"/>
                      <w:rPr>
                        <w:color w:val="000000"/>
                        <w:sz w:val="20"/>
                      </w:rPr>
                    </w:pPr>
                    <w:r>
                      <w:rPr>
                        <w:color w:val="000000"/>
                        <w:sz w:val="20"/>
                      </w:rPr>
                      <w:t>1</w:t>
                    </w:r>
                  </w:p>
                  <w:p>
                    <w:pPr>
                      <w:shd w:val="clear" w:color="000000" w:fill="auto"/>
                      <w:ind w:left="-57" w:right="-57"/>
                      <w:jc w:val="center"/>
                      <w:rPr>
                        <w:color w:val="000000"/>
                        <w:sz w:val="20"/>
                      </w:rPr>
                    </w:pP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2022 m. IV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CPVA</w:t>
                    </w: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w:t>
                    </w:r>
                  </w:p>
                </w:tc>
              </w:tr>
              <w:tr>
                <w:trPr>
                  <w:trHeight w:val="23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1 050</w:t>
                    </w:r>
                  </w:p>
                </w:tc>
                <w:tc>
                  <w:tcPr>
                    <w:tcW w:w="1247"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sz w:val="20"/>
                      </w:rPr>
                    </w:pPr>
                    <w:r>
                      <w:rPr>
                        <w:bCs/>
                        <w:sz w:val="20"/>
                      </w:rPr>
                      <w:t>Valstybės biudžeto lėšos, skirtos apmokėti bendrai finansuojamų iš ES fondų lėšų projektų netinkamam finansuoti iš ES fondų lėšų pirkimo ir (arba) importo PVM</w:t>
                    </w:r>
                  </w:p>
                </w:tc>
                <w:tc>
                  <w:tcPr>
                    <w:tcW w:w="145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0"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76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Užregistruotos naujos / atnaujintos profesinio mokymo programos, kurios yra prieinamos mokymo paslaugų teikėjams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95</w:t>
                    </w: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2022 m. IV ketv.</w:t>
                    </w: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352"/>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Profesijos mokytojai ir (arba) meistrai, dalyvaujantys pameistrių ir praktikas atliekančių mokinių mokymo procese</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1 000</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528"/>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Švietimo ar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4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75"/>
                      <w:rPr>
                        <w:color w:val="000000"/>
                        <w:sz w:val="20"/>
                      </w:rPr>
                    </w:pPr>
                    <w:r>
                      <w:rPr>
                        <w:color w:val="000000"/>
                        <w:sz w:val="20"/>
                      </w:rPr>
                      <w:t>R – Švietimo ir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30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Skaitmeninių įgūdžių ugdymo veiklos dalyvių skaičius </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1632"/>
                </w:trPr>
                <w:tc>
                  <w:tcPr>
                    <w:tcW w:w="150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3. Priemonių bendrajam ugdymui ir profesiniam mokymui suartinti parengimas:</w:t>
                    </w:r>
                  </w:p>
                </w:tc>
                <w:tc>
                  <w:tcPr>
                    <w:tcW w:w="884"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982"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764"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942"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1013"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817"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886"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992"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1240"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1466" w:type="dxa"/>
                    <w:gridSpan w:val="2"/>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819"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957"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1048" w:type="dxa"/>
                    <w:gridSpan w:val="2"/>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r>
              <w:tr>
                <w:trPr>
                  <w:trHeight w:val="4234"/>
                </w:trPr>
                <w:tc>
                  <w:tcPr>
                    <w:tcW w:w="1509"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color w:val="000000"/>
                        <w:sz w:val="20"/>
                      </w:rPr>
                      <w:t>3.1. Galimybių mokytis profesinio mokymo programų modulius sudarymas</w:t>
                    </w: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tc>
                <w:tc>
                  <w:tcPr>
                    <w:tcW w:w="884"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I</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82"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Profesinio mokymo įstaigos</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764"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TA</w:t>
                    </w:r>
                    <w:r>
                      <w:rPr>
                        <w:color w:val="000000"/>
                        <w:sz w:val="20"/>
                        <w:vertAlign w:val="superscript"/>
                      </w:rPr>
                      <w:footnoteReference w:id="1"/>
                    </w:r>
                    <w:r>
                      <w:rPr>
                        <w:color w:val="000000"/>
                        <w:sz w:val="20"/>
                      </w:rPr>
                      <w:t xml:space="preserve"> </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42"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MPP</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1013"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Taip</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817"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Ne</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886"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D</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right="-57"/>
                      <w:rPr>
                        <w:color w:val="000000"/>
                        <w:sz w:val="20"/>
                      </w:rPr>
                    </w:pPr>
                  </w:p>
                </w:tc>
                <w:tc>
                  <w:tcPr>
                    <w:tcW w:w="992"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1 960</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1247" w:type="dxa"/>
                    <w:gridSpan w:val="2"/>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sz w:val="20"/>
                      </w:rPr>
                      <w:t>Ekonomikos gaivinimo ir atsparumo didinimo priemonės lėšos (EGADP)</w:t>
                    </w: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R – Mokinių, kurie mokosi pagal pagrindinio ir vidurinio ugdymo programas bendrojo ugdymo mokyklose ir baigusių pirminio profesinio mokymo programos modulius, skaičiaus padidėjimas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firstLine="53"/>
                      <w:jc w:val="center"/>
                      <w:rPr>
                        <w:color w:val="000000"/>
                        <w:sz w:val="20"/>
                      </w:rPr>
                    </w:pPr>
                    <w:r>
                      <w:rPr>
                        <w:color w:val="000000"/>
                        <w:sz w:val="20"/>
                      </w:rPr>
                      <w:t>4 900</w:t>
                    </w:r>
                  </w:p>
                </w:tc>
                <w:tc>
                  <w:tcPr>
                    <w:tcW w:w="819" w:type="dxa"/>
                    <w:vMerge w:val="restart"/>
                    <w:tcBorders>
                      <w:top w:val="single" w:sz="4" w:space="0" w:color="auto"/>
                      <w:left w:val="single" w:sz="4" w:space="0" w:color="auto"/>
                      <w:bottom w:val="single" w:sz="4" w:space="0" w:color="auto"/>
                      <w:right w:val="single" w:sz="4" w:space="0" w:color="auto"/>
                    </w:tcBorders>
                  </w:tcPr>
                  <w:p>
                    <w:pPr>
                      <w:shd w:val="clear" w:color="000000" w:fill="auto"/>
                      <w:spacing w:line="256" w:lineRule="auto"/>
                      <w:ind w:left="-57" w:right="-57"/>
                      <w:jc w:val="center"/>
                      <w:rPr>
                        <w:color w:val="000000"/>
                        <w:sz w:val="20"/>
                      </w:rPr>
                    </w:pPr>
                    <w:r>
                      <w:rPr>
                        <w:color w:val="000000"/>
                        <w:sz w:val="20"/>
                      </w:rPr>
                      <w:t xml:space="preserve">2022 m.  III ketv.</w:t>
                    </w:r>
                  </w:p>
                  <w:p>
                    <w:pPr>
                      <w:shd w:val="clear" w:color="000000" w:fill="auto"/>
                      <w:spacing w:line="256" w:lineRule="auto"/>
                      <w:ind w:left="-57" w:right="-57"/>
                      <w:jc w:val="center"/>
                      <w:rPr>
                        <w:color w:val="000000"/>
                        <w:sz w:val="20"/>
                      </w:rPr>
                    </w:pPr>
                  </w:p>
                  <w:p>
                    <w:pPr>
                      <w:shd w:val="clear" w:color="000000" w:fill="auto"/>
                      <w:spacing w:line="256" w:lineRule="auto"/>
                      <w:ind w:left="-57" w:right="-57"/>
                      <w:jc w:val="center"/>
                      <w:rPr>
                        <w:color w:val="000000"/>
                        <w:sz w:val="20"/>
                      </w:rPr>
                    </w:pPr>
                  </w:p>
                  <w:p>
                    <w:pPr>
                      <w:shd w:val="clear" w:color="000000" w:fill="auto"/>
                      <w:spacing w:line="256" w:lineRule="auto"/>
                      <w:ind w:left="-57" w:right="-57"/>
                      <w:jc w:val="center"/>
                      <w:rPr>
                        <w:color w:val="000000"/>
                        <w:sz w:val="20"/>
                      </w:rPr>
                    </w:pPr>
                  </w:p>
                  <w:p>
                    <w:pPr>
                      <w:shd w:val="clear" w:color="000000" w:fill="auto"/>
                      <w:spacing w:line="256" w:lineRule="auto"/>
                      <w:ind w:left="-57" w:right="-57"/>
                      <w:jc w:val="center"/>
                      <w:rPr>
                        <w:color w:val="000000"/>
                        <w:sz w:val="20"/>
                      </w:rPr>
                    </w:pPr>
                  </w:p>
                  <w:p>
                    <w:pPr>
                      <w:shd w:val="clear" w:color="000000" w:fill="auto"/>
                      <w:rPr>
                        <w:sz w:val="20"/>
                      </w:rPr>
                    </w:pPr>
                  </w:p>
                </w:tc>
                <w:tc>
                  <w:tcPr>
                    <w:tcW w:w="957"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CPVA</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1048" w:type="dxa"/>
                    <w:gridSpan w:val="2"/>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ŠMSM, SADM, EIM, ŽŪM</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rPr>
                        <w:sz w:val="20"/>
                      </w:rPr>
                    </w:pPr>
                  </w:p>
                </w:tc>
              </w:tr>
              <w:tr>
                <w:trPr>
                  <w:trHeight w:val="3263"/>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Pagal pagrindinio ir vidurinio ugdymo programas bendrojo ugdymo mokyklose besimokantys mokiniai, baigę pirminio profesinio mokymo programos modulius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4 900</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r>
              <w:tr>
                <w:trPr>
                  <w:trHeight w:val="323"/>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ar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r>
              <w:tr>
                <w:trPr>
                  <w:trHeight w:val="352"/>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ir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r>
              <w:tr>
                <w:trPr>
                  <w:trHeight w:val="338"/>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Paramą gaunančių 15–29 metų amžiaus jaunuolių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r>
              <w:tr>
                <w:trPr>
                  <w:trHeight w:val="689"/>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R – Skaitmeninių įgūdžių ugdymo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r>
              <w:tr>
                <w:trPr>
                  <w:trHeight w:val="2911"/>
                </w:trPr>
                <w:tc>
                  <w:tcPr>
                    <w:tcW w:w="150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3.2. Eksperimentinių profesinio mokymo programų plėtojimas </w:t>
                    </w:r>
                  </w:p>
                </w:tc>
                <w:tc>
                  <w:tcPr>
                    <w:tcW w:w="884"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I</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82"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Profesinio mokymo įstaigos</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76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P</w:t>
                    </w:r>
                  </w:p>
                </w:tc>
                <w:tc>
                  <w:tcPr>
                    <w:tcW w:w="942"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MPP</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1013"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Taip</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817"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Ne</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886"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D</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4 040</w:t>
                    </w:r>
                  </w:p>
                </w:tc>
                <w:tc>
                  <w:tcPr>
                    <w:tcW w:w="1247"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sz w:val="20"/>
                      </w:rPr>
                      <w:t>Ekonomikos gaivinimo ir atsparumo didinimo priemonės lėšos (EGADP)</w:t>
                    </w: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color w:val="000000"/>
                        <w:sz w:val="20"/>
                      </w:rPr>
                      <w:t>P – Gavę paramą pagrindinio ugdymo programų mokiniai, besimokantys pagal eksperimentines profesinio mokymo programas</w:t>
                    </w:r>
                  </w:p>
                  <w:p>
                    <w:pPr>
                      <w:shd w:val="clear" w:color="000000" w:fill="auto"/>
                      <w:ind w:left="-57" w:right="-57"/>
                      <w:rPr>
                        <w:color w:val="000000"/>
                        <w:sz w:val="20"/>
                      </w:rPr>
                    </w:pP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4 000</w:t>
                    </w:r>
                  </w:p>
                </w:tc>
                <w:tc>
                  <w:tcPr>
                    <w:tcW w:w="819" w:type="dxa"/>
                    <w:vMerge w:val="restart"/>
                    <w:tcBorders>
                      <w:top w:val="single" w:sz="4" w:space="0" w:color="auto"/>
                      <w:left w:val="single" w:sz="4" w:space="0" w:color="auto"/>
                      <w:bottom w:val="single" w:sz="4" w:space="0" w:color="auto"/>
                      <w:right w:val="single" w:sz="4" w:space="0" w:color="auto"/>
                    </w:tcBorders>
                  </w:tcPr>
                  <w:p>
                    <w:pPr>
                      <w:shd w:val="clear" w:color="000000" w:fill="auto"/>
                      <w:spacing w:line="256" w:lineRule="auto"/>
                      <w:ind w:left="-57" w:right="-57"/>
                      <w:jc w:val="center"/>
                      <w:rPr>
                        <w:color w:val="000000"/>
                        <w:sz w:val="20"/>
                      </w:rPr>
                    </w:pPr>
                    <w:r>
                      <w:rPr>
                        <w:color w:val="000000"/>
                        <w:sz w:val="20"/>
                      </w:rPr>
                      <w:t xml:space="preserve">2022 m.  III ketv.</w:t>
                    </w:r>
                  </w:p>
                  <w:p>
                    <w:pPr>
                      <w:shd w:val="clear" w:color="000000" w:fill="auto"/>
                      <w:spacing w:line="256" w:lineRule="auto"/>
                      <w:ind w:left="-57" w:right="-57"/>
                      <w:jc w:val="center"/>
                      <w:rPr>
                        <w:color w:val="000000"/>
                        <w:sz w:val="20"/>
                      </w:rPr>
                    </w:pPr>
                  </w:p>
                  <w:p>
                    <w:pPr>
                      <w:shd w:val="clear" w:color="000000" w:fill="auto"/>
                      <w:spacing w:line="256" w:lineRule="auto"/>
                      <w:ind w:left="-57" w:right="-57"/>
                      <w:jc w:val="center"/>
                      <w:rPr>
                        <w:color w:val="000000"/>
                        <w:sz w:val="20"/>
                      </w:rPr>
                    </w:pPr>
                  </w:p>
                  <w:p>
                    <w:pPr>
                      <w:shd w:val="clear" w:color="000000" w:fill="auto"/>
                      <w:spacing w:line="256" w:lineRule="auto"/>
                      <w:ind w:left="-57" w:right="-57"/>
                      <w:jc w:val="center"/>
                      <w:rPr>
                        <w:color w:val="000000"/>
                        <w:sz w:val="20"/>
                      </w:rPr>
                    </w:pPr>
                  </w:p>
                  <w:p>
                    <w:pPr>
                      <w:shd w:val="clear" w:color="000000" w:fill="auto"/>
                      <w:spacing w:line="256" w:lineRule="auto"/>
                      <w:ind w:left="-57" w:right="-57"/>
                      <w:jc w:val="center"/>
                      <w:rPr>
                        <w:color w:val="000000"/>
                        <w:sz w:val="20"/>
                      </w:rPr>
                    </w:pPr>
                  </w:p>
                  <w:p>
                    <w:pPr>
                      <w:shd w:val="clear" w:color="000000" w:fill="auto"/>
                      <w:ind w:left="-57" w:right="-57"/>
                      <w:jc w:val="center"/>
                      <w:rPr>
                        <w:color w:val="000000"/>
                        <w:sz w:val="20"/>
                      </w:rPr>
                    </w:pPr>
                  </w:p>
                </w:tc>
                <w:tc>
                  <w:tcPr>
                    <w:tcW w:w="957"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CPVA</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1048" w:type="dxa"/>
                    <w:gridSpan w:val="2"/>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ŠMSM</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r>
              <w:tr>
                <w:trPr>
                  <w:trHeight w:val="617"/>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ar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46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ar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337"/>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Paramą gaunančių 15–29 metų amžiaus jaunuolių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144"/>
                </w:trPr>
                <w:tc>
                  <w:tcPr>
                    <w:tcW w:w="150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4. Sukurti ir įgyvendinti priemones profesinio mokymo pameistrystės forma organizavimui skatinti</w:t>
                    </w:r>
                  </w:p>
                </w:tc>
                <w:tc>
                  <w:tcPr>
                    <w:tcW w:w="88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w:t>
                    </w:r>
                  </w:p>
                </w:tc>
                <w:tc>
                  <w:tcPr>
                    <w:tcW w:w="982"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ESFA ir profesinio mokymo įstaigos</w:t>
                    </w:r>
                  </w:p>
                  <w:p>
                    <w:pPr>
                      <w:shd w:val="clear" w:color="000000" w:fill="auto"/>
                      <w:ind w:left="-57" w:right="-57"/>
                      <w:jc w:val="center"/>
                      <w:rPr>
                        <w:color w:val="000000"/>
                        <w:sz w:val="20"/>
                      </w:rPr>
                    </w:pPr>
                  </w:p>
                </w:tc>
                <w:tc>
                  <w:tcPr>
                    <w:tcW w:w="764"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Pj</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Taip</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Taip</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D</w:t>
                    </w:r>
                  </w:p>
                </w:tc>
                <w:tc>
                  <w:tcPr>
                    <w:tcW w:w="99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20 000</w:t>
                    </w:r>
                  </w:p>
                </w:tc>
                <w:tc>
                  <w:tcPr>
                    <w:tcW w:w="1247"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sz w:val="20"/>
                      </w:rPr>
                      <w:t>Ekonomikos gaivinimo ir atsparumo didinimo priemonės lėšos (EGADP)</w:t>
                    </w: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Profesinio mokymo įstaigų, organizuojančių profesinio mokymo programas pameistrystės forma, dalis (proc.)</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100,0</w:t>
                    </w: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2022 m. II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CPVA</w:t>
                    </w: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 SADM, EIM, ŽŪM</w:t>
                    </w:r>
                  </w:p>
                </w:tc>
              </w:tr>
              <w:tr>
                <w:trPr>
                  <w:trHeight w:val="707"/>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Įgyvendintos pameistrystės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3 866</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445"/>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ar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414"/>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ir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383"/>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Paramą gaunančių 15–29 metų amžiaus jaunuolių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91"/>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Skaitmeninių įgūdžių ugdymo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004"/>
                </w:trPr>
                <w:tc>
                  <w:tcPr>
                    <w:tcW w:w="150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5. Įveiklinti sektorinių praktinio mokymo centrų sistemą įgyvendinant nacionalinio mobilumo programą</w:t>
                    </w:r>
                  </w:p>
                </w:tc>
                <w:tc>
                  <w:tcPr>
                    <w:tcW w:w="88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i/>
                        <w:iCs/>
                        <w:color w:val="000000"/>
                        <w:sz w:val="20"/>
                      </w:rPr>
                    </w:pPr>
                    <w:r>
                      <w:rPr>
                        <w:color w:val="000000"/>
                        <w:sz w:val="20"/>
                      </w:rPr>
                      <w:t>I</w:t>
                    </w:r>
                  </w:p>
                </w:tc>
                <w:tc>
                  <w:tcPr>
                    <w:tcW w:w="98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ESFA</w:t>
                    </w:r>
                  </w:p>
                </w:tc>
                <w:tc>
                  <w:tcPr>
                    <w:tcW w:w="76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Pj</w:t>
                    </w: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Taip</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D</w:t>
                    </w: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6 000</w:t>
                    </w:r>
                  </w:p>
                </w:tc>
                <w:tc>
                  <w:tcPr>
                    <w:tcW w:w="1247" w:type="dxa"/>
                    <w:gridSpan w:val="2"/>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sz w:val="20"/>
                      </w:rPr>
                      <w:t>Ekonomikos gaivinimo ir atsparumo didinimo priemonės lėšos (EGADP)</w:t>
                    </w:r>
                  </w:p>
                </w:tc>
                <w:tc>
                  <w:tcPr>
                    <w:tcW w:w="145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Moksleiviai, dalyvavę nacionalinėje mobilumo programoje ir gavę pažymėjimą, patvirtinantį, kad jie pagerino praktinius ir skaitmeninius įgūdžius sektoriniuose praktinio mokymo centruose (skaitmeninius įgūdžius pagerins ne mažiau kaip 40 proc. dalyvių)</w:t>
                    </w:r>
                  </w:p>
                </w:tc>
                <w:tc>
                  <w:tcPr>
                    <w:tcW w:w="720"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12 394</w:t>
                    </w: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2022 m. IV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CPVA</w:t>
                    </w: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w:t>
                    </w:r>
                  </w:p>
                </w:tc>
              </w:tr>
              <w:tr>
                <w:trPr>
                  <w:trHeight w:val="306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i/>
                        <w:iCs/>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1 260</w:t>
                    </w:r>
                  </w:p>
                </w:tc>
                <w:tc>
                  <w:tcPr>
                    <w:tcW w:w="1247"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sz w:val="20"/>
                      </w:rPr>
                    </w:pPr>
                    <w:r>
                      <w:rPr>
                        <w:bCs/>
                        <w:sz w:val="20"/>
                      </w:rPr>
                      <w:t>Valstybės biudžeto lėšos, skirtos apmokėti bendrai finansuojamų iš ES fondų lėšų projektų netinkamam finansuoti iš ES fondų lėšų pirkimo ir (arba) importo PVM</w:t>
                    </w:r>
                  </w:p>
                </w:tc>
                <w:tc>
                  <w:tcPr>
                    <w:tcW w:w="145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0"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736"/>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i/>
                        <w:iCs/>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ind w:left="-57" w:right="-57"/>
                      <w:rPr>
                        <w:sz w:val="20"/>
                      </w:rPr>
                    </w:pPr>
                    <w:r>
                      <w:rPr>
                        <w:color w:val="000000"/>
                        <w:sz w:val="20"/>
                      </w:rPr>
                      <w:t xml:space="preserve">R – </w:t>
                    </w:r>
                    <w:r>
                      <w:rPr>
                        <w:sz w:val="20"/>
                      </w:rPr>
                      <w:t>Švietimo ar mokymo veiklos dalyvių skaičius</w:t>
                    </w:r>
                  </w:p>
                  <w:p>
                    <w:pPr>
                      <w:shd w:val="clear" w:color="000000" w:fill="auto"/>
                      <w:ind w:left="-57" w:right="-57"/>
                      <w:rPr>
                        <w:color w:val="000000"/>
                        <w:sz w:val="20"/>
                      </w:rPr>
                    </w:pP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445"/>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i/>
                        <w:iCs/>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ir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582"/>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i/>
                        <w:iCs/>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Paramą gaunančių 15–29 metų amžiaus jaunuolių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659"/>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i/>
                        <w:iCs/>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Skaitmeninių įgūdžių ugdymo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659"/>
                </w:trPr>
                <w:tc>
                  <w:tcPr>
                    <w:tcW w:w="1509" w:type="dxa"/>
                    <w:tcBorders>
                      <w:top w:val="single" w:sz="4" w:space="0" w:color="auto"/>
                      <w:left w:val="single" w:sz="4" w:space="0" w:color="auto"/>
                      <w:bottom w:val="single" w:sz="4" w:space="0" w:color="auto"/>
                      <w:right w:val="single" w:sz="4" w:space="0" w:color="auto"/>
                    </w:tcBorders>
                  </w:tcPr>
                  <w:p>
                    <w:pPr>
                      <w:shd w:val="clear" w:color="000000" w:fill="auto"/>
                      <w:rPr>
                        <w:lang w:eastAsia="lt-LT"/>
                      </w:rPr>
                    </w:pPr>
                    <w:r>
                      <w:rPr>
                        <w:color w:val="000000"/>
                        <w:sz w:val="20"/>
                      </w:rPr>
                      <w:t>6. Profesinio mokymo prieinamumo gerinimo parama, mokiniams iš nepalankias sąlygas turinčių asmenų grupių</w:t>
                    </w:r>
                  </w:p>
                  <w:p>
                    <w:pPr>
                      <w:shd w:val="clear" w:color="000000" w:fill="auto"/>
                      <w:rPr>
                        <w:color w:val="000000"/>
                        <w:sz w:val="20"/>
                      </w:rPr>
                    </w:pPr>
                  </w:p>
                </w:tc>
                <w:tc>
                  <w:tcPr>
                    <w:tcW w:w="884"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982"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764"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942"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1013"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817"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886"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1247" w:type="dxa"/>
                    <w:gridSpan w:val="2"/>
                    <w:tcBorders>
                      <w:top w:val="single" w:sz="4" w:space="0" w:color="auto"/>
                      <w:left w:val="single" w:sz="4" w:space="0" w:color="auto"/>
                      <w:bottom w:val="single" w:sz="4" w:space="0" w:color="auto"/>
                      <w:right w:val="single" w:sz="4" w:space="0" w:color="auto"/>
                    </w:tcBorders>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rPr>
                        <w:color w:val="000000"/>
                        <w:sz w:val="20"/>
                      </w:rPr>
                    </w:pP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819"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957"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1048" w:type="dxa"/>
                    <w:gridSpan w:val="2"/>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r>
              <w:tr>
                <w:trPr>
                  <w:trHeight w:val="2546"/>
                </w:trPr>
                <w:tc>
                  <w:tcPr>
                    <w:tcW w:w="1509" w:type="dxa"/>
                    <w:vMerge w:val="restart"/>
                    <w:tcBorders>
                      <w:top w:val="single" w:sz="4" w:space="0" w:color="auto"/>
                      <w:left w:val="single" w:sz="4" w:space="0" w:color="auto"/>
                      <w:bottom w:val="single" w:sz="4" w:space="0" w:color="auto"/>
                      <w:right w:val="single" w:sz="4" w:space="0" w:color="auto"/>
                    </w:tcBorders>
                  </w:tcPr>
                  <w:p>
                    <w:pPr>
                      <w:shd w:val="clear" w:color="000000" w:fill="auto"/>
                      <w:rPr>
                        <w:lang w:eastAsia="lt-LT"/>
                      </w:rPr>
                    </w:pPr>
                    <w:r>
                      <w:rPr>
                        <w:color w:val="000000"/>
                        <w:sz w:val="20"/>
                      </w:rPr>
                      <w:t>6.1 Profesinio mokymo prieinamumo gerinimo parama, mokiniams iš nepalankias sąlygas turinčių asmenų grupių</w:t>
                    </w:r>
                    <w:r>
                      <w:rPr>
                        <w:lang w:eastAsia="lt-LT"/>
                      </w:rPr>
                      <w:t xml:space="preserve"> </w:t>
                    </w:r>
                    <w:r>
                      <w:rPr>
                        <w:sz w:val="20"/>
                        <w:lang w:eastAsia="lt-LT"/>
                      </w:rPr>
                      <w:t>Sostinės regione</w:t>
                    </w:r>
                  </w:p>
                  <w:p>
                    <w:pPr>
                      <w:shd w:val="clear" w:color="000000" w:fill="auto"/>
                      <w:ind w:left="-57" w:right="-57"/>
                      <w:rPr>
                        <w:color w:val="000000"/>
                        <w:sz w:val="20"/>
                      </w:rPr>
                    </w:pPr>
                  </w:p>
                </w:tc>
                <w:tc>
                  <w:tcPr>
                    <w:tcW w:w="884" w:type="dxa"/>
                    <w:vMerge w:val="restart"/>
                    <w:tcBorders>
                      <w:top w:val="single" w:sz="4" w:space="0" w:color="auto"/>
                      <w:left w:val="single" w:sz="4" w:space="0" w:color="auto"/>
                      <w:bottom w:val="single" w:sz="4" w:space="0" w:color="auto"/>
                      <w:right w:val="single" w:sz="4" w:space="0" w:color="000000" w:themeColor="text1"/>
                    </w:tcBorders>
                    <w:hideMark/>
                  </w:tcPr>
                  <w:p>
                    <w:pPr>
                      <w:shd w:val="clear" w:color="000000" w:fill="auto"/>
                      <w:ind w:left="-57" w:right="-57"/>
                      <w:jc w:val="center"/>
                      <w:rPr>
                        <w:color w:val="000000"/>
                        <w:sz w:val="20"/>
                      </w:rPr>
                    </w:pPr>
                    <w:r>
                      <w:rPr>
                        <w:color w:val="000000"/>
                        <w:sz w:val="20"/>
                      </w:rPr>
                      <w:t>I</w:t>
                    </w:r>
                  </w:p>
                </w:tc>
                <w:tc>
                  <w:tcPr>
                    <w:tcW w:w="982" w:type="dxa"/>
                    <w:vMerge w:val="restart"/>
                    <w:tcBorders>
                      <w:top w:val="single" w:sz="4" w:space="0" w:color="auto"/>
                      <w:left w:val="single" w:sz="4" w:space="0" w:color="000000" w:themeColor="text1"/>
                      <w:bottom w:val="single" w:sz="4" w:space="0" w:color="auto"/>
                      <w:right w:val="single" w:sz="4" w:space="0" w:color="000000" w:themeColor="text1"/>
                    </w:tcBorders>
                    <w:hideMark/>
                  </w:tcPr>
                  <w:p>
                    <w:pPr>
                      <w:shd w:val="clear" w:color="000000" w:fill="auto"/>
                      <w:ind w:left="-57" w:right="-57"/>
                      <w:jc w:val="center"/>
                      <w:rPr>
                        <w:color w:val="000000"/>
                        <w:sz w:val="20"/>
                      </w:rPr>
                    </w:pPr>
                    <w:r>
                      <w:rPr>
                        <w:color w:val="000000"/>
                        <w:sz w:val="20"/>
                      </w:rPr>
                      <w:t>ESFA</w:t>
                    </w:r>
                  </w:p>
                </w:tc>
                <w:tc>
                  <w:tcPr>
                    <w:tcW w:w="764" w:type="dxa"/>
                    <w:vMerge w:val="restart"/>
                    <w:tcBorders>
                      <w:top w:val="single" w:sz="4" w:space="0" w:color="auto"/>
                      <w:left w:val="single" w:sz="4" w:space="0" w:color="000000" w:themeColor="text1"/>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P</w:t>
                    </w: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Taip</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D</w:t>
                    </w: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477</w:t>
                    </w:r>
                  </w:p>
                </w:tc>
                <w:tc>
                  <w:tcPr>
                    <w:tcW w:w="1247" w:type="dxa"/>
                    <w:gridSpan w:val="2"/>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rFonts w:eastAsia="Calibri"/>
                        <w:sz w:val="20"/>
                      </w:rPr>
                      <w:t xml:space="preserve">2021–2027 m. ES struktūrinių fondų </w:t>
                    </w:r>
                    <w:r>
                      <w:rPr>
                        <w:color w:val="000000"/>
                        <w:sz w:val="20"/>
                      </w:rPr>
                      <w:t>Europos socialinio fondo lėšos (ESF +, Sostinės regionas)</w:t>
                    </w:r>
                  </w:p>
                  <w:p>
                    <w:pPr>
                      <w:shd w:val="clear" w:color="000000" w:fill="auto"/>
                      <w:ind w:left="-57" w:right="-57"/>
                      <w:rPr>
                        <w:color w:val="000000"/>
                        <w:sz w:val="20"/>
                      </w:rPr>
                    </w:pPr>
                  </w:p>
                  <w:p>
                    <w:pPr>
                      <w:shd w:val="clear" w:color="000000" w:fill="auto"/>
                      <w:ind w:right="-57"/>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Mokinių, iš nepalankias sąlygas turinčių asmenų grupių, kuriems buvo skirta parama profesinio mokymo prieinamumui gerinti, dalis (proc.)</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4,0</w:t>
                    </w: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2023 m. IV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CPVA</w:t>
                    </w: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 SADM, EIM, ŽŪM</w:t>
                    </w:r>
                  </w:p>
                </w:tc>
              </w:tr>
              <w:tr>
                <w:trPr>
                  <w:trHeight w:val="438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000000" w:themeColor="text1"/>
                    </w:tcBorders>
                    <w:vAlign w:val="center"/>
                    <w:hideMark/>
                  </w:tcPr>
                  <w:p>
                    <w:pPr>
                      <w:shd w:val="clear" w:color="000000" w:fill="auto"/>
                      <w:rPr>
                        <w:color w:val="000000"/>
                        <w:sz w:val="20"/>
                      </w:rPr>
                    </w:pPr>
                  </w:p>
                </w:tc>
                <w:tc>
                  <w:tcPr>
                    <w:tcW w:w="982" w:type="dxa"/>
                    <w:vMerge/>
                    <w:tcBorders>
                      <w:top w:val="single" w:sz="4" w:space="0" w:color="auto"/>
                      <w:left w:val="single" w:sz="4" w:space="0" w:color="000000" w:themeColor="text1"/>
                      <w:bottom w:val="single" w:sz="4" w:space="0" w:color="auto"/>
                      <w:right w:val="single" w:sz="4" w:space="0" w:color="000000" w:themeColor="text1"/>
                    </w:tcBorders>
                    <w:vAlign w:val="center"/>
                    <w:hideMark/>
                  </w:tcPr>
                  <w:p>
                    <w:pPr>
                      <w:shd w:val="clear" w:color="000000" w:fill="auto"/>
                      <w:rPr>
                        <w:color w:val="000000"/>
                        <w:sz w:val="20"/>
                      </w:rPr>
                    </w:pPr>
                  </w:p>
                </w:tc>
                <w:tc>
                  <w:tcPr>
                    <w:tcW w:w="764" w:type="dxa"/>
                    <w:vMerge/>
                    <w:tcBorders>
                      <w:top w:val="single" w:sz="4" w:space="0" w:color="auto"/>
                      <w:left w:val="single" w:sz="4" w:space="0" w:color="000000" w:themeColor="text1"/>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477</w:t>
                    </w:r>
                  </w:p>
                </w:tc>
                <w:tc>
                  <w:tcPr>
                    <w:tcW w:w="1247" w:type="dxa"/>
                    <w:gridSpan w:val="2"/>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bCs/>
                        <w:sz w:val="20"/>
                      </w:rPr>
                      <w:t>2021–2027 m. ES struktūrinių fondų bendrojo finansavimo lėšos (ESF+, Sostinės regionas)</w:t>
                    </w: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Mokiniai iš nepalankias sąlygas turinčių asmenų grupių, kuriems buvo skirta parama profesinio mokymo prieinamumui gerinti</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130</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546"/>
                </w:trPr>
                <w:tc>
                  <w:tcPr>
                    <w:tcW w:w="1509" w:type="dxa"/>
                    <w:vMerge w:val="restart"/>
                    <w:tcBorders>
                      <w:top w:val="single" w:sz="4" w:space="0" w:color="auto"/>
                      <w:left w:val="single" w:sz="4" w:space="0" w:color="auto"/>
                      <w:bottom w:val="single" w:sz="4" w:space="0" w:color="auto"/>
                      <w:right w:val="single" w:sz="4" w:space="0" w:color="auto"/>
                    </w:tcBorders>
                  </w:tcPr>
                  <w:p>
                    <w:pPr>
                      <w:shd w:val="clear" w:color="000000" w:fill="auto"/>
                      <w:rPr>
                        <w:lang w:eastAsia="lt-LT"/>
                      </w:rPr>
                    </w:pPr>
                    <w:r>
                      <w:rPr>
                        <w:color w:val="000000"/>
                        <w:sz w:val="20"/>
                      </w:rPr>
                      <w:t>6.2 Profesinio mokymo prieinamumo gerinimo parama, mokiniams iš nepalankias sąlygas turinčių asmenų grupių</w:t>
                    </w:r>
                    <w:r>
                      <w:rPr>
                        <w:lang w:eastAsia="lt-LT"/>
                      </w:rPr>
                      <w:t xml:space="preserve"> </w:t>
                    </w:r>
                    <w:r>
                      <w:rPr>
                        <w:sz w:val="20"/>
                        <w:lang w:eastAsia="lt-LT"/>
                      </w:rPr>
                      <w:t>Vidurio ir vakarų Lietuvos regione</w:t>
                    </w:r>
                  </w:p>
                  <w:p>
                    <w:pPr>
                      <w:shd w:val="clear" w:color="000000" w:fill="auto"/>
                      <w:ind w:left="-57" w:right="-57"/>
                      <w:rPr>
                        <w:color w:val="000000"/>
                        <w:sz w:val="20"/>
                      </w:rPr>
                    </w:pPr>
                  </w:p>
                </w:tc>
                <w:tc>
                  <w:tcPr>
                    <w:tcW w:w="88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I</w:t>
                    </w:r>
                  </w:p>
                </w:tc>
                <w:tc>
                  <w:tcPr>
                    <w:tcW w:w="982" w:type="dxa"/>
                    <w:vMerge w:val="restart"/>
                    <w:tcBorders>
                      <w:top w:val="single" w:sz="4" w:space="0" w:color="auto"/>
                      <w:left w:val="single" w:sz="4" w:space="0" w:color="1E8BCD"/>
                      <w:bottom w:val="single" w:sz="4" w:space="0" w:color="auto"/>
                      <w:right w:val="single" w:sz="4" w:space="0" w:color="1E8BCD"/>
                    </w:tcBorders>
                    <w:hideMark/>
                  </w:tcPr>
                  <w:p>
                    <w:pPr>
                      <w:shd w:val="clear" w:color="000000" w:fill="auto"/>
                      <w:ind w:left="-57" w:right="-57"/>
                      <w:jc w:val="center"/>
                      <w:rPr>
                        <w:color w:val="000000"/>
                        <w:sz w:val="20"/>
                      </w:rPr>
                    </w:pPr>
                    <w:r>
                      <w:rPr>
                        <w:color w:val="000000"/>
                        <w:sz w:val="20"/>
                      </w:rPr>
                      <w:t>ESFA</w:t>
                    </w:r>
                  </w:p>
                </w:tc>
                <w:tc>
                  <w:tcPr>
                    <w:tcW w:w="76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P</w:t>
                    </w: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Taip</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D</w:t>
                    </w: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highlight w:val="yellow"/>
                      </w:rPr>
                    </w:pPr>
                    <w:r>
                      <w:rPr>
                        <w:color w:val="000000"/>
                        <w:sz w:val="20"/>
                      </w:rPr>
                      <w:t>4 020</w:t>
                    </w:r>
                  </w:p>
                </w:tc>
                <w:tc>
                  <w:tcPr>
                    <w:tcW w:w="1247" w:type="dxa"/>
                    <w:gridSpan w:val="2"/>
                    <w:tcBorders>
                      <w:top w:val="single" w:sz="4" w:space="0" w:color="auto"/>
                      <w:left w:val="single" w:sz="4" w:space="0" w:color="auto"/>
                      <w:bottom w:val="single" w:sz="4" w:space="0" w:color="auto"/>
                      <w:right w:val="single" w:sz="4" w:space="0" w:color="auto"/>
                    </w:tcBorders>
                  </w:tcPr>
                  <w:p>
                    <w:pPr>
                      <w:shd w:val="clear" w:color="000000" w:fill="auto"/>
                      <w:rPr>
                        <w:color w:val="000000"/>
                        <w:sz w:val="20"/>
                      </w:rPr>
                    </w:pPr>
                    <w:r>
                      <w:rPr>
                        <w:rFonts w:eastAsia="Calibri"/>
                        <w:sz w:val="20"/>
                      </w:rPr>
                      <w:t xml:space="preserve">2021–2027 m. ES struktūrinių fondų </w:t>
                    </w:r>
                    <w:r>
                      <w:rPr>
                        <w:color w:val="000000"/>
                        <w:sz w:val="20"/>
                      </w:rPr>
                      <w:t>Europos socialinio fondo lėšos (ESF +, VVL regionas)</w:t>
                    </w:r>
                  </w:p>
                  <w:p>
                    <w:pPr>
                      <w:shd w:val="clear" w:color="000000" w:fill="auto"/>
                      <w:rPr>
                        <w:color w:val="000000"/>
                        <w:sz w:val="20"/>
                        <w:highlight w:val="yellow"/>
                      </w:rPr>
                    </w:pPr>
                  </w:p>
                  <w:p>
                    <w:pPr>
                      <w:shd w:val="clear" w:color="000000" w:fill="auto"/>
                      <w:rPr>
                        <w:color w:val="000000"/>
                        <w:sz w:val="20"/>
                        <w:highlight w:val="yellow"/>
                      </w:rPr>
                    </w:pP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color w:val="000000"/>
                        <w:sz w:val="20"/>
                      </w:rPr>
                      <w:t>R – Mokinių, iš nepalankias sąlygas turinčių asmenų grupių, kuriems buvo skirta parama profesinio mokymo prieinamumui gerinti, dalis (proc.)</w:t>
                    </w:r>
                  </w:p>
                  <w:p>
                    <w:pPr>
                      <w:shd w:val="clear" w:color="000000" w:fill="auto"/>
                      <w:ind w:right="-57"/>
                      <w:rPr>
                        <w:color w:val="000000"/>
                        <w:sz w:val="20"/>
                      </w:rPr>
                    </w:pP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4,0</w:t>
                    </w: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2023 m. IV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CPVA</w:t>
                    </w: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 SADM, EIM, ŽŪM</w:t>
                    </w:r>
                  </w:p>
                </w:tc>
              </w:tr>
              <w:tr>
                <w:trPr>
                  <w:trHeight w:val="2471"/>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1E8BCD"/>
                      <w:bottom w:val="single" w:sz="4" w:space="0" w:color="auto"/>
                      <w:right w:val="single" w:sz="4" w:space="0" w:color="1E8BCD"/>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709</w:t>
                    </w:r>
                  </w:p>
                  <w:p>
                    <w:pPr>
                      <w:shd w:val="clear" w:color="000000" w:fill="auto"/>
                      <w:ind w:firstLine="115"/>
                      <w:rPr>
                        <w:lang w:eastAsia="lt-LT"/>
                      </w:rPr>
                    </w:pPr>
                  </w:p>
                </w:tc>
                <w:tc>
                  <w:tcPr>
                    <w:tcW w:w="1247" w:type="dxa"/>
                    <w:gridSpan w:val="2"/>
                    <w:tcBorders>
                      <w:top w:val="single" w:sz="4" w:space="0" w:color="auto"/>
                      <w:left w:val="single" w:sz="4" w:space="0" w:color="auto"/>
                      <w:bottom w:val="single" w:sz="4" w:space="0" w:color="auto"/>
                      <w:right w:val="single" w:sz="4" w:space="0" w:color="auto"/>
                    </w:tcBorders>
                  </w:tcPr>
                  <w:p>
                    <w:pPr>
                      <w:shd w:val="clear" w:color="000000" w:fill="auto"/>
                      <w:rPr>
                        <w:color w:val="000000"/>
                        <w:sz w:val="20"/>
                        <w:highlight w:val="yellow"/>
                      </w:rPr>
                    </w:pPr>
                    <w:r>
                      <w:rPr>
                        <w:bCs/>
                        <w:sz w:val="20"/>
                      </w:rPr>
                      <w:t xml:space="preserve">2021–2027 m. ES struktūrinių fondų bendrojo finansavimo lėšos (ESF+, </w:t>
                    </w:r>
                    <w:r>
                      <w:rPr>
                        <w:color w:val="000000"/>
                        <w:sz w:val="20"/>
                      </w:rPr>
                      <w:t>VVL</w:t>
                    </w:r>
                    <w:r>
                      <w:rPr>
                        <w:bCs/>
                        <w:sz w:val="20"/>
                      </w:rPr>
                      <w:t xml:space="preserve"> regionas)</w:t>
                    </w:r>
                  </w:p>
                  <w:p>
                    <w:pPr>
                      <w:shd w:val="clear" w:color="000000" w:fill="auto"/>
                      <w:rPr>
                        <w:rFonts w:eastAsia="Calibri"/>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P – Mokiniai iš nepalankias sąlygas turinčių asmenų grupių, kuriems buvo skirta parama profesinio mokymo prieinamumui gerinti</w:t>
                    </w: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660</w:t>
                    </w:r>
                  </w:p>
                  <w:p>
                    <w:pPr>
                      <w:shd w:val="clear" w:color="000000" w:fill="auto"/>
                      <w:ind w:left="-57" w:right="-57"/>
                      <w:jc w:val="center"/>
                      <w:rPr>
                        <w:color w:val="000000"/>
                        <w:sz w:val="20"/>
                      </w:rPr>
                    </w:pPr>
                  </w:p>
                  <w:p>
                    <w:pPr>
                      <w:shd w:val="clear" w:color="000000" w:fill="auto"/>
                      <w:ind w:right="-57"/>
                      <w:rPr>
                        <w:color w:val="000000"/>
                        <w:sz w:val="20"/>
                      </w:rPr>
                    </w:pP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063"/>
                </w:trPr>
                <w:tc>
                  <w:tcPr>
                    <w:tcW w:w="150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 xml:space="preserve">7. Investicijos į profesinio mokymo infrastruktūrą </w:t>
                    </w:r>
                  </w:p>
                </w:tc>
                <w:tc>
                  <w:tcPr>
                    <w:tcW w:w="88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A, I</w:t>
                    </w:r>
                  </w:p>
                </w:tc>
                <w:tc>
                  <w:tcPr>
                    <w:tcW w:w="982" w:type="dxa"/>
                    <w:vMerge w:val="restart"/>
                    <w:tcBorders>
                      <w:top w:val="single" w:sz="4" w:space="0" w:color="1E8BCD"/>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ESFA</w:t>
                    </w:r>
                  </w:p>
                </w:tc>
                <w:tc>
                  <w:tcPr>
                    <w:tcW w:w="76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P</w:t>
                    </w: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Taip</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D</w:t>
                    </w:r>
                  </w:p>
                </w:tc>
                <w:tc>
                  <w:tcPr>
                    <w:tcW w:w="99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 xml:space="preserve">33 033 </w:t>
                    </w:r>
                  </w:p>
                </w:tc>
                <w:tc>
                  <w:tcPr>
                    <w:tcW w:w="1247"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rFonts w:eastAsia="Calibri"/>
                        <w:sz w:val="20"/>
                      </w:rPr>
                      <w:t xml:space="preserve">2021–2027 m. ES struktūrinių fondų </w:t>
                    </w:r>
                    <w:r>
                      <w:rPr>
                        <w:color w:val="000000"/>
                        <w:sz w:val="20"/>
                      </w:rPr>
                      <w:t>Europos regioninės plėtros fondo lėšos (ERPF; VVL regionas)</w:t>
                    </w: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color w:val="000000"/>
                        <w:sz w:val="20"/>
                      </w:rPr>
                      <w:t>R – Naujos arba modernizuotos švietimo infrastruktūros naudotojų skaičius per metus</w:t>
                    </w: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22 860</w:t>
                    </w: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2023 m. IV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CPVA</w:t>
                    </w: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 SADM, EIM, ŽŪM</w:t>
                    </w:r>
                  </w:p>
                </w:tc>
              </w:tr>
              <w:tr>
                <w:trPr>
                  <w:trHeight w:val="1554"/>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1E8BCD"/>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shd w:val="clear" w:color="auto" w:fill="FFFFFF"/>
                      </w:rPr>
                      <w:t>P – Naujos arba modernizuotos švietimo infrastruktūros mokymo klasių talpumas </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bdr w:val="none" w:sz="0" w:space="0" w:color="auto" w:frame="1"/>
                      </w:rPr>
                      <w:t>28 575</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1323"/>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1E8BCD"/>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5 829</w:t>
                    </w:r>
                  </w:p>
                </w:tc>
                <w:tc>
                  <w:tcPr>
                    <w:tcW w:w="1247" w:type="dxa"/>
                    <w:gridSpan w:val="2"/>
                    <w:tcBorders>
                      <w:top w:val="single" w:sz="4" w:space="0" w:color="auto"/>
                      <w:left w:val="single" w:sz="4" w:space="0" w:color="auto"/>
                      <w:bottom w:val="single" w:sz="4" w:space="0" w:color="auto"/>
                      <w:right w:val="single" w:sz="4" w:space="0" w:color="auto"/>
                    </w:tcBorders>
                  </w:tcPr>
                  <w:p>
                    <w:pPr>
                      <w:shd w:val="clear" w:color="000000" w:fill="auto"/>
                      <w:ind w:left="-57" w:right="-57"/>
                      <w:rPr>
                        <w:bCs/>
                        <w:sz w:val="20"/>
                      </w:rPr>
                    </w:pPr>
                    <w:r>
                      <w:rPr>
                        <w:bCs/>
                        <w:sz w:val="20"/>
                      </w:rPr>
                      <w:t>2021–2027 m. ES struktūrinių fondų bendrojo finansavimo lėšos (ERPF, VVL regionas)</w:t>
                    </w:r>
                  </w:p>
                  <w:p>
                    <w:pPr>
                      <w:shd w:val="clear" w:color="000000" w:fill="auto"/>
                      <w:ind w:right="-57"/>
                      <w:rPr>
                        <w:bCs/>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P – Investicijų į profesinio mokymo infrastruktūrą poreikio analizė</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gridAfter w:val="1"/>
                  <w:wAfter w:w="13" w:type="dxa"/>
                  <w:trHeight w:val="215"/>
                </w:trPr>
                <w:tc>
                  <w:tcPr>
                    <w:tcW w:w="7797" w:type="dxa"/>
                    <w:gridSpan w:val="8"/>
                    <w:tcBorders>
                      <w:top w:val="single" w:sz="4" w:space="0" w:color="auto"/>
                      <w:left w:val="single" w:sz="4" w:space="0" w:color="auto"/>
                      <w:bottom w:val="single" w:sz="4" w:space="0" w:color="auto"/>
                      <w:right w:val="single" w:sz="4" w:space="0" w:color="auto"/>
                    </w:tcBorders>
                    <w:hideMark/>
                  </w:tcPr>
                  <w:p>
                    <w:pPr>
                      <w:shd w:val="clear" w:color="000000" w:fill="auto"/>
                      <w:ind w:left="6" w:firstLine="567"/>
                      <w:jc w:val="right"/>
                      <w:rPr>
                        <w:b/>
                        <w:sz w:val="18"/>
                        <w:szCs w:val="18"/>
                      </w:rPr>
                    </w:pPr>
                    <w:r>
                      <w:rPr>
                        <w:b/>
                        <w:sz w:val="18"/>
                        <w:szCs w:val="18"/>
                      </w:rPr>
                      <w:t>Iš viso</w:t>
                    </w:r>
                  </w:p>
                </w:tc>
                <w:tc>
                  <w:tcPr>
                    <w:tcW w:w="7229" w:type="dxa"/>
                    <w:gridSpan w:val="8"/>
                    <w:tcBorders>
                      <w:top w:val="single" w:sz="4" w:space="0" w:color="auto"/>
                      <w:left w:val="single" w:sz="4" w:space="0" w:color="auto"/>
                      <w:bottom w:val="single" w:sz="4" w:space="0" w:color="auto"/>
                      <w:right w:val="single" w:sz="4" w:space="0" w:color="auto"/>
                    </w:tcBorders>
                    <w:hideMark/>
                  </w:tcPr>
                  <w:p>
                    <w:pPr>
                      <w:shd w:val="clear" w:color="000000" w:fill="auto"/>
                      <w:rPr>
                        <w:b/>
                        <w:sz w:val="18"/>
                        <w:szCs w:val="18"/>
                      </w:rPr>
                    </w:pPr>
                    <w:r>
                      <w:rPr>
                        <w:b/>
                        <w:sz w:val="18"/>
                        <w:szCs w:val="18"/>
                      </w:rPr>
                      <w:t>83 855</w:t>
                    </w:r>
                  </w:p>
                </w:tc>
              </w:tr>
            </w:tbl>
            <w:p>
              <w:pPr>
                <w:shd w:val="clear" w:color="000000" w:fill="auto"/>
                <w:ind w:firstLine="567"/>
                <w:rPr>
                  <w:b/>
                  <w:sz w:val="18"/>
                  <w:szCs w:val="18"/>
                </w:rPr>
              </w:pPr>
            </w:p>
            <w:p>
              <w:pPr>
                <w:shd w:val="clear" w:color="000000" w:fill="auto"/>
                <w:ind w:firstLine="567"/>
                <w:rPr>
                  <w:b/>
                  <w:sz w:val="18"/>
                  <w:szCs w:val="18"/>
                </w:rPr>
              </w:pPr>
            </w:p>
            <w:sdt>
              <w:sdtPr>
                <w:alias w:val="poskyris"/>
                <w:tag w:val="part_a4684a2735fa4c7894938ec4dac11ce4"/>
                <w:lock w:val="sdtLocked"/>
                <w:richText/>
              </w:sdtPr>
              <w:sdtContent>
                <w:p>
                  <w:pPr>
                    <w:shd w:val="clear" w:color="000000" w:fill="auto"/>
                    <w:ind w:firstLine="567"/>
                    <w:rPr>
                      <w:b/>
                      <w:sz w:val="18"/>
                      <w:szCs w:val="18"/>
                    </w:rPr>
                  </w:pPr>
                  <w:sdt>
                    <w:sdtPr>
                      <w:alias w:val="Pavadinimas"/>
                      <w:tag w:val="title_a4684a2735fa4c7894938ec4dac11ce4"/>
                      <w:lock w:val="sdtLocked"/>
                      <w:richText/>
                    </w:sdtPr>
                    <w:sdtContent>
                      <w:r>
                        <w:rPr>
                          <w:b/>
                          <w:sz w:val="18"/>
                          <w:szCs w:val="18"/>
                        </w:rPr>
                        <w:t>Paaiškinimai:</w:t>
                      </w:r>
                    </w:sdtContent>
                  </w:sdt>
                </w:p>
                <w:sdt>
                  <w:sdtPr>
                    <w:alias w:val="1 p."/>
                    <w:tag w:val="part_46ea197a2fed4634b8a0f17324ee6c2f"/>
                    <w:lock w:val="sdtLocked"/>
                    <w:richText/>
                  </w:sdtPr>
                  <w:sdtContent>
                    <w:p>
                      <w:pPr>
                        <w:shd w:val="clear" w:color="000000" w:fill="auto"/>
                        <w:ind w:firstLine="1134"/>
                        <w:jc w:val="both"/>
                        <w:rPr>
                          <w:sz w:val="18"/>
                          <w:szCs w:val="18"/>
                        </w:rPr>
                      </w:pPr>
                      <w:sdt>
                        <w:sdtPr>
                          <w:alias w:val="Numeris"/>
                          <w:tag w:val="nr_46ea197a2fed4634b8a0f17324ee6c2f"/>
                          <w:lock w:val="sdtLocked"/>
                          <w:richText/>
                        </w:sdtPr>
                        <w:sdtContent>
                          <w:r>
                            <w:rPr>
                              <w:sz w:val="18"/>
                              <w:szCs w:val="18"/>
                            </w:rPr>
                            <w:t>1</w:t>
                          </w:r>
                        </w:sdtContent>
                      </w:sdt>
                      <w:r>
                        <w:rPr>
                          <w:sz w:val="18"/>
                          <w:szCs w:val="18"/>
                        </w:rPr>
                        <w:t>.</w:t>
                      </w:r>
                      <w:r>
                        <w:rPr>
                          <w:b/>
                          <w:sz w:val="18"/>
                          <w:szCs w:val="18"/>
                        </w:rPr>
                        <w:t xml:space="preserve"> </w:t>
                      </w:r>
                      <w:r>
                        <w:rPr>
                          <w:sz w:val="18"/>
                          <w:szCs w:val="18"/>
                        </w:rPr>
                        <w:t>Jeigu pasirenkant Plėtros programos pažangos priemonės įgyvendinimo alternatyvas pirmiausia būtina vykdyti analitinę veiklą, pažangos priemonės aprašas gali būti tvirtinamas nurodant tik šią veiklą. Kartu su analitine veikla gali būti planuojamos ir kitos veiklos, kurių alternatyvų vertinimas neatliekamas. Įvykdžius analitinę veiklą, Plėtros programos pažangos priemonės aprašas turi būti papildomas nurodant kitas vykdomas veiklas (poveikles, projektus).</w:t>
                      </w:r>
                    </w:p>
                  </w:sdtContent>
                </w:sdt>
                <w:sdt>
                  <w:sdtPr>
                    <w:alias w:val="2 p."/>
                    <w:tag w:val="part_36cc6ba740784da08acd77359ef806a4"/>
                    <w:lock w:val="sdtLocked"/>
                    <w:richText/>
                  </w:sdtPr>
                  <w:sdtContent>
                    <w:p>
                      <w:pPr>
                        <w:shd w:val="clear" w:color="000000" w:fill="auto"/>
                        <w:ind w:firstLine="1134"/>
                        <w:jc w:val="both"/>
                        <w:rPr>
                          <w:sz w:val="18"/>
                          <w:szCs w:val="18"/>
                        </w:rPr>
                      </w:pPr>
                      <w:sdt>
                        <w:sdtPr>
                          <w:alias w:val="Numeris"/>
                          <w:tag w:val="nr_36cc6ba740784da08acd77359ef806a4"/>
                          <w:lock w:val="sdtLocked"/>
                          <w:richText/>
                        </w:sdtPr>
                        <w:sdtContent>
                          <w:r>
                            <w:rPr>
                              <w:sz w:val="18"/>
                              <w:szCs w:val="18"/>
                            </w:rPr>
                            <w:t>2</w:t>
                          </w:r>
                        </w:sdtContent>
                      </w:sdt>
                      <w:r>
                        <w:rPr>
                          <w:sz w:val="18"/>
                          <w:szCs w:val="18"/>
                        </w:rPr>
                        <w:t>. 2 skiltyje nurodomi veiklų (poveiklių, projektų) tipai: R – reguliacinė (-is), I – investicinė (-is), K – komunikacinė (-is), A – analitinė (-is), M – mišri (-us).</w:t>
                      </w:r>
                    </w:p>
                  </w:sdtContent>
                </w:sdt>
                <w:sdt>
                  <w:sdtPr>
                    <w:alias w:val="3 p."/>
                    <w:tag w:val="part_305a9b5c816142389c889d6aab75cb2b"/>
                    <w:lock w:val="sdtLocked"/>
                    <w:richText/>
                  </w:sdtPr>
                  <w:sdtContent>
                    <w:p>
                      <w:pPr>
                        <w:shd w:val="clear" w:color="000000" w:fill="auto"/>
                        <w:ind w:firstLine="1134"/>
                        <w:jc w:val="both"/>
                        <w:rPr>
                          <w:sz w:val="18"/>
                          <w:szCs w:val="18"/>
                        </w:rPr>
                      </w:pPr>
                      <w:sdt>
                        <w:sdtPr>
                          <w:alias w:val="Numeris"/>
                          <w:tag w:val="nr_305a9b5c816142389c889d6aab75cb2b"/>
                          <w:lock w:val="sdtLocked"/>
                          <w:richText/>
                        </w:sdtPr>
                        <w:sdtContent>
                          <w:r>
                            <w:rPr>
                              <w:sz w:val="18"/>
                              <w:szCs w:val="18"/>
                            </w:rPr>
                            <w:t>3</w:t>
                          </w:r>
                        </w:sdtContent>
                      </w:sdt>
                      <w:r>
                        <w:rPr>
                          <w:sz w:val="18"/>
                          <w:szCs w:val="18"/>
                        </w:rPr>
                        <w:t>. 3, 4, 8–10, 14 skiltys nepildomos, kai vykdoma (-as) reguliacinė (-is) veikla (projektas) arba kai vykdoma (-as) analitinė (-is) veikla (projektas), kuriai (-iam) vykdyti naudojamos tęstinės veiklos lėšos.</w:t>
                      </w:r>
                    </w:p>
                  </w:sdtContent>
                </w:sdt>
                <w:sdt>
                  <w:sdtPr>
                    <w:alias w:val="4 p."/>
                    <w:tag w:val="part_a9fcc6936ac345328883bf71b04c9399"/>
                    <w:lock w:val="sdtLocked"/>
                    <w:richText/>
                  </w:sdtPr>
                  <w:sdtContent>
                    <w:p>
                      <w:pPr>
                        <w:shd w:val="clear" w:color="000000" w:fill="auto"/>
                        <w:ind w:firstLine="1134"/>
                        <w:jc w:val="both"/>
                        <w:rPr>
                          <w:sz w:val="18"/>
                          <w:szCs w:val="18"/>
                        </w:rPr>
                      </w:pPr>
                      <w:sdt>
                        <w:sdtPr>
                          <w:alias w:val="Numeris"/>
                          <w:tag w:val="nr_a9fcc6936ac345328883bf71b04c9399"/>
                          <w:lock w:val="sdtLocked"/>
                          <w:richText/>
                        </w:sdtPr>
                        <w:sdtContent>
                          <w:r>
                            <w:rPr>
                              <w:sz w:val="18"/>
                              <w:szCs w:val="18"/>
                            </w:rPr>
                            <w:t>4</w:t>
                          </w:r>
                        </w:sdtContent>
                      </w:sdt>
                      <w:r>
                        <w:rPr>
                          <w:sz w:val="18"/>
                          <w:szCs w:val="18"/>
                        </w:rPr>
                        <w:t>. 4 skiltyje nurodomi projektų atrankos būdai: P – planavimas, K – konkursas, Pj – planavimas, kai ketinama įgyvendinti jungtinį projektą.</w:t>
                      </w:r>
                    </w:p>
                  </w:sdtContent>
                </w:sdt>
                <w:sdt>
                  <w:sdtPr>
                    <w:alias w:val="5 p."/>
                    <w:tag w:val="part_24383752a1bf4061a4fd2e4b405a21e2"/>
                    <w:lock w:val="sdtLocked"/>
                    <w:richText/>
                  </w:sdtPr>
                  <w:sdtContent>
                    <w:p>
                      <w:pPr>
                        <w:shd w:val="clear" w:color="000000" w:fill="auto"/>
                        <w:ind w:firstLine="1134"/>
                        <w:jc w:val="both"/>
                        <w:rPr>
                          <w:sz w:val="18"/>
                          <w:szCs w:val="18"/>
                        </w:rPr>
                      </w:pPr>
                      <w:sdt>
                        <w:sdtPr>
                          <w:alias w:val="Numeris"/>
                          <w:tag w:val="nr_24383752a1bf4061a4fd2e4b405a21e2"/>
                          <w:lock w:val="sdtLocked"/>
                          <w:richText/>
                        </w:sdtPr>
                        <w:sdtContent>
                          <w:r>
                            <w:rPr>
                              <w:sz w:val="18"/>
                              <w:szCs w:val="18"/>
                            </w:rPr>
                            <w:t>5</w:t>
                          </w:r>
                        </w:sdtContent>
                      </w:sdt>
                      <w:r>
                        <w:rPr>
                          <w:sz w:val="18"/>
                          <w:szCs w:val="18"/>
                        </w:rPr>
                        <w:t>. 5 skiltyje valstybei svarbaus projekto požymis suteikiamas pagal Strateginio valdymo metodikoje nustatytus kriterijus.</w:t>
                      </w:r>
                    </w:p>
                  </w:sdtContent>
                </w:sdt>
                <w:sdt>
                  <w:sdtPr>
                    <w:alias w:val="6 p."/>
                    <w:tag w:val="part_3cf28bba70614bbf8b140eab1201fd91"/>
                    <w:lock w:val="sdtLocked"/>
                    <w:richText/>
                  </w:sdtPr>
                  <w:sdtContent>
                    <w:p>
                      <w:pPr>
                        <w:shd w:val="clear" w:color="000000" w:fill="auto"/>
                        <w:ind w:firstLine="1134"/>
                        <w:jc w:val="both"/>
                        <w:rPr>
                          <w:sz w:val="18"/>
                          <w:szCs w:val="18"/>
                        </w:rPr>
                      </w:pPr>
                      <w:sdt>
                        <w:sdtPr>
                          <w:alias w:val="Numeris"/>
                          <w:tag w:val="nr_3cf28bba70614bbf8b140eab1201fd91"/>
                          <w:lock w:val="sdtLocked"/>
                          <w:richText/>
                        </w:sdtPr>
                        <w:sdtContent>
                          <w:r>
                            <w:rPr>
                              <w:sz w:val="18"/>
                              <w:szCs w:val="18"/>
                            </w:rPr>
                            <w:t>6</w:t>
                          </w:r>
                        </w:sdtContent>
                      </w:sdt>
                      <w:r>
                        <w:rPr>
                          <w:sz w:val="18"/>
                          <w:szCs w:val="18"/>
                        </w:rPr>
                        <w:t>. 6 skiltyje pažymima, ar tiesiogiai bus prisidedama prie horizontaliųjų principų įgyvendinimo ir (ar) (bus) nurodomi konkretūs reikalavimai projektų finansavimo sąlygų apraše.</w:t>
                      </w:r>
                    </w:p>
                  </w:sdtContent>
                </w:sdt>
                <w:sdt>
                  <w:sdtPr>
                    <w:alias w:val="7 p."/>
                    <w:tag w:val="part_56c3896119f74b16bc9227ec3f9684fa"/>
                    <w:lock w:val="sdtLocked"/>
                    <w:richText/>
                  </w:sdtPr>
                  <w:sdtContent>
                    <w:p>
                      <w:pPr>
                        <w:shd w:val="clear" w:color="000000" w:fill="auto"/>
                        <w:ind w:firstLine="1134"/>
                        <w:jc w:val="both"/>
                        <w:rPr>
                          <w:sz w:val="18"/>
                          <w:szCs w:val="18"/>
                        </w:rPr>
                      </w:pPr>
                      <w:sdt>
                        <w:sdtPr>
                          <w:alias w:val="Numeris"/>
                          <w:tag w:val="nr_56c3896119f74b16bc9227ec3f9684fa"/>
                          <w:lock w:val="sdtLocked"/>
                          <w:richText/>
                        </w:sdtPr>
                        <w:sdtContent>
                          <w:r>
                            <w:rPr>
                              <w:sz w:val="18"/>
                              <w:szCs w:val="18"/>
                            </w:rPr>
                            <w:t>7</w:t>
                          </w:r>
                        </w:sdtContent>
                      </w:sdt>
                      <w:r>
                        <w:rPr>
                          <w:sz w:val="18"/>
                          <w:szCs w:val="18"/>
                        </w:rPr>
                        <w:t xml:space="preserve">. 7 skiltyje nurodoma, ar pagal veiklas numatoma teikti valstybės pagalbą (vadovaujantis išimtimis, pagal su Europos Komisija suderintą, derinamą ar planuojamą derinti schemą, taikant </w:t>
                      </w:r>
                      <w:r>
                        <w:rPr>
                          <w:i/>
                          <w:sz w:val="18"/>
                          <w:szCs w:val="18"/>
                        </w:rPr>
                        <w:t>de minimis</w:t>
                      </w:r>
                      <w:r>
                        <w:rPr>
                          <w:sz w:val="18"/>
                          <w:szCs w:val="18"/>
                        </w:rPr>
                        <w:t xml:space="preserve"> pagalbą).</w:t>
                      </w:r>
                    </w:p>
                  </w:sdtContent>
                </w:sdt>
                <w:sdt>
                  <w:sdtPr>
                    <w:alias w:val="8 p."/>
                    <w:tag w:val="part_79a50d661b7c49dda6dad5ff1dadb4d4"/>
                    <w:lock w:val="sdtLocked"/>
                    <w:richText/>
                  </w:sdtPr>
                  <w:sdtContent>
                    <w:p>
                      <w:pPr>
                        <w:shd w:val="clear" w:color="000000" w:fill="auto"/>
                        <w:ind w:firstLine="1134"/>
                        <w:jc w:val="both"/>
                        <w:rPr>
                          <w:sz w:val="18"/>
                          <w:szCs w:val="18"/>
                        </w:rPr>
                      </w:pPr>
                      <w:sdt>
                        <w:sdtPr>
                          <w:alias w:val="Numeris"/>
                          <w:tag w:val="nr_79a50d661b7c49dda6dad5ff1dadb4d4"/>
                          <w:lock w:val="sdtLocked"/>
                          <w:richText/>
                        </w:sdtPr>
                        <w:sdtContent>
                          <w:r>
                            <w:rPr>
                              <w:sz w:val="18"/>
                              <w:szCs w:val="18"/>
                            </w:rPr>
                            <w:t>8</w:t>
                          </w:r>
                        </w:sdtContent>
                      </w:sdt>
                      <w:r>
                        <w:rPr>
                          <w:sz w:val="18"/>
                          <w:szCs w:val="18"/>
                        </w:rPr>
                        <w:t>. 8 skiltyje nurodoma taikoma finansavimo forma: DS – dotacija taikant sąlygas, D – dotacija, FP – finansinė priemonė, A – apdovanojimai.</w:t>
                      </w:r>
                    </w:p>
                  </w:sdtContent>
                </w:sdt>
                <w:sdt>
                  <w:sdtPr>
                    <w:alias w:val="9 p."/>
                    <w:tag w:val="part_fc81fa8c13f54ddd88acd71be6dffb8f"/>
                    <w:lock w:val="sdtLocked"/>
                    <w:richText/>
                  </w:sdtPr>
                  <w:sdtContent>
                    <w:p>
                      <w:pPr>
                        <w:shd w:val="clear" w:color="000000" w:fill="auto"/>
                        <w:ind w:firstLine="1134"/>
                        <w:jc w:val="both"/>
                        <w:rPr>
                          <w:sz w:val="18"/>
                          <w:szCs w:val="18"/>
                        </w:rPr>
                      </w:pPr>
                      <w:sdt>
                        <w:sdtPr>
                          <w:alias w:val="Numeris"/>
                          <w:tag w:val="nr_fc81fa8c13f54ddd88acd71be6dffb8f"/>
                          <w:lock w:val="sdtLocked"/>
                          <w:richText/>
                        </w:sdtPr>
                        <w:sdtContent>
                          <w:r>
                            <w:rPr>
                              <w:sz w:val="18"/>
                              <w:szCs w:val="18"/>
                            </w:rPr>
                            <w:t>9</w:t>
                          </w:r>
                        </w:sdtContent>
                      </w:sdt>
                      <w:r>
                        <w:rPr>
                          <w:sz w:val="18"/>
                          <w:szCs w:val="18"/>
                        </w:rPr>
                        <w:t>. 9 skiltyje nurodoma konkretaus finansavimo šaltinio, nurodyto II skyriuje, dalis, tenkanti veiklai.</w:t>
                      </w:r>
                    </w:p>
                  </w:sdtContent>
                </w:sdt>
                <w:sdt>
                  <w:sdtPr>
                    <w:alias w:val="10 p."/>
                    <w:tag w:val="part_9d98e5402be34d37b7e6073943eb69c7"/>
                    <w:lock w:val="sdtLocked"/>
                    <w:richText/>
                  </w:sdtPr>
                  <w:sdtContent>
                    <w:p>
                      <w:pPr>
                        <w:shd w:val="clear" w:color="000000" w:fill="auto"/>
                        <w:ind w:firstLine="1134"/>
                        <w:jc w:val="both"/>
                        <w:rPr>
                          <w:iCs/>
                          <w:sz w:val="18"/>
                          <w:szCs w:val="18"/>
                        </w:rPr>
                      </w:pPr>
                      <w:sdt>
                        <w:sdtPr>
                          <w:alias w:val="Numeris"/>
                          <w:tag w:val="nr_9d98e5402be34d37b7e6073943eb69c7"/>
                          <w:lock w:val="sdtLocked"/>
                          <w:richText/>
                        </w:sdtPr>
                        <w:sdtContent>
                          <w:r>
                            <w:rPr>
                              <w:sz w:val="18"/>
                              <w:szCs w:val="18"/>
                            </w:rPr>
                            <w:t>10</w:t>
                          </w:r>
                        </w:sdtContent>
                      </w:sdt>
                      <w:r>
                        <w:rPr>
                          <w:sz w:val="18"/>
                          <w:szCs w:val="18"/>
                        </w:rPr>
                        <w:t xml:space="preserve">. 10 skiltyje finansavimo šaltiniai nurodomi įrašant trumpinius: 2021–2027 IP – 2021–2027 metų Europos Sąjungos fondų investicijų programa, EGADP – </w:t>
                      </w:r>
                      <w:r>
                        <w:rPr>
                          <w:iCs/>
                          <w:sz w:val="18"/>
                          <w:szCs w:val="18"/>
                        </w:rPr>
                        <w:t>Ekonomikos gaivinimo ir atsparumo didinimo priemonės planas „Naujos kartos Lietuva“, VB – valstybės biudžetas.</w:t>
                      </w:r>
                    </w:p>
                  </w:sdtContent>
                </w:sdt>
                <w:sdt>
                  <w:sdtPr>
                    <w:alias w:val="11 p."/>
                    <w:tag w:val="part_dbd9ab9ef2d44d4ca86b8d47572e3eb0"/>
                    <w:lock w:val="sdtLocked"/>
                    <w:richText/>
                  </w:sdtPr>
                  <w:sdtContent>
                    <w:p>
                      <w:pPr>
                        <w:shd w:val="clear" w:color="000000" w:fill="auto"/>
                        <w:ind w:firstLine="1134"/>
                        <w:jc w:val="both"/>
                        <w:rPr>
                          <w:sz w:val="18"/>
                          <w:szCs w:val="18"/>
                        </w:rPr>
                      </w:pPr>
                      <w:sdt>
                        <w:sdtPr>
                          <w:alias w:val="Numeris"/>
                          <w:tag w:val="nr_dbd9ab9ef2d44d4ca86b8d47572e3eb0"/>
                          <w:lock w:val="sdtLocked"/>
                          <w:richText/>
                        </w:sdtPr>
                        <w:sdtContent>
                          <w:r>
                            <w:rPr>
                              <w:iCs/>
                              <w:sz w:val="18"/>
                              <w:szCs w:val="18"/>
                            </w:rPr>
                            <w:t>11</w:t>
                          </w:r>
                        </w:sdtContent>
                      </w:sdt>
                      <w:r>
                        <w:rPr>
                          <w:iCs/>
                          <w:sz w:val="18"/>
                          <w:szCs w:val="18"/>
                        </w:rPr>
                        <w:t xml:space="preserve">. 11 skiltyje </w:t>
                      </w:r>
                      <w:r>
                        <w:rPr>
                          <w:sz w:val="18"/>
                          <w:szCs w:val="18"/>
                        </w:rPr>
                        <w:t>rezultato rodiklis žymimas R, produkto – P.</w:t>
                      </w:r>
                      <w:r>
                        <w:rPr>
                          <w:iCs/>
                          <w:sz w:val="18"/>
                          <w:szCs w:val="18"/>
                        </w:rPr>
                        <w:t xml:space="preserve"> R</w:t>
                      </w:r>
                      <w:r>
                        <w:rPr>
                          <w:sz w:val="18"/>
                          <w:szCs w:val="18"/>
                        </w:rPr>
                        <w:t xml:space="preserve">ezultato ir produkto (jei taikoma) rodikliai perkeliami iš I skyriaus. </w:t>
                      </w:r>
                      <w:r>
                        <w:rPr>
                          <w:bCs/>
                          <w:sz w:val="18"/>
                          <w:szCs w:val="18"/>
                        </w:rPr>
                        <w:t>Jei procentinė</w:t>
                      </w:r>
                      <w:r>
                        <w:rPr>
                          <w:sz w:val="18"/>
                          <w:szCs w:val="18"/>
                        </w:rPr>
                        <w:t xml:space="preserve"> rezultato rodiklio siektina reikšmė negali būti skaidoma, o jos siekiama keliomis veiklomis (poveiklėmis, jeigu jos numatomos), ta pati siektina reikšmė gali būti nurodyta prie skirtingų veiklų (poveiklių, jeigu jos numatomos). Jei kita skaitine išraiška išreikštas rezultato ar produkto rodiklis, kelių veiklų (poveiklių, jeigu jos numatomos) siektinos reikšmės gali būti skirtingos, tačiau bendrai turi sutapti su siektinomis priemonės rodiklio reikšmėmis.</w:t>
                      </w:r>
                    </w:p>
                  </w:sdtContent>
                </w:sdt>
                <w:sdt>
                  <w:sdtPr>
                    <w:alias w:val="12 p."/>
                    <w:tag w:val="part_f02b4a09453741ceb026de036a0bcf31"/>
                    <w:lock w:val="sdtLocked"/>
                    <w:richText/>
                  </w:sdtPr>
                  <w:sdtContent>
                    <w:p>
                      <w:pPr>
                        <w:shd w:val="clear" w:color="000000" w:fill="auto"/>
                        <w:ind w:firstLine="1134"/>
                        <w:jc w:val="both"/>
                        <w:rPr>
                          <w:sz w:val="18"/>
                          <w:szCs w:val="18"/>
                        </w:rPr>
                      </w:pPr>
                      <w:sdt>
                        <w:sdtPr>
                          <w:alias w:val="Numeris"/>
                          <w:tag w:val="nr_f02b4a09453741ceb026de036a0bcf31"/>
                          <w:lock w:val="sdtLocked"/>
                          <w:richText/>
                        </w:sdtPr>
                        <w:sdtContent>
                          <w:r>
                            <w:rPr>
                              <w:sz w:val="18"/>
                              <w:szCs w:val="18"/>
                            </w:rPr>
                            <w:t>12</w:t>
                          </w:r>
                        </w:sdtContent>
                      </w:sdt>
                      <w:r>
                        <w:rPr>
                          <w:sz w:val="18"/>
                          <w:szCs w:val="18"/>
                        </w:rPr>
                        <w:t>. 13 skiltyje nurodoma planuojama veiklos (poveiklės) kvietimo data, reguliacinės veiklos vykdymo pradžios data, projekto veiklų vykdymo pradžios data (jeigu ji žinoma).</w:t>
                      </w:r>
                    </w:p>
                  </w:sdtContent>
                </w:sdt>
                <w:sdt>
                  <w:sdtPr>
                    <w:alias w:val="13 p."/>
                    <w:tag w:val="part_5ff3b94bbc93426d94d9febce324337a"/>
                    <w:lock w:val="sdtLocked"/>
                    <w:richText/>
                  </w:sdtPr>
                  <w:sdtContent>
                    <w:p>
                      <w:pPr>
                        <w:shd w:val="clear" w:color="000000" w:fill="auto"/>
                        <w:ind w:firstLine="1134"/>
                        <w:jc w:val="both"/>
                        <w:rPr>
                          <w:sz w:val="18"/>
                          <w:szCs w:val="18"/>
                        </w:rPr>
                      </w:pPr>
                      <w:sdt>
                        <w:sdtPr>
                          <w:alias w:val="Numeris"/>
                          <w:tag w:val="nr_5ff3b94bbc93426d94d9febce324337a"/>
                          <w:lock w:val="sdtLocked"/>
                          <w:richText/>
                        </w:sdtPr>
                        <w:sdtContent>
                          <w:r>
                            <w:rPr>
                              <w:sz w:val="18"/>
                              <w:szCs w:val="18"/>
                            </w:rPr>
                            <w:t>13</w:t>
                          </w:r>
                        </w:sdtContent>
                      </w:sdt>
                      <w:r>
                        <w:rPr>
                          <w:sz w:val="18"/>
                          <w:szCs w:val="18"/>
                        </w:rPr>
                        <w:t>. 14 skiltyje nurodoma priemonės veiklas ar projektus administruojanti institucija.</w:t>
                      </w:r>
                    </w:p>
                  </w:sdtContent>
                </w:sdt>
                <w:sdt>
                  <w:sdtPr>
                    <w:alias w:val="14 p."/>
                    <w:tag w:val="part_fc1f7578a56e49e6988c2e4b70769901"/>
                    <w:lock w:val="sdtLocked"/>
                    <w:richText/>
                  </w:sdtPr>
                  <w:sdtContent>
                    <w:p>
                      <w:pPr>
                        <w:shd w:val="clear" w:color="000000" w:fill="auto"/>
                        <w:ind w:firstLine="1134"/>
                        <w:jc w:val="both"/>
                        <w:rPr>
                          <w:sz w:val="18"/>
                          <w:szCs w:val="18"/>
                        </w:rPr>
                      </w:pPr>
                      <w:sdt>
                        <w:sdtPr>
                          <w:alias w:val="Numeris"/>
                          <w:tag w:val="nr_fc1f7578a56e49e6988c2e4b70769901"/>
                          <w:lock w:val="sdtLocked"/>
                          <w:richText/>
                        </w:sdtPr>
                        <w:sdtContent>
                          <w:r>
                            <w:rPr>
                              <w:sz w:val="18"/>
                              <w:szCs w:val="18"/>
                            </w:rPr>
                            <w:t>14</w:t>
                          </w:r>
                        </w:sdtContent>
                      </w:sdt>
                      <w:r>
                        <w:rPr>
                          <w:sz w:val="18"/>
                          <w:szCs w:val="18"/>
                        </w:rPr>
                        <w:t>. Jeigu priemonės veiklą numatoma finansuoti iš skirtingų finansavimo šaltinių, 1.1 papunktyje tokia veikla išskaidoma į poveikles, jai priskiriant ne daugiau nei vieną finansavimo šaltinį (bendrojo finansavimo lėšos ir valstybės biudžeto lėšos, kuriomis apmokamas pridėtinės vertės mokestis (jeigu tokios lėšos numatytos), į atskirą poveiklę neišskiriamos, tačiau nurodoma jų dalis (tūkst. eurų).</w:t>
                      </w:r>
                    </w:p>
                  </w:sdtContent>
                </w:sdt>
                <w:sdt>
                  <w:sdtPr>
                    <w:alias w:val="15 p."/>
                    <w:tag w:val="part_1368cef9b602438e890fb34f1a68a82b"/>
                    <w:lock w:val="sdtLocked"/>
                    <w:richText/>
                  </w:sdtPr>
                  <w:sdtContent>
                    <w:p>
                      <w:pPr>
                        <w:shd w:val="clear" w:color="000000" w:fill="auto"/>
                        <w:ind w:firstLine="1134"/>
                        <w:jc w:val="both"/>
                        <w:rPr>
                          <w:sz w:val="18"/>
                          <w:szCs w:val="18"/>
                        </w:rPr>
                      </w:pPr>
                      <w:sdt>
                        <w:sdtPr>
                          <w:alias w:val="Numeris"/>
                          <w:tag w:val="nr_1368cef9b602438e890fb34f1a68a82b"/>
                          <w:lock w:val="sdtLocked"/>
                          <w:richText/>
                        </w:sdtPr>
                        <w:sdtContent>
                          <w:r>
                            <w:rPr>
                              <w:sz w:val="18"/>
                              <w:szCs w:val="18"/>
                            </w:rPr>
                            <w:t>15</w:t>
                          </w:r>
                        </w:sdtContent>
                      </w:sdt>
                      <w:r>
                        <w:rPr>
                          <w:sz w:val="18"/>
                          <w:szCs w:val="18"/>
                        </w:rPr>
                        <w:t>. 1.1.1 papunktyje nurodomi numatomi įgyvendinti projektai, dėl kurių finansavimo sprendimas bus priimtas tik atlikus projektų vertinimą. Jeigu projektai bus atrenkami konkurso būdu, projektai nenurodomi.</w:t>
                      </w:r>
                    </w:p>
                    <w:p>
                      <w:pPr>
                        <w:shd w:val="clear" w:color="000000" w:fill="auto"/>
                        <w:ind w:firstLine="1134"/>
                        <w:jc w:val="both"/>
                        <w:rPr>
                          <w:sz w:val="18"/>
                          <w:szCs w:val="18"/>
                        </w:rPr>
                      </w:pPr>
                    </w:p>
                    <w:p>
                      <w:pPr>
                        <w:shd w:val="clear" w:color="000000" w:fill="auto"/>
                        <w:ind w:firstLine="567"/>
                        <w:rPr>
                          <w:sz w:val="18"/>
                          <w:szCs w:val="18"/>
                        </w:rPr>
                      </w:pPr>
                      <w:r>
                        <w:rPr>
                          <w:b/>
                          <w:sz w:val="18"/>
                          <w:szCs w:val="18"/>
                        </w:rPr>
                        <w:t>Pastaba.</w:t>
                      </w:r>
                      <w:r>
                        <w:rPr>
                          <w:sz w:val="18"/>
                          <w:szCs w:val="18"/>
                        </w:rPr>
                        <w:t xml:space="preserve"> Pasviruoju šriftu ir pilka spalva pažymėtas tekstas pildant formą ištrinamas.</w:t>
                      </w:r>
                    </w:p>
                  </w:sdtContent>
                </w:sdt>
              </w:sdtContent>
            </w:sdt>
          </w:sdtContent>
        </w:sdt>
        <w:sdt>
          <w:sdtPr>
            <w:alias w:val="pabaiga"/>
            <w:tag w:val="part_f830df53b16e4e32af2d073f3fe5b511"/>
            <w:lock w:val="sdtLocked"/>
            <w:richText/>
          </w:sdtPr>
          <w:sdtContent>
            <w:p>
              <w:pPr>
                <w:shd w:val="clear" w:color="000000" w:fill="auto"/>
                <w:ind w:firstLine="567"/>
                <w:jc w:val="center"/>
                <w:rPr>
                  <w:rFonts w:ascii="HelveticaLT" w:hAnsi="HelveticaLT"/>
                </w:rPr>
              </w:pPr>
              <w:r>
                <w:rPr>
                  <w:sz w:val="22"/>
                  <w:szCs w:val="22"/>
                </w:rPr>
                <w:t>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Priedas (pagal V-1433)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
          <w:pPr>
            <w:pStyle w:val="PlainText"/>
            <w:rPr>
              <w:rFonts w:ascii="Times New Roman" w:eastAsia="MS Mincho" w:hAnsi="Times New Roman"/>
              <w:sz w:val="20"/>
              <w:iCs/>
            </w:rPr>
          </w:pPr>
          <w:r>
            <w:rPr>
              <w:rFonts w:ascii="Times New Roman" w:eastAsia="MS Mincho" w:hAnsi="Times New Roman"/>
              <w:sz w:val="20"/>
              <w:iCs/>
            </w:rPr>
            <w:t>1 priedas (pagal V-1433)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
          <w:pPr>
            <w:pStyle w:val="PlainText"/>
            <w:rPr>
              <w:rFonts w:ascii="Times New Roman" w:eastAsia="MS Mincho" w:hAnsi="Times New Roman"/>
              <w:sz w:val="20"/>
              <w:iCs/>
            </w:rPr>
          </w:pPr>
          <w:r>
            <w:rPr>
              <w:rFonts w:ascii="Times New Roman" w:eastAsia="MS Mincho" w:hAnsi="Times New Roman"/>
              <w:sz w:val="20"/>
              <w:iCs/>
            </w:rPr>
            <w:t>2 priedas (pagal V-1433)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
          <w:pPr>
            <w:pStyle w:val="PlainText"/>
            <w:rPr>
              <w:rFonts w:ascii="Times New Roman" w:eastAsia="MS Mincho" w:hAnsi="Times New Roman"/>
              <w:sz w:val="20"/>
              <w:iCs/>
            </w:rPr>
          </w:pPr>
          <w:r>
            <w:rPr>
              <w:rFonts w:ascii="Times New Roman" w:eastAsia="MS Mincho" w:hAnsi="Times New Roman"/>
              <w:sz w:val="20"/>
              <w:iCs/>
            </w:rPr>
            <w:t>3 priedas (pagal V-1433)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
          <w:pPr>
            <w:pStyle w:val="PlainText"/>
            <w:rPr>
              <w:rFonts w:ascii="Times New Roman" w:eastAsia="MS Mincho" w:hAnsi="Times New Roman"/>
              <w:sz w:val="20"/>
              <w:iCs/>
            </w:rPr>
          </w:pPr>
          <w:r>
            <w:rPr>
              <w:rFonts w:ascii="Times New Roman" w:eastAsia="MS Mincho" w:hAnsi="Times New Roman"/>
              <w:sz w:val="20"/>
              <w:iCs/>
            </w:rPr>
            <w:t>4 priedas (pagal V-1433)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
          <w:pPr>
            <w:pStyle w:val="PlainText"/>
            <w:rPr>
              <w:rFonts w:ascii="Times New Roman" w:eastAsia="MS Mincho" w:hAnsi="Times New Roman"/>
              <w:sz w:val="20"/>
              <w:iCs/>
            </w:rPr>
          </w:pPr>
          <w:r>
            <w:rPr>
              <w:rFonts w:ascii="Times New Roman" w:eastAsia="MS Mincho" w:hAnsi="Times New Roman"/>
              <w:sz w:val="20"/>
              <w:iCs/>
            </w:rPr>
            <w:t>5 priedas (pagal V-1433)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f89770343211edb4cae1b158f98ea5">
            <w:r w:rsidRPr="00532B9F">
              <w:rPr>
                <w:rFonts w:ascii="Times New Roman" w:eastAsia="MS Mincho" w:hAnsi="Times New Roman"/>
                <w:sz w:val="20"/>
                <w:iCs/>
                <w:color w:val="0000FF" w:themeColor="hyperlink"/>
                <w:u w:val="single"/>
              </w:rPr>
              <w:t>V-1433</w:t>
            </w:r>
          </w:fldSimple>
          <w:r>
            <w:rPr>
              <w:rFonts w:ascii="Times New Roman" w:eastAsia="MS Mincho" w:hAnsi="Times New Roman"/>
              <w:sz w:val="20"/>
              <w:iCs/>
            </w:rPr>
            <w:t>,
2022-09-14,
paskelbta TAR 2022-09-14, i. k. 2022-18847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134" w:bottom="567" w:left="1134" w:header="289" w:footer="720" w:gutter="0"/>
      <w:cols w:space="720"/>
      <w:noEndnote/>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 w:id="1">
    <w:p>
      <w:pPr>
        <w:rPr>
          <w:sz w:val="20"/>
        </w:rPr>
      </w:pPr>
      <w:r>
        <w:rPr>
          <w:sz w:val="20"/>
          <w:vertAlign w:val="superscript"/>
        </w:rPr>
        <w:footnoteRef/>
      </w:r>
      <w:r>
        <w:rPr>
          <w:sz w:val="20"/>
        </w:rPr>
        <w:t xml:space="preserve"> TA – tęstinė atranka.</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819"/>
        <w:tab w:val="right" w:pos="9071"/>
      </w:tabs>
      <w:overflowPunct w:val="0"/>
      <w:textAlignment w:val="baseline"/>
      <w:rPr>
        <w:rFonts w:ascii="HelveticaLT" w:hAnsi="Helvetica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4577"/>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5:docId w15:val="{8D680D3A-D5AC-472F-ABF5-B5369E687FC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856840689">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png"/>
  <Relationship Id="rId19" Type="http://schemas.openxmlformats.org/officeDocument/2006/relationships/header" Target="header10.xml"/>
  <Relationship Id="rId2" Type="http://schemas.openxmlformats.org/officeDocument/2006/relationships/header" Target="header5.xml"/>
  <Relationship Id="rId20" Type="http://schemas.openxmlformats.org/officeDocument/2006/relationships/header" Target="header11.xml"/>
  <Relationship Id="rId21" Type="http://schemas.openxmlformats.org/officeDocument/2006/relationships/footer" Target="footer10.xml"/>
  <Relationship Id="rId22" Type="http://schemas.openxmlformats.org/officeDocument/2006/relationships/footer" Target="footer11.xml"/>
  <Relationship Id="rId23" Type="http://schemas.openxmlformats.org/officeDocument/2006/relationships/header" Target="header12.xml"/>
  <Relationship Id="rId24" Type="http://schemas.openxmlformats.org/officeDocument/2006/relationships/footer" Target="footer12.xml"/>
  <Relationship Id="rId25" Type="http://schemas.openxmlformats.org/officeDocument/2006/relationships/customXml" Target="../customXml/item4.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D8EE01F-400D-483F-8F62-133A10D8790B}"/>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800"/>
    <w:rsid w:val="004E48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480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3fd4aacb01454f39903998fc5ef8452f" PartId="05164fa85fe0449caf5cb2eb01a6a2e3">
    <Part Type="preambule" DocPartId="94c6c72caefe434692251fca73e5ef72" PartId="8ccc40fe317e4a778407aafe19756488"/>
    <Part Type="pastraipa" DocPartId="b5c4ce4b9e1b47d1a08c4d46759620c2" PartId="221f0ba4ea44457b8998c752ff99527c"/>
    <Part Type="signatura" DocPartId="9af3614e442443f7a9285efaf412854c" PartId="18ab7962aef74cfebb1a492c5626f979"/>
  </Part>
  <Part Type="patvirtinta" Title="2021–2030 M. PLĖTROS PROGRAMOS VALDYTOJOS LIETUVOS RESPUBLIKOS ŠVIETIMO, MOKSLO IR SPORTO MINISTERIJOS ŠVIETIMO PLĖTROS PROGRAMOS PAŽANGOS PRIEMONĖS NR. 12-003-03-04-03 „SUKURTI RINKOS POREIKIUS ATLIEPIANČIĄ PROFESINIO UGDYMO SISTEMĄ“ APRAŠAS" DocPartId="3e7d314efb05422f8feea4bed9a8e040" PartId="717467c0a2544bb9be153b6c08017b40">
    <Part Type="skyrius" Nr="1" Title="PLĖTROS PROGRAMOS PAŽANGOS PRIEMONĖS SIEKIAMI REZULTATAI" DocPartId="48d6ae0a714a4c43b646ee2ae1401245" PartId="66e0507eed9c4648937dbe2b2bf92f4f">
      <Part Type="poskyris" Title="Paaiškinimai:" DocPartId="275bbb64b3964ca19e7e08351d2d5781" PartId="eb6da35d86994d59a65e7a0bfed20cf2">
        <Part Type="punktas" Nr="1" Abbr="1 p." DocPartId="c416fd9305bc403b8f7f13dff4896dc5" PartId="f4683b15e8bb43cfbe34147be6ddd1c8"/>
        <Part Type="punktas" Nr="2" Abbr="2 p." DocPartId="7c3633dd48244e82a7f30d2a672fe3d7" PartId="b738f48b84c34f49896e1e8b8f3d8d3a"/>
        <Part Type="punktas" Nr="3" Abbr="3 p." DocPartId="acc3546531664cfcbb666fbe66b70f65" PartId="058a13e003b44f3894658f18a8413ca6"/>
        <Part Type="punktas" Nr="4" Abbr="4 p." DocPartId="4e32a8d44e674d93bda1c2ef7ded06bf" PartId="a4cea886573f4471a3b95d3dee5195a6"/>
        <Part Type="punktas" Nr="5" Abbr="5 p." DocPartId="846480996d2746cabdc3cbfc2f0f5c6d" PartId="274288cc28a343d0a250ecd19b4e476c"/>
      </Part>
    </Part>
    <Part Type="skyrius" Nr="2" Title="PLĖTROS PROGRAMOS PAŽANGOS PRIEMONĖS FINANSAVIMO ŠALTINIAI" DocPartId="a0355a005a7e4a72a0dbc7d66836bca8" PartId="052a44996adb4fdb90e514025ffa9489">
      <Part Type="poskyris" Title="Paaiškinimai:" DocPartId="e0110f00a05346daa709efe19213ea37" PartId="2e5aabde538c4a76b118e98a98e0910d">
        <Part Type="punktas" Nr="1" Abbr="1 p." DocPartId="9b9f43a0d4424b9481c89652a13b4759" PartId="8f5dda9ebea84270ac0b61ebe00d0685"/>
        <Part Type="punktas" Nr="2" Abbr="2 p." DocPartId="13658a8298264a48b9b32672d52d891b" PartId="86d0fed8b6f34aab851a36df4d7f5a32"/>
        <Part Type="punktas" Nr="3" Abbr="3 p." DocPartId="b5c4eed4866d4f97b0faad7db0950fec" PartId="a6ca3671466f4521be6b5c26139972b6"/>
      </Part>
    </Part>
    <Part Type="skyrius" Nr="3" Title="PLĖTROS PROGRAMOS PAŽANGOS PRIEMONĖS VEIKLŲ SUVESTINĖ" DocPartId="6d47f64dbc8943e18de9f70910bdf082" PartId="1f88841e94034a388dd0c0ef201d6a3b">
      <Part Type="poskyris" Title="Paaiškinimai:" DocPartId="cd0d20aef6c04956b621d7f3fe2bb3d5" PartId="a4684a2735fa4c7894938ec4dac11ce4">
        <Part Type="punktas" Nr="1" Abbr="1 p." DocPartId="2a884193be5a4e9da707b0eee6400e8f" PartId="46ea197a2fed4634b8a0f17324ee6c2f"/>
        <Part Type="punktas" Nr="2" Abbr="2 p." DocPartId="ced34a15213b47f8996a83e16607debb" PartId="36cc6ba740784da08acd77359ef806a4"/>
        <Part Type="punktas" Nr="3" Abbr="3 p." DocPartId="4bcd8885d7f74e13a66d9eb9fe8b1334" PartId="305a9b5c816142389c889d6aab75cb2b"/>
        <Part Type="punktas" Nr="4" Abbr="4 p." DocPartId="262d9a4a19f74d80b86a06b053564be8" PartId="a9fcc6936ac345328883bf71b04c9399"/>
        <Part Type="punktas" Nr="5" Abbr="5 p." DocPartId="38165b10b6144d2f8ba9d53b2511cab6" PartId="24383752a1bf4061a4fd2e4b405a21e2"/>
        <Part Type="punktas" Nr="6" Abbr="6 p." DocPartId="f842416b6efa41fa8620e656545469c4" PartId="3cf28bba70614bbf8b140eab1201fd91"/>
        <Part Type="punktas" Nr="7" Abbr="7 p." DocPartId="fc1c1bd4c1254f61986de52d94a88a80" PartId="56c3896119f74b16bc9227ec3f9684fa"/>
        <Part Type="punktas" Nr="8" Abbr="8 p." DocPartId="9425be0535a8423190abf5f464f9d4a8" PartId="79a50d661b7c49dda6dad5ff1dadb4d4"/>
        <Part Type="punktas" Nr="9" Abbr="9 p." DocPartId="538424ac986742b4a8bcbb150af13fb2" PartId="fc81fa8c13f54ddd88acd71be6dffb8f"/>
        <Part Type="punktas" Nr="10" Abbr="10 p." DocPartId="5954d0b2993148c1b6137a0ed6bab48f" PartId="9d98e5402be34d37b7e6073943eb69c7"/>
        <Part Type="punktas" Nr="11" Abbr="11 p." DocPartId="55a721c172ee409fbe0256db162c99e4" PartId="dbd9ab9ef2d44d4ca86b8d47572e3eb0"/>
        <Part Type="punktas" Nr="12" Abbr="12 p." DocPartId="93b3a984ab2c429d80793989d0ac435d" PartId="f02b4a09453741ceb026de036a0bcf31"/>
        <Part Type="punktas" Nr="13" Abbr="13 p." DocPartId="94ebd0eb104842188cad37ee16180dbf" PartId="5ff3b94bbc93426d94d9febce324337a"/>
        <Part Type="punktas" Nr="14" Abbr="14 p." DocPartId="3edf16c5dac74d72a632d35a60de8879" PartId="fc1f7578a56e49e6988c2e4b70769901"/>
        <Part Type="punktas" Nr="15" Abbr="15 p." DocPartId="30444c302e8040bd909c74d337332ae2" PartId="1368cef9b602438e890fb34f1a68a82b"/>
      </Part>
    </Part>
    <Part Type="pabaiga" DocPartId="d2df1c3ed3ac44b792210528465395d1" PartId="f830df53b16e4e32af2d073f3fe5b511"/>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2.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0B59A87-E817-4E4D-B10D-A759AE301B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47CC09D-C843-4FAA-867D-55C094E23E9A}">
  <ds:schemaRefs>
    <ds:schemaRef ds:uri="http://lrs.lt/TAIS/DocParts"/>
  </ds:schemaRefs>
</ds:datastoreItem>
</file>

<file path=customXml/itemProps5.xml><?xml version="1.0" encoding="utf-8"?>
<ds:datastoreItem xmlns:ds="http://schemas.openxmlformats.org/officeDocument/2006/customXml" ds:itemID="{9A364F40-036C-4D7D-ADA4-04888178224F}">
  <ds:schemaRefs>
    <ds:schemaRef ds:uri="http://schemas.openxmlformats.org/officeDocument/2006/bibliography"/>
  </ds:schemaRefs>
</ds:datastoreItem>
</file>

<file path=customXml/itemProps6.xml><?xml version="1.0" encoding="utf-8"?>
<ds:datastoreItem xmlns:ds="http://schemas.openxmlformats.org/officeDocument/2006/customXml" ds:itemID="{D1984E17-6D2E-4918-95EA-F2A210BC3A0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TotalTime>
  <Pages>18</Pages>
  <Words>3453</Words>
  <Characters>23862</Characters>
  <Application>Microsoft Office Word</Application>
  <DocSecurity>0</DocSecurity>
  <Lines>198</Lines>
  <Paragraphs>54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48a118e4-7e17-4610-8616-361d2880dc11</vt:lpstr>
      <vt:lpstr/>
    </vt:vector>
  </TitlesOfParts>
  <Company>VKS</Company>
  <LinksUpToDate>false</LinksUpToDate>
  <CharactersWithSpaces>27261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2022-06-09T13:59:00Z</dcterms:created>
  <dc:creator>Janavičienė Vida | ŠMSM</dc:creator>
  <lastModifiedBy>DRAZDAUSKIENĖ Nijolė</lastModifiedBy>
  <lastPrinted>2010-02-18T07:54:00Z</lastPrinted>
  <dcterms:modified xsi:type="dcterms:W3CDTF">2022-09-15T12:12:00Z</dcterms:modified>
  <revision>5</revision>
  <dc:title>b33a3bb9-a074-41f5-9d30-b1a0b84c1771</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