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149c10f9f04ef39df68746037e2bc6"/>
        <w:lock w:val="sdtLocked"/>
        <w:richText/>
      </w:sdtPr>
      <w:sdtContent>
        <w:p>
          <w:pPr>
            <w:jc w:val="both"/>
            <w:rPr>
              <w:rFonts w:ascii="Times New Roman" w:hAnsi="Times New Roman"/>
            </w:rPr>
          </w:pPr>
          <w:r>
            <w:rPr>
              <w:rFonts w:ascii="Times New Roman" w:hAnsi="Times New Roman"/>
              <w:b/>
              <w:i/>
            </w:rPr>
            <w:t>Suvestinė redakcija nuo 2026-01-13 iki 2026-02-10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6ae8340947d74801a67151a3372b5be3"/>
            <w:lock w:val="sdtLocked"/>
            <w:richText/>
          </w:sdtPr>
          <w:sdtContent>
            <w:p>
              <w:pPr>
                <w:jc w:val="center"/>
                <w:rPr>
                  <w:b/>
                  <w:bCs/>
                  <w:color w:val="000000"/>
                  <w:sz w:val="22"/>
                  <w:szCs w:val="22"/>
                  <w:lang w:eastAsia="lt-LT"/>
                </w:rPr>
              </w:pPr>
              <w:sdt>
                <w:sdtPr>
                  <w:alias w:val="Numeris"/>
                  <w:tag w:val="nr_6ae8340947d74801a67151a3372b5be3"/>
                  <w:lock w:val="sdtLocked"/>
                  <w:richText/>
                </w:sdtPr>
                <w:sdtContent>
                  <w:r>
                    <w:rPr>
                      <w:b/>
                      <w:bCs/>
                      <w:color w:val="000000"/>
                      <w:sz w:val="22"/>
                      <w:szCs w:val="22"/>
                      <w:lang w:eastAsia="lt-LT"/>
                    </w:rPr>
                    <w:t>I</w:t>
                  </w:r>
                </w:sdtContent>
              </w:sdt>
              <w:r>
                <w:rPr>
                  <w:b/>
                  <w:bCs/>
                  <w:color w:val="000000"/>
                  <w:sz w:val="22"/>
                  <w:szCs w:val="22"/>
                  <w:lang w:eastAsia="lt-LT"/>
                </w:rPr>
                <w:t xml:space="preserve"> SKYRIUS</w:t>
              </w:r>
            </w:p>
            <w:p>
              <w:pPr>
                <w:jc w:val="center"/>
                <w:rPr>
                  <w:b/>
                  <w:bCs/>
                  <w:color w:val="000000"/>
                  <w:sz w:val="22"/>
                  <w:szCs w:val="22"/>
                  <w:lang w:eastAsia="lt-LT"/>
                </w:rPr>
              </w:pPr>
              <w:sdt>
                <w:sdtPr>
                  <w:alias w:val="Pavadinimas"/>
                  <w:tag w:val="title_6ae8340947d74801a67151a3372b5be3"/>
                  <w:lock w:val="sdtLocked"/>
                  <w:richText/>
                </w:sdtPr>
                <w:sdtContent>
                  <w:r>
                    <w:rPr>
                      <w:b/>
                      <w:bCs/>
                      <w:color w:val="000000"/>
                      <w:sz w:val="22"/>
                      <w:szCs w:val="22"/>
                      <w:lang w:eastAsia="lt-LT"/>
                    </w:rPr>
                    <w:t>PLĖTROS PROGRAMOS PAŽANGOS PRIEMONĖS SIEKIAMI REZULTATAI</w:t>
                  </w:r>
                </w:sdtContent>
              </w:sdt>
            </w:p>
            <w:p>
              <w:pPr>
                <w:tabs>
                  <w:tab w:val="left" w:pos="1560"/>
                </w:tabs>
                <w:ind w:left="1276"/>
                <w:jc w:val="both"/>
                <w:rPr>
                  <w:szCs w:val="24"/>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7"/>
                <w:gridCol w:w="1006"/>
                <w:gridCol w:w="906"/>
                <w:gridCol w:w="887"/>
                <w:gridCol w:w="902"/>
                <w:gridCol w:w="2257"/>
              </w:tblGrid>
              <w:tr>
                <w:trPr>
                  <w:trHeight w:val="348"/>
                </w:trPr>
                <w:tc>
                  <w:tcPr>
                    <w:tcW w:w="600" w:type="pct"/>
                    <w:vMerge w:val="restart"/>
                    <w:shd w:val="clear" w:color="auto" w:fill="DEEAF6"/>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03" w:type="pct"/>
                    <w:vMerge w:val="restart"/>
                    <w:shd w:val="clear" w:color="auto" w:fill="DEEAF6"/>
                    <w:tcMar>
                      <w:top w:w="0" w:type="dxa"/>
                      <w:left w:w="108" w:type="dxa"/>
                      <w:bottom w:w="0" w:type="dxa"/>
                      <w:right w:w="108" w:type="dxa"/>
                    </w:tcMar>
                    <w:vAlign w:val="center"/>
                    <w:hideMark/>
                  </w:tcPr>
                  <w:p>
                    <w:pPr>
                      <w:jc w:val="center"/>
                    </w:pPr>
                    <w:r>
                      <w:rPr>
                        <w:b/>
                        <w:bCs/>
                        <w:sz w:val="18"/>
                        <w:szCs w:val="18"/>
                      </w:rPr>
                      <w:t>Rezultato rodiklio pavadinimas</w:t>
                    </w:r>
                  </w:p>
                </w:tc>
                <w:tc>
                  <w:tcPr>
                    <w:tcW w:w="523" w:type="pct"/>
                    <w:vMerge w:val="restart"/>
                    <w:shd w:val="clear" w:color="auto" w:fill="DEEAF6"/>
                    <w:tcMar>
                      <w:top w:w="0" w:type="dxa"/>
                      <w:left w:w="108" w:type="dxa"/>
                      <w:bottom w:w="0" w:type="dxa"/>
                      <w:right w:w="108" w:type="dxa"/>
                    </w:tcMar>
                    <w:vAlign w:val="center"/>
                    <w:hideMark/>
                  </w:tcPr>
                  <w:p>
                    <w:pPr>
                      <w:jc w:val="center"/>
                    </w:pPr>
                    <w:r>
                      <w:rPr>
                        <w:b/>
                        <w:bCs/>
                        <w:sz w:val="18"/>
                        <w:szCs w:val="18"/>
                      </w:rPr>
                      <w:t>Matavimo vienetas</w:t>
                    </w:r>
                  </w:p>
                </w:tc>
                <w:tc>
                  <w:tcPr>
                    <w:tcW w:w="471" w:type="pct"/>
                    <w:vMerge w:val="restart"/>
                    <w:shd w:val="clear" w:color="auto" w:fill="DEEAF6"/>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30" w:type="pct"/>
                    <w:gridSpan w:val="2"/>
                    <w:shd w:val="clear" w:color="auto" w:fill="DEEAF6"/>
                    <w:tcMar>
                      <w:top w:w="0" w:type="dxa"/>
                      <w:left w:w="108" w:type="dxa"/>
                      <w:bottom w:w="0" w:type="dxa"/>
                      <w:right w:w="108" w:type="dxa"/>
                    </w:tcMar>
                    <w:hideMark/>
                  </w:tcPr>
                  <w:p>
                    <w:pPr>
                      <w:jc w:val="center"/>
                    </w:pPr>
                    <w:r>
                      <w:rPr>
                        <w:b/>
                        <w:bCs/>
                        <w:sz w:val="18"/>
                        <w:szCs w:val="18"/>
                      </w:rPr>
                      <w:t>Siektinos rezultato rodiklio reikšmės</w:t>
                    </w:r>
                  </w:p>
                </w:tc>
                <w:tc>
                  <w:tcPr>
                    <w:tcW w:w="1173" w:type="pct"/>
                    <w:vMerge w:val="restart"/>
                    <w:shd w:val="clear" w:color="auto" w:fill="DEEAF6"/>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0" w:type="pct"/>
                    <w:vMerge/>
                    <w:shd w:val="clear" w:color="auto" w:fill="DEEAF6"/>
                    <w:vAlign w:val="center"/>
                    <w:hideMark/>
                  </w:tcPr>
                  <w:p>
                    <w:pPr>
                      <w:rPr>
                        <w:szCs w:val="24"/>
                      </w:rPr>
                    </w:pPr>
                  </w:p>
                </w:tc>
                <w:tc>
                  <w:tcPr>
                    <w:tcW w:w="1303" w:type="pct"/>
                    <w:vMerge/>
                    <w:shd w:val="clear" w:color="auto" w:fill="DEEAF6"/>
                    <w:vAlign w:val="center"/>
                    <w:hideMark/>
                  </w:tcPr>
                  <w:p>
                    <w:pPr>
                      <w:rPr>
                        <w:szCs w:val="24"/>
                      </w:rPr>
                    </w:pPr>
                  </w:p>
                </w:tc>
                <w:tc>
                  <w:tcPr>
                    <w:tcW w:w="523" w:type="pct"/>
                    <w:vMerge/>
                    <w:shd w:val="clear" w:color="auto" w:fill="DEEAF6"/>
                    <w:vAlign w:val="center"/>
                    <w:hideMark/>
                  </w:tcPr>
                  <w:p>
                    <w:pPr>
                      <w:rPr>
                        <w:szCs w:val="24"/>
                      </w:rPr>
                    </w:pPr>
                  </w:p>
                </w:tc>
                <w:tc>
                  <w:tcPr>
                    <w:tcW w:w="471" w:type="pct"/>
                    <w:vMerge/>
                    <w:shd w:val="clear" w:color="auto" w:fill="DEEAF6"/>
                    <w:vAlign w:val="center"/>
                    <w:hideMark/>
                  </w:tcPr>
                  <w:p>
                    <w:pPr>
                      <w:rPr>
                        <w:szCs w:val="24"/>
                      </w:rPr>
                    </w:pPr>
                  </w:p>
                </w:tc>
                <w:tc>
                  <w:tcPr>
                    <w:tcW w:w="461" w:type="pct"/>
                    <w:shd w:val="clear" w:color="auto" w:fill="DEEAF6"/>
                    <w:tcMar>
                      <w:top w:w="0" w:type="dxa"/>
                      <w:left w:w="108" w:type="dxa"/>
                      <w:bottom w:w="0" w:type="dxa"/>
                      <w:right w:w="108" w:type="dxa"/>
                    </w:tcMar>
                    <w:hideMark/>
                  </w:tcPr>
                  <w:p>
                    <w:pPr>
                      <w:jc w:val="center"/>
                    </w:pPr>
                    <w:r>
                      <w:rPr>
                        <w:b/>
                        <w:bCs/>
                        <w:sz w:val="18"/>
                        <w:szCs w:val="18"/>
                      </w:rPr>
                      <w:t>Tarpinė reikšmė 2025 m.</w:t>
                    </w:r>
                  </w:p>
                </w:tc>
                <w:tc>
                  <w:tcPr>
                    <w:tcW w:w="469" w:type="pct"/>
                    <w:shd w:val="clear" w:color="auto" w:fill="DEEAF6"/>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73" w:type="pct"/>
                    <w:vMerge/>
                    <w:shd w:val="clear" w:color="auto" w:fill="DEEAF6"/>
                    <w:vAlign w:val="center"/>
                    <w:hideMark/>
                  </w:tcPr>
                  <w:p>
                    <w:pPr>
                      <w:rPr>
                        <w:szCs w:val="24"/>
                      </w:rPr>
                    </w:pPr>
                  </w:p>
                </w:tc>
              </w:tr>
              <w:tr>
                <w:trPr>
                  <w:trHeight w:val="193"/>
                </w:trPr>
                <w:tc>
                  <w:tcPr>
                    <w:tcW w:w="60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1</w:t>
                    </w:r>
                  </w:p>
                </w:tc>
                <w:tc>
                  <w:tcPr>
                    <w:tcW w:w="130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2</w:t>
                    </w:r>
                  </w:p>
                </w:tc>
                <w:tc>
                  <w:tcPr>
                    <w:tcW w:w="52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3</w:t>
                    </w:r>
                  </w:p>
                </w:tc>
                <w:tc>
                  <w:tcPr>
                    <w:tcW w:w="471"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4</w:t>
                    </w:r>
                  </w:p>
                </w:tc>
                <w:tc>
                  <w:tcPr>
                    <w:tcW w:w="461" w:type="pct"/>
                    <w:shd w:val="clear" w:color="auto" w:fill="DEEAF6"/>
                    <w:tcMar>
                      <w:top w:w="0" w:type="dxa"/>
                      <w:left w:w="108" w:type="dxa"/>
                      <w:bottom w:w="0" w:type="dxa"/>
                      <w:right w:w="108" w:type="dxa"/>
                    </w:tcMar>
                    <w:vAlign w:val="center"/>
                    <w:hideMark/>
                  </w:tcPr>
                  <w:p>
                    <w:pPr>
                      <w:jc w:val="center"/>
                    </w:pPr>
                    <w:r>
                      <w:rPr>
                        <w:b/>
                        <w:bCs/>
                        <w:sz w:val="18"/>
                        <w:szCs w:val="18"/>
                      </w:rPr>
                      <w:t>5</w:t>
                    </w:r>
                  </w:p>
                </w:tc>
                <w:tc>
                  <w:tcPr>
                    <w:tcW w:w="469" w:type="pct"/>
                    <w:shd w:val="clear" w:color="auto" w:fill="DEEAF6"/>
                    <w:tcMar>
                      <w:top w:w="0" w:type="dxa"/>
                      <w:left w:w="108" w:type="dxa"/>
                      <w:bottom w:w="0" w:type="dxa"/>
                      <w:right w:w="108" w:type="dxa"/>
                    </w:tcMar>
                    <w:vAlign w:val="center"/>
                    <w:hideMark/>
                  </w:tcPr>
                  <w:p>
                    <w:pPr>
                      <w:jc w:val="center"/>
                    </w:pPr>
                    <w:r>
                      <w:rPr>
                        <w:b/>
                        <w:bCs/>
                        <w:sz w:val="18"/>
                        <w:szCs w:val="18"/>
                      </w:rPr>
                      <w:t>6</w:t>
                    </w:r>
                  </w:p>
                </w:tc>
                <w:tc>
                  <w:tcPr>
                    <w:tcW w:w="117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0"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03" w:type="pct"/>
                    <w:shd w:val="clear" w:color="auto" w:fill="FFFFFF"/>
                    <w:tcMar>
                      <w:top w:w="0" w:type="dxa"/>
                      <w:left w:w="108" w:type="dxa"/>
                      <w:bottom w:w="0" w:type="dxa"/>
                      <w:right w:w="108" w:type="dxa"/>
                    </w:tcMar>
                    <w:hideMark/>
                  </w:tcPr>
                  <w:p>
                    <w:pPr/>
                    <w:r>
                      <w:rPr>
                        <w:sz w:val="20"/>
                      </w:rPr>
                      <w:t>Nepalankias sąlygas turinčių asmenų grupių mokinių, kuriems buvo skirta parama profesinio mokymo prieinamumui gerinti, dalis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1" w:type="pct"/>
                    <w:shd w:val="clear" w:color="auto" w:fill="FFFFFF"/>
                    <w:tcMar>
                      <w:top w:w="0" w:type="dxa"/>
                      <w:left w:w="108" w:type="dxa"/>
                      <w:bottom w:w="0" w:type="dxa"/>
                      <w:right w:w="108" w:type="dxa"/>
                    </w:tcMar>
                    <w:hideMark/>
                  </w:tcPr>
                  <w:p>
                    <w:pPr>
                      <w:spacing w:line="276" w:lineRule="atLeast"/>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0"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03" w:type="pct"/>
                    <w:shd w:val="clear" w:color="auto" w:fill="FFFFFF"/>
                    <w:tcMar>
                      <w:top w:w="0" w:type="dxa"/>
                      <w:left w:w="108" w:type="dxa"/>
                      <w:bottom w:w="0" w:type="dxa"/>
                      <w:right w:w="108" w:type="dxa"/>
                    </w:tcMar>
                    <w:hideMark/>
                  </w:tcPr>
                  <w:p>
                    <w:pPr/>
                    <w:r>
                      <w:rPr>
                        <w:color w:val="232323"/>
                        <w:sz w:val="20"/>
                      </w:rPr>
                      <w:t>Profesinio mokymo įstaigų, organizuojančių profesinio mokymo programas pameistrystės forma, dalis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71"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1"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69"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03"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kuriems buvo skirta parama, kad jie galėtų mokytis pagal pirminio profesinio mokymo programos modulius, skaičiaus padidėjimas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1"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69"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03"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color w:val="000000"/>
                        <w:sz w:val="20"/>
                      </w:rPr>
                      <w:t>22 860 (2029)</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03" w:type="pct"/>
                    <w:shd w:val="clear" w:color="auto" w:fill="FFFFFF"/>
                    <w:tcMar>
                      <w:top w:w="0" w:type="dxa"/>
                      <w:left w:w="108" w:type="dxa"/>
                      <w:bottom w:w="0" w:type="dxa"/>
                      <w:right w:w="108" w:type="dxa"/>
                    </w:tcMar>
                    <w:hideMark/>
                  </w:tcPr>
                  <w:p>
                    <w:pPr/>
                    <w:r>
                      <w:rPr>
                        <w:color w:val="000000"/>
                        <w:sz w:val="20"/>
                      </w:rPr>
                      <w:t>Švietimo ar mokymo veiklos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03" w:type="pct"/>
                    <w:shd w:val="clear" w:color="auto" w:fill="FFFFFF"/>
                    <w:tcMar>
                      <w:top w:w="0" w:type="dxa"/>
                      <w:left w:w="108" w:type="dxa"/>
                      <w:bottom w:w="0" w:type="dxa"/>
                      <w:right w:w="108" w:type="dxa"/>
                    </w:tcMar>
                    <w:hideMark/>
                  </w:tcPr>
                  <w:p>
                    <w:pPr/>
                    <w:r>
                      <w:rPr>
                        <w:sz w:val="20"/>
                      </w:rPr>
                      <w:t>Švietimo ar mokymo veiklos dalyvių skaičius, iš jų švietimo ar mokymo veiklos (išskyrus skaitmeninių įgūdžių ugdymą)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03" w:type="pct"/>
                    <w:shd w:val="clear" w:color="auto" w:fill="FFFFFF"/>
                    <w:tcMar>
                      <w:top w:w="0" w:type="dxa"/>
                      <w:left w:w="108" w:type="dxa"/>
                      <w:bottom w:w="0" w:type="dxa"/>
                      <w:right w:w="108" w:type="dxa"/>
                    </w:tcMar>
                    <w:hideMark/>
                  </w:tcPr>
                  <w:p>
                    <w:pPr/>
                    <w:r>
                      <w:rPr>
                        <w:sz w:val="20"/>
                      </w:rPr>
                      <w:t>Švietimo ar mokymo veiklos dalyvių skaičius, iš jų skaitmeninių įgūdžių ugdymo veiklos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03" w:type="pct"/>
                    <w:shd w:val="clear" w:color="auto" w:fill="FFFFFF"/>
                    <w:tcMar>
                      <w:top w:w="0" w:type="dxa"/>
                      <w:left w:w="108" w:type="dxa"/>
                      <w:bottom w:w="0" w:type="dxa"/>
                      <w:right w:w="108" w:type="dxa"/>
                    </w:tcMar>
                    <w:hideMark/>
                  </w:tcPr>
                  <w:p>
                    <w:pPr/>
                    <w:r>
                      <w:rPr>
                        <w:color w:val="000000"/>
                        <w:sz w:val="20"/>
                      </w:rPr>
                      <w:t>Paramą gaunančių 15–29 metų jaunuolių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p>
                    <w:pPr>
                      <w:ind w:firstLine="53"/>
                      <w:jc w:val="center"/>
                    </w:pP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03" w:type="pct"/>
                    <w:shd w:val="clear" w:color="auto" w:fill="FFFFFF"/>
                    <w:tcMar>
                      <w:top w:w="0" w:type="dxa"/>
                      <w:left w:w="108" w:type="dxa"/>
                      <w:bottom w:w="0" w:type="dxa"/>
                      <w:right w:w="108" w:type="dxa"/>
                    </w:tcMar>
                  </w:tcPr>
                  <w:p>
                    <w:pPr>
                      <w:rPr>
                        <w:sz w:val="20"/>
                      </w:rPr>
                    </w:pPr>
                    <w:r>
                      <w:rPr>
                        <w:sz w:val="20"/>
                      </w:rPr>
                      <w:t xml:space="preserve">Profesinio mokymo įstaigų, įgyvendinančių </w:t>
                    </w:r>
                    <w:r>
                      <w:rPr>
                        <w:color w:val="000000"/>
                        <w:sz w:val="20"/>
                      </w:rPr>
                      <w:t>neformaliąsias</w:t>
                    </w:r>
                    <w:r>
                      <w:rPr>
                        <w:b/>
                        <w:bCs/>
                        <w:sz w:val="20"/>
                      </w:rPr>
                      <w:t xml:space="preserve"> </w:t>
                    </w:r>
                    <w:r>
                      <w:rPr>
                        <w:sz w:val="20"/>
                      </w:rPr>
                      <w:t>profesinio mokymo programas trečiųjų šalių piliečiams, dalis</w:t>
                    </w:r>
                  </w:p>
                  <w:p>
                    <w:pPr>
                      <w:rPr>
                        <w:color w:val="000000"/>
                        <w:sz w:val="20"/>
                      </w:rPr>
                    </w:pPr>
                  </w:p>
                </w:tc>
                <w:tc>
                  <w:tcPr>
                    <w:tcW w:w="52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71"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1" w:type="pct"/>
                    <w:shd w:val="clear" w:color="auto" w:fill="FFFFFF"/>
                    <w:tcMar>
                      <w:top w:w="0" w:type="dxa"/>
                      <w:left w:w="108" w:type="dxa"/>
                      <w:bottom w:w="0" w:type="dxa"/>
                      <w:right w:w="108" w:type="dxa"/>
                    </w:tcMar>
                  </w:tcPr>
                  <w:p>
                    <w:pPr>
                      <w:jc w:val="center"/>
                      <w:rPr>
                        <w:sz w:val="20"/>
                      </w:rPr>
                    </w:pPr>
                    <w:r>
                      <w:rPr>
                        <w:sz w:val="20"/>
                      </w:rPr>
                      <w:t>0</w:t>
                    </w:r>
                  </w:p>
                </w:tc>
                <w:tc>
                  <w:tcPr>
                    <w:tcW w:w="469" w:type="pct"/>
                    <w:shd w:val="clear" w:color="auto" w:fill="FFFFFF"/>
                    <w:tcMar>
                      <w:top w:w="0" w:type="dxa"/>
                      <w:left w:w="108" w:type="dxa"/>
                      <w:bottom w:w="0" w:type="dxa"/>
                      <w:right w:w="108" w:type="dxa"/>
                    </w:tcMar>
                  </w:tcPr>
                  <w:p>
                    <w:pPr>
                      <w:jc w:val="center"/>
                      <w:rPr>
                        <w:sz w:val="20"/>
                      </w:rPr>
                    </w:pPr>
                    <w:r>
                      <w:rPr>
                        <w:sz w:val="20"/>
                      </w:rPr>
                      <w:t>10 (2028)</w:t>
                    </w:r>
                  </w:p>
                </w:tc>
                <w:tc>
                  <w:tcPr>
                    <w:tcW w:w="1173"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tabs>
                  <w:tab w:val="left" w:pos="1560"/>
                  <w:tab w:val="left" w:pos="7068"/>
                </w:tabs>
                <w:ind w:firstLine="851"/>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sdtContent>
        </w:sdt>
        <w:sdt>
          <w:sdtPr>
            <w:alias w:val="skyrius"/>
            <w:tag w:val="part_b96c9d2f4f004b88a3f725fbd9321b55"/>
            <w:lock w:val="sdtLocked"/>
            <w:richText/>
          </w:sdtPr>
          <w:sdtContent>
            <w:p>
              <w:pPr>
                <w:tabs>
                  <w:tab w:val="left" w:pos="1418"/>
                  <w:tab w:val="left" w:pos="1560"/>
                </w:tabs>
                <w:jc w:val="center"/>
                <w:rPr>
                  <w:color w:val="000000"/>
                  <w:sz w:val="27"/>
                  <w:szCs w:val="27"/>
                  <w:lang w:eastAsia="lt-LT"/>
                </w:rPr>
              </w:pPr>
              <w:sdt>
                <w:sdtPr>
                  <w:alias w:val="Numeris"/>
                  <w:tag w:val="nr_b96c9d2f4f004b88a3f725fbd9321b55"/>
                  <w:lock w:val="sdtLocked"/>
                  <w:richText/>
                </w:sdtPr>
                <w:sdtContent>
                  <w:r>
                    <w:rPr>
                      <w:b/>
                      <w:bCs/>
                      <w:color w:val="000000"/>
                      <w:sz w:val="22"/>
                      <w:szCs w:val="22"/>
                      <w:lang w:eastAsia="lt-LT"/>
                    </w:rPr>
                    <w:t>II</w:t>
                  </w:r>
                </w:sdtContent>
              </w:sdt>
              <w:r>
                <w:rPr>
                  <w:b/>
                  <w:bCs/>
                  <w:color w:val="000000"/>
                  <w:sz w:val="22"/>
                  <w:szCs w:val="22"/>
                  <w:lang w:eastAsia="lt-LT"/>
                </w:rPr>
                <w:t> SKYRIUS</w:t>
              </w:r>
            </w:p>
            <w:sdt>
              <w:sdtPr>
                <w:alias w:val="Pavadinimas"/>
                <w:tag w:val="title_b96c9d2f4f004b88a3f725fbd9321b55"/>
                <w:lock w:val="sdtLocked"/>
                <w:richText/>
              </w:sdtPr>
              <w:sdtContent>
                <w:p>
                  <w:pPr>
                    <w:tabs>
                      <w:tab w:val="left" w:pos="1418"/>
                      <w:tab w:val="left" w:pos="1560"/>
                    </w:tabs>
                    <w:jc w:val="center"/>
                    <w:rPr>
                      <w:color w:val="000000"/>
                      <w:sz w:val="27"/>
                      <w:szCs w:val="27"/>
                      <w:lang w:eastAsia="lt-LT"/>
                    </w:rPr>
                  </w:pPr>
                  <w:r>
                    <w:rPr>
                      <w:b/>
                      <w:bCs/>
                      <w:color w:val="000000"/>
                      <w:sz w:val="22"/>
                      <w:szCs w:val="22"/>
                      <w:lang w:eastAsia="lt-LT"/>
                    </w:rPr>
                    <w:t>PLĖTROS PROGRAMOS PAŽANGOS PRIEMONĖS FINANSAVIMO PLANAS</w:t>
                  </w:r>
                </w:p>
              </w:sdtContent>
            </w:sdt>
            <w:p>
              <w:pPr>
                <w:ind w:firstLine="567"/>
                <w:jc w:val="both"/>
                <w:rPr>
                  <w:szCs w:val="24"/>
                </w:rPr>
              </w:pPr>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papildomų lėšų poreikio suma</w:t>
                    </w:r>
                  </w:p>
                </w:tc>
              </w:tr>
              <w:tr>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4</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1.1.1.1.2. Valstybės biudžeto lėšos, skirtos bendrai finansuojamų iš ES fondų lėšų projektų netinkamam finansuoti iš ES fondų lėšų pirkimo ir (arba) importo pridėtinės vertės mokesčiui (toliau – PVM) apmokėti</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7 183 603</w:t>
                    </w:r>
                  </w:p>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77 089 325</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38 603 911</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r>
              <w:tr>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86 897 928</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r>
            </w:tbl>
            <w:p>
              <w:pPr>
                <w:tabs>
                  <w:tab w:val="left" w:pos="1560"/>
                  <w:tab w:val="left" w:pos="7068"/>
                </w:tabs>
                <w:ind w:firstLine="567"/>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sdtContent>
        </w:sdt>
        <w:sdt>
          <w:sdtPr>
            <w:alias w:val="skyrius"/>
            <w:tag w:val="part_ee2ba18973ba44f3bc5ae4aa52428c20"/>
            <w:lock w:val="sdtLocked"/>
            <w:richText/>
          </w:sdtPr>
          <w:sdtContent>
            <w:p>
              <w:pPr>
                <w:jc w:val="center"/>
                <w:rPr>
                  <w:b/>
                  <w:bCs/>
                </w:rPr>
              </w:pPr>
              <w:sdt>
                <w:sdtPr>
                  <w:alias w:val="Numeris"/>
                  <w:tag w:val="nr_ee2ba18973ba44f3bc5ae4aa52428c20"/>
                  <w:lock w:val="sdtLocked"/>
                  <w:richText/>
                </w:sdtPr>
                <w:sdtContent>
                  <w:r>
                    <w:rPr>
                      <w:b/>
                      <w:bCs/>
                    </w:rPr>
                    <w:t>III</w:t>
                  </w:r>
                </w:sdtContent>
              </w:sdt>
              <w:r>
                <w:rPr>
                  <w:b/>
                  <w:bCs/>
                </w:rPr>
                <w:t xml:space="preserve"> SKYRIUS</w:t>
              </w:r>
            </w:p>
            <w:p>
              <w:pPr>
                <w:jc w:val="center"/>
                <w:rPr>
                  <w:b/>
                  <w:bCs/>
                </w:rPr>
              </w:pPr>
              <w:r>
                <w:rPr>
                  <w:b/>
                  <w:bCs/>
                </w:rPr>
                <w:t>PLĖTROS PROGRAMOS PAŽANGOS PRIEMONĖS VEIKLŲ SUVESTINĖ</w:t>
              </w:r>
            </w:p>
            <w:p>
              <w:pPr>
                <w:jc w:val="center"/>
                <w:rPr>
                  <w:b/>
                  <w:bCs/>
                </w:rPr>
              </w:pPr>
            </w:p>
            <w:tbl>
              <w:tblPr>
                <w:tblW w:w="537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
                <w:gridCol w:w="606"/>
                <w:gridCol w:w="658"/>
                <w:gridCol w:w="753"/>
                <w:gridCol w:w="819"/>
                <w:gridCol w:w="571"/>
                <w:gridCol w:w="993"/>
                <w:gridCol w:w="747"/>
                <w:gridCol w:w="664"/>
                <w:gridCol w:w="1417"/>
                <w:gridCol w:w="850"/>
                <w:gridCol w:w="707"/>
                <w:gridCol w:w="567"/>
              </w:tblGrid>
              <w:tr>
                <w:trPr>
                  <w:trHeight w:val="886"/>
                  <w:jc w:val="center"/>
                </w:trPr>
                <w:tc>
                  <w:tcPr>
                    <w:tcW w:w="479" w:type="pct"/>
                    <w:vAlign w:val="center"/>
                  </w:tcPr>
                  <w:p>
                    <w:pPr>
                      <w:jc w:val="center"/>
                      <w:rPr>
                        <w:b/>
                        <w:sz w:val="16"/>
                        <w:szCs w:val="16"/>
                      </w:rPr>
                    </w:pPr>
                    <w:r>
                      <w:rPr>
                        <w:b/>
                        <w:sz w:val="16"/>
                        <w:szCs w:val="16"/>
                      </w:rPr>
                      <w:t>Veikla</w:t>
                    </w:r>
                  </w:p>
                </w:tc>
                <w:tc>
                  <w:tcPr>
                    <w:tcW w:w="293" w:type="pct"/>
                    <w:vAlign w:val="center"/>
                  </w:tcPr>
                  <w:p>
                    <w:pPr>
                      <w:jc w:val="center"/>
                      <w:rPr>
                        <w:b/>
                        <w:sz w:val="16"/>
                        <w:szCs w:val="16"/>
                      </w:rPr>
                    </w:pPr>
                    <w:r>
                      <w:rPr>
                        <w:b/>
                        <w:sz w:val="16"/>
                        <w:szCs w:val="16"/>
                      </w:rPr>
                      <w:t>Veiklos (poveiklės, projekto) tipas</w:t>
                    </w:r>
                  </w:p>
                </w:tc>
                <w:tc>
                  <w:tcPr>
                    <w:tcW w:w="318" w:type="pct"/>
                    <w:vAlign w:val="center"/>
                  </w:tcPr>
                  <w:p>
                    <w:pPr>
                      <w:jc w:val="center"/>
                      <w:rPr>
                        <w:b/>
                        <w:sz w:val="16"/>
                        <w:szCs w:val="16"/>
                      </w:rPr>
                    </w:pPr>
                    <w:r>
                      <w:rPr>
                        <w:b/>
                        <w:sz w:val="16"/>
                        <w:szCs w:val="16"/>
                      </w:rPr>
                      <w:t>Galimi pareiškėjai</w:t>
                    </w:r>
                  </w:p>
                </w:tc>
                <w:tc>
                  <w:tcPr>
                    <w:tcW w:w="364" w:type="pct"/>
                    <w:vAlign w:val="center"/>
                  </w:tcPr>
                  <w:p>
                    <w:pPr>
                      <w:jc w:val="center"/>
                      <w:rPr>
                        <w:b/>
                        <w:sz w:val="16"/>
                        <w:szCs w:val="16"/>
                      </w:rPr>
                    </w:pPr>
                    <w:r>
                      <w:rPr>
                        <w:b/>
                        <w:sz w:val="16"/>
                        <w:szCs w:val="16"/>
                      </w:rPr>
                      <w:t xml:space="preserve">Projektų </w:t>
                    </w:r>
                  </w:p>
                  <w:p>
                    <w:pPr>
                      <w:jc w:val="center"/>
                      <w:rPr>
                        <w:b/>
                        <w:sz w:val="16"/>
                        <w:szCs w:val="16"/>
                      </w:rPr>
                    </w:pPr>
                    <w:r>
                      <w:rPr>
                        <w:b/>
                        <w:sz w:val="16"/>
                        <w:szCs w:val="16"/>
                      </w:rPr>
                      <w:t>atrankos būdas</w:t>
                    </w:r>
                  </w:p>
                </w:tc>
                <w:tc>
                  <w:tcPr>
                    <w:tcW w:w="396" w:type="pct"/>
                    <w:vAlign w:val="center"/>
                  </w:tcPr>
                  <w:p>
                    <w:pPr>
                      <w:jc w:val="center"/>
                      <w:rPr>
                        <w:b/>
                        <w:sz w:val="16"/>
                        <w:szCs w:val="16"/>
                      </w:rPr>
                    </w:pPr>
                    <w:r>
                      <w:rPr>
                        <w:b/>
                        <w:sz w:val="16"/>
                        <w:szCs w:val="16"/>
                      </w:rPr>
                      <w:t xml:space="preserve">Tiesiogiai prisidedama prie horizontaliųjų principų įgyvendinimo </w:t>
                    </w:r>
                  </w:p>
                  <w:p>
                    <w:pPr>
                      <w:jc w:val="center"/>
                      <w:rPr>
                        <w:b/>
                        <w:sz w:val="16"/>
                        <w:szCs w:val="16"/>
                      </w:rPr>
                    </w:pPr>
                    <w:r>
                      <w:rPr>
                        <w:b/>
                        <w:sz w:val="16"/>
                        <w:szCs w:val="16"/>
                      </w:rPr>
                      <w:t>(DV; IN; LG; Neprisidedama)</w:t>
                    </w:r>
                  </w:p>
                </w:tc>
                <w:tc>
                  <w:tcPr>
                    <w:tcW w:w="276" w:type="pct"/>
                    <w:vAlign w:val="center"/>
                  </w:tcPr>
                  <w:p>
                    <w:pPr>
                      <w:jc w:val="center"/>
                      <w:rPr>
                        <w:b/>
                        <w:sz w:val="16"/>
                        <w:szCs w:val="16"/>
                      </w:rPr>
                    </w:pPr>
                    <w:r>
                      <w:rPr>
                        <w:b/>
                        <w:sz w:val="16"/>
                        <w:szCs w:val="16"/>
                      </w:rPr>
                      <w:t>Finansavimo forma</w:t>
                    </w:r>
                  </w:p>
                </w:tc>
                <w:tc>
                  <w:tcPr>
                    <w:tcW w:w="480" w:type="pct"/>
                    <w:vAlign w:val="center"/>
                  </w:tcPr>
                  <w:p>
                    <w:pPr>
                      <w:jc w:val="center"/>
                      <w:rPr>
                        <w:b/>
                        <w:sz w:val="16"/>
                        <w:szCs w:val="16"/>
                      </w:rPr>
                    </w:pPr>
                    <w:r>
                      <w:rPr>
                        <w:b/>
                        <w:sz w:val="16"/>
                        <w:szCs w:val="16"/>
                      </w:rPr>
                      <w:t>Finansavimo suma, eurais</w:t>
                    </w:r>
                  </w:p>
                </w:tc>
                <w:tc>
                  <w:tcPr>
                    <w:tcW w:w="361" w:type="pct"/>
                    <w:vAlign w:val="center"/>
                  </w:tcPr>
                  <w:p>
                    <w:pPr>
                      <w:jc w:val="center"/>
                      <w:rPr>
                        <w:b/>
                        <w:sz w:val="16"/>
                        <w:szCs w:val="16"/>
                        <w:vertAlign w:val="superscript"/>
                      </w:rPr>
                    </w:pPr>
                    <w:r>
                      <w:rPr>
                        <w:b/>
                        <w:sz w:val="16"/>
                        <w:szCs w:val="16"/>
                      </w:rPr>
                      <w:t>Finansavimo šaltinis</w:t>
                    </w:r>
                    <w:r>
                      <w:rPr>
                        <w:b/>
                        <w:sz w:val="16"/>
                        <w:szCs w:val="16"/>
                        <w:vertAlign w:val="superscript"/>
                      </w:rPr>
                      <w:t xml:space="preserve"> </w:t>
                    </w:r>
                  </w:p>
                </w:tc>
                <w:tc>
                  <w:tcPr>
                    <w:tcW w:w="321" w:type="pct"/>
                    <w:vAlign w:val="center"/>
                  </w:tcPr>
                  <w:p>
                    <w:pPr>
                      <w:jc w:val="center"/>
                      <w:rPr>
                        <w:b/>
                        <w:sz w:val="16"/>
                        <w:szCs w:val="16"/>
                      </w:rPr>
                    </w:pPr>
                    <w:r>
                      <w:rPr>
                        <w:b/>
                        <w:sz w:val="16"/>
                        <w:szCs w:val="16"/>
                      </w:rPr>
                      <w:t>Europos Sąjungos lėšų fondas, regionas (Vidurio ir vakarų Lietuvos, Sostinės)</w:t>
                    </w:r>
                  </w:p>
                </w:tc>
                <w:tc>
                  <w:tcPr>
                    <w:tcW w:w="685" w:type="pct"/>
                    <w:vAlign w:val="center"/>
                  </w:tcPr>
                  <w:p>
                    <w:pPr>
                      <w:jc w:val="center"/>
                      <w:rPr>
                        <w:b/>
                        <w:sz w:val="16"/>
                        <w:szCs w:val="16"/>
                      </w:rPr>
                    </w:pPr>
                    <w:r>
                      <w:rPr>
                        <w:b/>
                        <w:sz w:val="16"/>
                        <w:szCs w:val="16"/>
                      </w:rPr>
                      <w:t>Rodiklio (rezultato, produkto) kodas, pavadinimas ir matavimo vnt.</w:t>
                    </w:r>
                  </w:p>
                </w:tc>
                <w:tc>
                  <w:tcPr>
                    <w:tcW w:w="411" w:type="pct"/>
                    <w:vAlign w:val="center"/>
                  </w:tcPr>
                  <w:p>
                    <w:pPr>
                      <w:jc w:val="center"/>
                      <w:rPr>
                        <w:b/>
                        <w:sz w:val="16"/>
                        <w:szCs w:val="16"/>
                      </w:rPr>
                    </w:pPr>
                    <w:r>
                      <w:rPr>
                        <w:b/>
                        <w:sz w:val="16"/>
                        <w:szCs w:val="16"/>
                      </w:rPr>
                      <w:t>Siektina galutinė rodiklio reikšmė</w:t>
                    </w:r>
                  </w:p>
                  <w:p>
                    <w:pPr>
                      <w:jc w:val="center"/>
                      <w:rPr>
                        <w:b/>
                        <w:sz w:val="16"/>
                        <w:szCs w:val="16"/>
                      </w:rPr>
                    </w:pPr>
                    <w:r>
                      <w:rPr>
                        <w:b/>
                        <w:sz w:val="16"/>
                        <w:szCs w:val="16"/>
                      </w:rPr>
                      <w:t>(ir metai)</w:t>
                    </w:r>
                  </w:p>
                </w:tc>
                <w:tc>
                  <w:tcPr>
                    <w:tcW w:w="342" w:type="pct"/>
                    <w:vAlign w:val="center"/>
                  </w:tcPr>
                  <w:p>
                    <w:pPr>
                      <w:jc w:val="center"/>
                      <w:rPr>
                        <w:b/>
                        <w:strike/>
                        <w:sz w:val="16"/>
                        <w:szCs w:val="16"/>
                      </w:rPr>
                    </w:pPr>
                    <w:r>
                      <w:rPr>
                        <w:b/>
                        <w:sz w:val="16"/>
                        <w:szCs w:val="16"/>
                      </w:rPr>
                      <w:t>Administruojančioji institucija</w:t>
                    </w:r>
                  </w:p>
                </w:tc>
                <w:tc>
                  <w:tcPr>
                    <w:tcW w:w="274" w:type="pct"/>
                    <w:vAlign w:val="center"/>
                  </w:tcPr>
                  <w:p>
                    <w:pPr>
                      <w:jc w:val="center"/>
                      <w:rPr>
                        <w:b/>
                        <w:sz w:val="16"/>
                        <w:szCs w:val="16"/>
                      </w:rPr>
                    </w:pPr>
                    <w:r>
                      <w:rPr>
                        <w:b/>
                        <w:sz w:val="16"/>
                        <w:szCs w:val="16"/>
                      </w:rPr>
                      <w:t>Dalyvaujanti institucija</w:t>
                    </w:r>
                  </w:p>
                </w:tc>
              </w:tr>
              <w:tr>
                <w:trPr>
                  <w:trHeight w:val="279"/>
                  <w:jc w:val="center"/>
                </w:trPr>
                <w:tc>
                  <w:tcPr>
                    <w:tcW w:w="479" w:type="pct"/>
                    <w:vAlign w:val="center"/>
                  </w:tcPr>
                  <w:p>
                    <w:pPr>
                      <w:jc w:val="center"/>
                      <w:rPr>
                        <w:b/>
                        <w:sz w:val="16"/>
                        <w:szCs w:val="16"/>
                      </w:rPr>
                    </w:pPr>
                    <w:r>
                      <w:rPr>
                        <w:b/>
                        <w:sz w:val="16"/>
                        <w:szCs w:val="16"/>
                      </w:rPr>
                      <w:t>1</w:t>
                    </w:r>
                  </w:p>
                </w:tc>
                <w:tc>
                  <w:tcPr>
                    <w:tcW w:w="293" w:type="pct"/>
                    <w:vAlign w:val="center"/>
                  </w:tcPr>
                  <w:p>
                    <w:pPr>
                      <w:jc w:val="center"/>
                      <w:rPr>
                        <w:b/>
                        <w:sz w:val="16"/>
                        <w:szCs w:val="16"/>
                      </w:rPr>
                    </w:pPr>
                    <w:r>
                      <w:rPr>
                        <w:b/>
                        <w:sz w:val="16"/>
                        <w:szCs w:val="16"/>
                      </w:rPr>
                      <w:t>2</w:t>
                    </w:r>
                  </w:p>
                </w:tc>
                <w:tc>
                  <w:tcPr>
                    <w:tcW w:w="318" w:type="pct"/>
                    <w:vAlign w:val="center"/>
                  </w:tcPr>
                  <w:p>
                    <w:pPr>
                      <w:jc w:val="center"/>
                      <w:rPr>
                        <w:b/>
                        <w:sz w:val="16"/>
                        <w:szCs w:val="16"/>
                      </w:rPr>
                    </w:pPr>
                    <w:r>
                      <w:rPr>
                        <w:b/>
                        <w:sz w:val="16"/>
                        <w:szCs w:val="16"/>
                      </w:rPr>
                      <w:t>3</w:t>
                    </w:r>
                  </w:p>
                </w:tc>
                <w:tc>
                  <w:tcPr>
                    <w:tcW w:w="364" w:type="pct"/>
                    <w:vAlign w:val="center"/>
                  </w:tcPr>
                  <w:p>
                    <w:pPr>
                      <w:jc w:val="center"/>
                      <w:rPr>
                        <w:b/>
                        <w:sz w:val="16"/>
                        <w:szCs w:val="16"/>
                      </w:rPr>
                    </w:pPr>
                    <w:r>
                      <w:rPr>
                        <w:b/>
                        <w:sz w:val="16"/>
                        <w:szCs w:val="16"/>
                      </w:rPr>
                      <w:t>4</w:t>
                    </w:r>
                  </w:p>
                </w:tc>
                <w:tc>
                  <w:tcPr>
                    <w:tcW w:w="396" w:type="pct"/>
                    <w:vAlign w:val="center"/>
                  </w:tcPr>
                  <w:p>
                    <w:pPr>
                      <w:jc w:val="center"/>
                      <w:rPr>
                        <w:b/>
                        <w:sz w:val="16"/>
                        <w:szCs w:val="16"/>
                      </w:rPr>
                    </w:pPr>
                    <w:r>
                      <w:rPr>
                        <w:b/>
                        <w:sz w:val="16"/>
                        <w:szCs w:val="16"/>
                      </w:rPr>
                      <w:t>5</w:t>
                    </w:r>
                  </w:p>
                </w:tc>
                <w:tc>
                  <w:tcPr>
                    <w:tcW w:w="276" w:type="pct"/>
                    <w:vAlign w:val="center"/>
                  </w:tcPr>
                  <w:p>
                    <w:pPr>
                      <w:jc w:val="center"/>
                      <w:rPr>
                        <w:b/>
                        <w:sz w:val="16"/>
                        <w:szCs w:val="16"/>
                      </w:rPr>
                    </w:pPr>
                    <w:r>
                      <w:rPr>
                        <w:b/>
                        <w:sz w:val="16"/>
                        <w:szCs w:val="16"/>
                      </w:rPr>
                      <w:t>6</w:t>
                    </w:r>
                  </w:p>
                </w:tc>
                <w:tc>
                  <w:tcPr>
                    <w:tcW w:w="480" w:type="pct"/>
                    <w:vAlign w:val="center"/>
                  </w:tcPr>
                  <w:p>
                    <w:pPr>
                      <w:jc w:val="center"/>
                      <w:rPr>
                        <w:b/>
                        <w:sz w:val="16"/>
                        <w:szCs w:val="16"/>
                      </w:rPr>
                    </w:pPr>
                    <w:r>
                      <w:rPr>
                        <w:b/>
                        <w:sz w:val="16"/>
                        <w:szCs w:val="16"/>
                      </w:rPr>
                      <w:t>7</w:t>
                    </w:r>
                  </w:p>
                </w:tc>
                <w:tc>
                  <w:tcPr>
                    <w:tcW w:w="361" w:type="pct"/>
                    <w:vAlign w:val="center"/>
                  </w:tcPr>
                  <w:p>
                    <w:pPr>
                      <w:jc w:val="center"/>
                      <w:rPr>
                        <w:b/>
                        <w:sz w:val="16"/>
                        <w:szCs w:val="16"/>
                      </w:rPr>
                    </w:pPr>
                    <w:r>
                      <w:rPr>
                        <w:b/>
                        <w:sz w:val="16"/>
                        <w:szCs w:val="16"/>
                      </w:rPr>
                      <w:t>8</w:t>
                    </w:r>
                  </w:p>
                </w:tc>
                <w:tc>
                  <w:tcPr>
                    <w:tcW w:w="321" w:type="pct"/>
                    <w:vAlign w:val="center"/>
                  </w:tcPr>
                  <w:p>
                    <w:pPr>
                      <w:jc w:val="center"/>
                      <w:rPr>
                        <w:b/>
                        <w:sz w:val="16"/>
                        <w:szCs w:val="16"/>
                      </w:rPr>
                    </w:pPr>
                    <w:r>
                      <w:rPr>
                        <w:b/>
                        <w:sz w:val="16"/>
                        <w:szCs w:val="16"/>
                      </w:rPr>
                      <w:t>9</w:t>
                    </w:r>
                  </w:p>
                </w:tc>
                <w:tc>
                  <w:tcPr>
                    <w:tcW w:w="685" w:type="pct"/>
                    <w:vAlign w:val="center"/>
                  </w:tcPr>
                  <w:p>
                    <w:pPr>
                      <w:jc w:val="center"/>
                      <w:rPr>
                        <w:b/>
                        <w:sz w:val="16"/>
                        <w:szCs w:val="16"/>
                      </w:rPr>
                    </w:pPr>
                    <w:r>
                      <w:rPr>
                        <w:b/>
                        <w:sz w:val="16"/>
                        <w:szCs w:val="16"/>
                      </w:rPr>
                      <w:t>10</w:t>
                    </w:r>
                  </w:p>
                </w:tc>
                <w:tc>
                  <w:tcPr>
                    <w:tcW w:w="411" w:type="pct"/>
                    <w:vAlign w:val="center"/>
                  </w:tcPr>
                  <w:p>
                    <w:pPr>
                      <w:jc w:val="center"/>
                      <w:rPr>
                        <w:b/>
                        <w:sz w:val="16"/>
                        <w:szCs w:val="16"/>
                      </w:rPr>
                    </w:pPr>
                    <w:r>
                      <w:rPr>
                        <w:b/>
                        <w:sz w:val="16"/>
                        <w:szCs w:val="16"/>
                      </w:rPr>
                      <w:t>11</w:t>
                    </w:r>
                  </w:p>
                </w:tc>
                <w:tc>
                  <w:tcPr>
                    <w:tcW w:w="342" w:type="pct"/>
                    <w:vAlign w:val="center"/>
                  </w:tcPr>
                  <w:p>
                    <w:pPr>
                      <w:jc w:val="center"/>
                      <w:rPr>
                        <w:b/>
                        <w:sz w:val="16"/>
                        <w:szCs w:val="16"/>
                      </w:rPr>
                    </w:pPr>
                    <w:r>
                      <w:rPr>
                        <w:b/>
                        <w:sz w:val="16"/>
                        <w:szCs w:val="16"/>
                      </w:rPr>
                      <w:t>12</w:t>
                    </w:r>
                  </w:p>
                </w:tc>
                <w:tc>
                  <w:tcPr>
                    <w:tcW w:w="274" w:type="pct"/>
                    <w:vAlign w:val="center"/>
                  </w:tcPr>
                  <w:p>
                    <w:pPr>
                      <w:jc w:val="center"/>
                      <w:rPr>
                        <w:b/>
                        <w:sz w:val="16"/>
                        <w:szCs w:val="16"/>
                      </w:rPr>
                    </w:pPr>
                    <w:r>
                      <w:rPr>
                        <w:b/>
                        <w:sz w:val="16"/>
                        <w:szCs w:val="16"/>
                      </w:rPr>
                      <w:t>13</w:t>
                    </w:r>
                  </w:p>
                </w:tc>
              </w:tr>
              <w:tr>
                <w:trPr>
                  <w:trHeight w:val="2078"/>
                  <w:jc w:val="center"/>
                </w:trPr>
                <w:tc>
                  <w:tcPr>
                    <w:tcW w:w="479" w:type="pct"/>
                    <w:vMerge w:val="restart"/>
                  </w:tcPr>
                  <w:p>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93" w:type="pct"/>
                    <w:vMerge w:val="restart"/>
                  </w:tcPr>
                  <w:p>
                    <w:pPr>
                      <w:jc w:val="center"/>
                      <w:rPr>
                        <w:sz w:val="16"/>
                        <w:szCs w:val="16"/>
                      </w:rPr>
                    </w:pPr>
                    <w:r>
                      <w:rPr>
                        <w:sz w:val="16"/>
                        <w:szCs w:val="16"/>
                      </w:rPr>
                      <w:t>R</w:t>
                    </w:r>
                  </w:p>
                </w:tc>
                <w:tc>
                  <w:tcPr>
                    <w:tcW w:w="318" w:type="pct"/>
                    <w:vMerge w:val="restart"/>
                  </w:tcPr>
                  <w:p>
                    <w:pPr>
                      <w:jc w:val="center"/>
                      <w:rPr>
                        <w:sz w:val="16"/>
                        <w:szCs w:val="16"/>
                      </w:rPr>
                    </w:pPr>
                    <w:r>
                      <w:rPr>
                        <w:sz w:val="16"/>
                        <w:szCs w:val="16"/>
                      </w:rPr>
                      <w:t>-</w:t>
                    </w:r>
                  </w:p>
                </w:tc>
                <w:tc>
                  <w:tcPr>
                    <w:tcW w:w="364" w:type="pct"/>
                    <w:vMerge w:val="restart"/>
                  </w:tcPr>
                  <w:p>
                    <w:pPr>
                      <w:jc w:val="center"/>
                      <w:rPr>
                        <w:sz w:val="16"/>
                        <w:szCs w:val="16"/>
                      </w:rPr>
                    </w:pPr>
                    <w:r>
                      <w:rPr>
                        <w:sz w:val="16"/>
                        <w:szCs w:val="16"/>
                      </w:rPr>
                      <w:t>-</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w:t>
                    </w:r>
                  </w:p>
                </w:tc>
                <w:tc>
                  <w:tcPr>
                    <w:tcW w:w="480" w:type="pct"/>
                    <w:vMerge w:val="restart"/>
                  </w:tcPr>
                  <w:p>
                    <w:pPr>
                      <w:jc w:val="center"/>
                      <w:rPr>
                        <w:sz w:val="16"/>
                        <w:szCs w:val="16"/>
                      </w:rPr>
                    </w:pPr>
                    <w:r>
                      <w:rPr>
                        <w:sz w:val="16"/>
                        <w:szCs w:val="16"/>
                      </w:rPr>
                      <w:t>-</w:t>
                    </w:r>
                  </w:p>
                </w:tc>
                <w:tc>
                  <w:tcPr>
                    <w:tcW w:w="361" w:type="pct"/>
                    <w:vMerge w:val="restart"/>
                  </w:tcPr>
                  <w:p>
                    <w:pPr>
                      <w:jc w:val="center"/>
                      <w:rPr>
                        <w:sz w:val="16"/>
                        <w:szCs w:val="16"/>
                      </w:rPr>
                    </w:pPr>
                    <w:r>
                      <w:rPr>
                        <w:sz w:val="16"/>
                        <w:szCs w:val="16"/>
                      </w:rPr>
                      <w:t>-</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val="restart"/>
                  </w:tcPr>
                  <w:p>
                    <w:pPr>
                      <w:jc w:val="center"/>
                      <w:rPr>
                        <w:sz w:val="16"/>
                        <w:szCs w:val="16"/>
                      </w:rPr>
                    </w:pPr>
                    <w:r>
                      <w:rPr>
                        <w:color w:val="000000"/>
                        <w:sz w:val="16"/>
                        <w:szCs w:val="16"/>
                      </w:rPr>
                      <w:t>Švietimo, mokslo ir sporto ministerija (toliau –ŠMSM)</w:t>
                    </w:r>
                  </w:p>
                </w:tc>
                <w:tc>
                  <w:tcPr>
                    <w:tcW w:w="274" w:type="pct"/>
                    <w:vMerge w:val="restart"/>
                  </w:tcPr>
                  <w:p>
                    <w:pPr>
                      <w:jc w:val="center"/>
                      <w:rPr>
                        <w:sz w:val="16"/>
                        <w:szCs w:val="16"/>
                      </w:rPr>
                    </w:pPr>
                    <w:r>
                      <w:rPr>
                        <w:color w:val="000000"/>
                        <w:sz w:val="16"/>
                        <w:szCs w:val="16"/>
                      </w:rPr>
                      <w:t>ŠMSM</w:t>
                    </w:r>
                  </w:p>
                </w:tc>
              </w:tr>
              <w:tr>
                <w:trPr>
                  <w:trHeight w:val="1443"/>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411" w:type="pc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1453"/>
                  <w:jc w:val="center"/>
                </w:trPr>
                <w:tc>
                  <w:tcPr>
                    <w:tcW w:w="479" w:type="pct"/>
                  </w:tcPr>
                  <w:p>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93" w:type="pct"/>
                  </w:tcPr>
                  <w:p>
                    <w:pPr>
                      <w:rPr>
                        <w:sz w:val="16"/>
                        <w:szCs w:val="16"/>
                      </w:rPr>
                    </w:pPr>
                  </w:p>
                </w:tc>
                <w:tc>
                  <w:tcPr>
                    <w:tcW w:w="318" w:type="pct"/>
                  </w:tcPr>
                  <w:p>
                    <w:pPr>
                      <w:rPr>
                        <w:sz w:val="16"/>
                        <w:szCs w:val="16"/>
                      </w:rPr>
                    </w:pPr>
                  </w:p>
                </w:tc>
                <w:tc>
                  <w:tcPr>
                    <w:tcW w:w="364" w:type="pct"/>
                  </w:tcPr>
                  <w:p>
                    <w:pPr>
                      <w:rPr>
                        <w:sz w:val="16"/>
                        <w:szCs w:val="16"/>
                      </w:rPr>
                    </w:pPr>
                  </w:p>
                </w:tc>
                <w:tc>
                  <w:tcPr>
                    <w:tcW w:w="396" w:type="pct"/>
                  </w:tcPr>
                  <w:p>
                    <w:pPr>
                      <w:rPr>
                        <w:sz w:val="16"/>
                        <w:szCs w:val="16"/>
                      </w:rPr>
                    </w:pPr>
                  </w:p>
                </w:tc>
                <w:tc>
                  <w:tcPr>
                    <w:tcW w:w="276" w:type="pct"/>
                  </w:tcPr>
                  <w:p>
                    <w:pPr>
                      <w:rPr>
                        <w:sz w:val="16"/>
                        <w:szCs w:val="16"/>
                      </w:rPr>
                    </w:pPr>
                  </w:p>
                </w:tc>
                <w:tc>
                  <w:tcPr>
                    <w:tcW w:w="480" w:type="pct"/>
                  </w:tcPr>
                  <w:p>
                    <w:pPr>
                      <w:jc w:val="center"/>
                      <w:rPr>
                        <w:sz w:val="16"/>
                        <w:szCs w:val="16"/>
                      </w:rPr>
                    </w:pPr>
                    <w:r>
                      <w:rPr>
                        <w:sz w:val="16"/>
                        <w:szCs w:val="16"/>
                      </w:rPr>
                      <w:t>6 209 525</w:t>
                    </w:r>
                  </w:p>
                </w:tc>
                <w:tc>
                  <w:tcPr>
                    <w:tcW w:w="361" w:type="pct"/>
                  </w:tcPr>
                  <w:p>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321" w:type="pct"/>
                  </w:tcPr>
                  <w:p>
                    <w:pPr>
                      <w:jc w:val="center"/>
                      <w:rPr>
                        <w:color w:val="000000"/>
                        <w:sz w:val="16"/>
                        <w:szCs w:val="16"/>
                      </w:rPr>
                    </w:pPr>
                    <w:r>
                      <w:rPr>
                        <w:color w:val="000000"/>
                        <w:sz w:val="16"/>
                        <w:szCs w:val="16"/>
                      </w:rPr>
                      <w:t>-</w:t>
                    </w:r>
                  </w:p>
                </w:tc>
                <w:tc>
                  <w:tcPr>
                    <w:tcW w:w="685" w:type="pct"/>
                  </w:tcPr>
                  <w:p>
                    <w:pPr>
                      <w:rPr>
                        <w:color w:val="000000"/>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460"/>
                  <w:jc w:val="center"/>
                </w:trPr>
                <w:tc>
                  <w:tcPr>
                    <w:tcW w:w="479" w:type="pct"/>
                    <w:vMerge w:val="restart"/>
                  </w:tcPr>
                  <w:p>
                    <w:pPr>
                      <w:rPr>
                        <w:i/>
                        <w:sz w:val="16"/>
                        <w:szCs w:val="16"/>
                      </w:rPr>
                    </w:pPr>
                    <w:r>
                      <w:rPr>
                        <w:color w:val="000000"/>
                        <w:sz w:val="16"/>
                        <w:szCs w:val="16"/>
                      </w:rPr>
                      <w:t xml:space="preserve">2.1. </w:t>
                    </w:r>
                    <w:r>
                      <w:rPr>
                        <w:sz w:val="16"/>
                        <w:szCs w:val="16"/>
                      </w:rPr>
                      <w:t>Formaliojo profesinio mokymo programų atnaujinimas ir (ar) parengimas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Europos socialinio fondo agentūra (toliau – 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2 458 525</w:t>
                    </w:r>
                  </w:p>
                </w:tc>
                <w:tc>
                  <w:tcPr>
                    <w:tcW w:w="361" w:type="pct"/>
                  </w:tcPr>
                  <w:p>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val="restart"/>
                  </w:tcPr>
                  <w:p>
                    <w:pP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P-12-003-03-04-03-10</w:t>
                    </w:r>
                  </w:p>
                  <w:p>
                    <w:pPr>
                      <w:rPr>
                        <w:strike/>
                        <w:color w:val="000000"/>
                        <w:sz w:val="16"/>
                        <w:szCs w:val="16"/>
                      </w:rPr>
                    </w:pPr>
                    <w:r>
                      <w:rPr>
                        <w:color w:val="000000"/>
                        <w:sz w:val="16"/>
                        <w:szCs w:val="16"/>
                      </w:rPr>
                      <w:t>Užregistruotos naujos ar atnaujintos profesinio mokymo programos, kurios yra prieinamos mokymo paslaugų teikėjams</w:t>
                    </w:r>
                  </w:p>
                  <w:p>
                    <w:pPr>
                      <w:rPr>
                        <w:strike/>
                        <w:sz w:val="16"/>
                        <w:szCs w:val="16"/>
                      </w:rPr>
                    </w:pPr>
                  </w:p>
                  <w:p>
                    <w:pPr>
                      <w:rPr>
                        <w:strike/>
                        <w:sz w:val="16"/>
                        <w:szCs w:val="16"/>
                      </w:rPr>
                    </w:pPr>
                  </w:p>
                  <w:p>
                    <w:pPr>
                      <w:rPr>
                        <w:strike/>
                        <w:color w:val="000000"/>
                        <w:sz w:val="16"/>
                        <w:szCs w:val="16"/>
                      </w:rPr>
                    </w:pPr>
                  </w:p>
                </w:tc>
                <w:tc>
                  <w:tcPr>
                    <w:tcW w:w="411" w:type="pct"/>
                    <w:vMerge w:val="restar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Centrinė projektų valdymo agentūra (toliau – CPVA)</w:t>
                    </w:r>
                  </w:p>
                </w:tc>
                <w:tc>
                  <w:tcPr>
                    <w:tcW w:w="274" w:type="pct"/>
                    <w:vMerge w:val="restart"/>
                  </w:tcPr>
                  <w:p>
                    <w:pPr>
                      <w:jc w:val="center"/>
                      <w:rPr>
                        <w:sz w:val="16"/>
                        <w:szCs w:val="16"/>
                      </w:rPr>
                    </w:pPr>
                    <w:r>
                      <w:rPr>
                        <w:sz w:val="16"/>
                        <w:szCs w:val="16"/>
                      </w:rPr>
                      <w:t>ŠMSM</w:t>
                    </w:r>
                  </w:p>
                </w:tc>
              </w:tr>
              <w:tr>
                <w:trPr>
                  <w:trHeight w:val="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2 059 525</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4416"/>
                  <w:jc w:val="center"/>
                </w:trPr>
                <w:tc>
                  <w:tcPr>
                    <w:tcW w:w="479" w:type="pct"/>
                    <w:vMerge/>
                    <w:tcBorders>
                      <w:bottom w:val="single" w:sz="4" w:space="0" w:color="auto"/>
                    </w:tcBorders>
                  </w:tcPr>
                  <w:p>
                    <w:pPr>
                      <w:rPr>
                        <w:i/>
                        <w:sz w:val="16"/>
                        <w:szCs w:val="16"/>
                      </w:rPr>
                    </w:pPr>
                  </w:p>
                </w:tc>
                <w:tc>
                  <w:tcPr>
                    <w:tcW w:w="293" w:type="pct"/>
                    <w:vMerge/>
                    <w:tcBorders>
                      <w:bottom w:val="single" w:sz="4" w:space="0" w:color="auto"/>
                    </w:tcBorders>
                  </w:tcPr>
                  <w:p>
                    <w:pPr>
                      <w:rPr>
                        <w:sz w:val="16"/>
                        <w:szCs w:val="16"/>
                      </w:rPr>
                    </w:pPr>
                  </w:p>
                </w:tc>
                <w:tc>
                  <w:tcPr>
                    <w:tcW w:w="318" w:type="pct"/>
                    <w:vMerge/>
                    <w:tcBorders>
                      <w:bottom w:val="single" w:sz="4" w:space="0" w:color="auto"/>
                    </w:tcBorders>
                  </w:tcPr>
                  <w:p>
                    <w:pPr>
                      <w:rPr>
                        <w:sz w:val="16"/>
                        <w:szCs w:val="16"/>
                      </w:rPr>
                    </w:pPr>
                  </w:p>
                </w:tc>
                <w:tc>
                  <w:tcPr>
                    <w:tcW w:w="364" w:type="pct"/>
                    <w:vMerge/>
                    <w:tcBorders>
                      <w:bottom w:val="single" w:sz="4" w:space="0" w:color="auto"/>
                    </w:tcBorders>
                  </w:tcPr>
                  <w:p>
                    <w:pPr>
                      <w:rPr>
                        <w:sz w:val="16"/>
                        <w:szCs w:val="16"/>
                      </w:rPr>
                    </w:pPr>
                  </w:p>
                </w:tc>
                <w:tc>
                  <w:tcPr>
                    <w:tcW w:w="396" w:type="pct"/>
                    <w:vMerge/>
                    <w:tcBorders>
                      <w:bottom w:val="single" w:sz="4" w:space="0" w:color="auto"/>
                    </w:tcBorders>
                  </w:tcPr>
                  <w:p>
                    <w:pPr>
                      <w:rPr>
                        <w:sz w:val="16"/>
                        <w:szCs w:val="16"/>
                      </w:rPr>
                    </w:pPr>
                  </w:p>
                </w:tc>
                <w:tc>
                  <w:tcPr>
                    <w:tcW w:w="276" w:type="pct"/>
                    <w:vMerge/>
                    <w:tcBorders>
                      <w:bottom w:val="single" w:sz="4" w:space="0" w:color="auto"/>
                    </w:tcBorders>
                  </w:tcPr>
                  <w:p>
                    <w:pPr>
                      <w:rPr>
                        <w:sz w:val="16"/>
                        <w:szCs w:val="16"/>
                      </w:rPr>
                    </w:pPr>
                  </w:p>
                </w:tc>
                <w:tc>
                  <w:tcPr>
                    <w:tcW w:w="480" w:type="pct"/>
                    <w:tcBorders>
                      <w:bottom w:val="single" w:sz="4" w:space="0" w:color="auto"/>
                    </w:tcBorders>
                  </w:tcPr>
                  <w:p>
                    <w:pPr>
                      <w:jc w:val="center"/>
                      <w:rPr>
                        <w:sz w:val="16"/>
                        <w:szCs w:val="16"/>
                      </w:rPr>
                    </w:pPr>
                    <w:r>
                      <w:rPr>
                        <w:color w:val="000000"/>
                        <w:sz w:val="16"/>
                        <w:szCs w:val="16"/>
                      </w:rPr>
                      <w:t>399 000</w:t>
                    </w:r>
                  </w:p>
                </w:tc>
                <w:tc>
                  <w:tcPr>
                    <w:tcW w:w="361" w:type="pct"/>
                    <w:tcBorders>
                      <w:bottom w:val="single" w:sz="4" w:space="0" w:color="auto"/>
                    </w:tcBorders>
                  </w:tcPr>
                  <w:p>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tcBorders>
                      <w:bottom w:val="single" w:sz="4" w:space="0" w:color="auto"/>
                    </w:tcBorders>
                  </w:tcPr>
                  <w:p>
                    <w:pPr>
                      <w:rPr>
                        <w:color w:val="000000"/>
                        <w:sz w:val="16"/>
                        <w:szCs w:val="16"/>
                      </w:rPr>
                    </w:pPr>
                  </w:p>
                </w:tc>
                <w:tc>
                  <w:tcPr>
                    <w:tcW w:w="685" w:type="pct"/>
                    <w:vMerge/>
                    <w:tcBorders>
                      <w:bottom w:val="single" w:sz="4" w:space="0" w:color="auto"/>
                    </w:tcBorders>
                  </w:tcPr>
                  <w:p>
                    <w:pPr>
                      <w:rPr>
                        <w:strike/>
                        <w:sz w:val="16"/>
                        <w:szCs w:val="16"/>
                      </w:rPr>
                    </w:pPr>
                  </w:p>
                </w:tc>
                <w:tc>
                  <w:tcPr>
                    <w:tcW w:w="411" w:type="pct"/>
                    <w:vMerge/>
                    <w:tcBorders>
                      <w:bottom w:val="single" w:sz="4" w:space="0" w:color="auto"/>
                    </w:tcBorders>
                  </w:tcPr>
                  <w:p>
                    <w:pPr>
                      <w:jc w:val="center"/>
                      <w:rPr>
                        <w:strike/>
                        <w:sz w:val="16"/>
                        <w:szCs w:val="16"/>
                      </w:rPr>
                    </w:pPr>
                  </w:p>
                </w:tc>
                <w:tc>
                  <w:tcPr>
                    <w:tcW w:w="342" w:type="pct"/>
                    <w:vMerge/>
                    <w:tcBorders>
                      <w:bottom w:val="single" w:sz="4" w:space="0" w:color="auto"/>
                    </w:tcBorders>
                  </w:tcPr>
                  <w:p>
                    <w:pPr>
                      <w:jc w:val="center"/>
                      <w:rPr>
                        <w:sz w:val="16"/>
                        <w:szCs w:val="16"/>
                      </w:rPr>
                    </w:pPr>
                  </w:p>
                </w:tc>
                <w:tc>
                  <w:tcPr>
                    <w:tcW w:w="274" w:type="pct"/>
                    <w:vMerge/>
                    <w:tcBorders>
                      <w:bottom w:val="single" w:sz="4" w:space="0" w:color="auto"/>
                    </w:tcBorders>
                  </w:tcPr>
                  <w:p>
                    <w:pPr>
                      <w:jc w:val="center"/>
                      <w:rPr>
                        <w:sz w:val="16"/>
                        <w:szCs w:val="16"/>
                      </w:rPr>
                    </w:pPr>
                  </w:p>
                </w:tc>
              </w:tr>
              <w:tr>
                <w:trPr>
                  <w:trHeight w:val="233"/>
                  <w:jc w:val="center"/>
                </w:trPr>
                <w:tc>
                  <w:tcPr>
                    <w:tcW w:w="479" w:type="pct"/>
                    <w:vMerge w:val="restart"/>
                  </w:tcPr>
                  <w:p>
                    <w:pPr>
                      <w:rPr>
                        <w:color w:val="000000"/>
                        <w:sz w:val="16"/>
                        <w:szCs w:val="16"/>
                      </w:rPr>
                    </w:pPr>
                    <w:r>
                      <w:rPr>
                        <w:sz w:val="16"/>
                        <w:szCs w:val="16"/>
                      </w:rPr>
                      <w:t>2.2. Profesijos mokytojų ir (arba) meistrų kompetencijų tobulinimas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3 751 000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vMerge w:val="restar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411" w:type="pct"/>
                    <w:vMerge w:val="restar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w:t>
                    </w: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3 100 000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84"/>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sz w:val="16"/>
                        <w:szCs w:val="16"/>
                      </w:rPr>
                      <w:t>651 000</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3. Priemonių bendrajam ugdymui ir profesiniam mokymui suartinti parengimas</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r>
                      <w:rPr>
                        <w:sz w:val="16"/>
                        <w:szCs w:val="16"/>
                      </w:rPr>
                      <w:t>5 150 000</w:t>
                    </w:r>
                  </w:p>
                </w:tc>
                <w:tc>
                  <w:tcPr>
                    <w:tcW w:w="361" w:type="pct"/>
                  </w:tcPr>
                  <w:p>
                    <w:pPr>
                      <w:rPr>
                        <w:sz w:val="16"/>
                        <w:szCs w:val="16"/>
                      </w:rPr>
                    </w:pPr>
                    <w:r>
                      <w:rPr>
                        <w:sz w:val="16"/>
                        <w:szCs w:val="16"/>
                      </w:rPr>
                      <w:t>EGADP lėšos</w:t>
                    </w:r>
                  </w:p>
                </w:tc>
                <w:tc>
                  <w:tcPr>
                    <w:tcW w:w="321" w:type="pc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233"/>
                  <w:jc w:val="center"/>
                </w:trPr>
                <w:tc>
                  <w:tcPr>
                    <w:tcW w:w="479" w:type="pct"/>
                    <w:vMerge w:val="restart"/>
                  </w:tcPr>
                  <w:p>
                    <w:pPr>
                      <w:rPr>
                        <w:color w:val="000000"/>
                        <w:sz w:val="16"/>
                        <w:szCs w:val="16"/>
                      </w:rPr>
                    </w:pPr>
                    <w:r>
                      <w:rPr>
                        <w:color w:val="000000"/>
                        <w:sz w:val="16"/>
                        <w:szCs w:val="16"/>
                      </w:rPr>
                      <w:t>3.1. Galimybių mokytis profesinio mokymo programų modulius sudarymas</w:t>
                    </w:r>
                  </w:p>
                  <w:p>
                    <w:pPr>
                      <w:rPr>
                        <w:sz w:val="16"/>
                        <w:szCs w:val="16"/>
                      </w:rPr>
                    </w:pP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TA</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color w:val="000000"/>
                        <w:sz w:val="16"/>
                        <w:szCs w:val="16"/>
                      </w:rPr>
                      <w:t>2 960 000</w:t>
                    </w:r>
                  </w:p>
                </w:tc>
                <w:tc>
                  <w:tcPr>
                    <w:tcW w:w="361" w:type="pct"/>
                    <w:vMerge w:val="restart"/>
                  </w:tcPr>
                  <w:p>
                    <w:pPr>
                      <w:rPr>
                        <w:sz w:val="16"/>
                        <w:szCs w:val="16"/>
                      </w:rPr>
                    </w:pPr>
                    <w:r>
                      <w:rPr>
                        <w:sz w:val="16"/>
                        <w:szCs w:val="16"/>
                      </w:rPr>
                      <w:t>EGADP lėšos</w:t>
                    </w:r>
                  </w:p>
                </w:tc>
                <w:tc>
                  <w:tcPr>
                    <w:tcW w:w="321" w:type="pct"/>
                    <w:vMerge w:val="restart"/>
                  </w:tcPr>
                  <w:p>
                    <w:pPr>
                      <w:jc w:val="center"/>
                      <w:rPr>
                        <w:color w:val="000000"/>
                        <w:sz w:val="16"/>
                        <w:szCs w:val="16"/>
                      </w:rPr>
                    </w:pPr>
                    <w:r>
                      <w:rPr>
                        <w:color w:val="000000"/>
                        <w:sz w:val="16"/>
                        <w:szCs w:val="16"/>
                      </w:rPr>
                      <w:t>-</w:t>
                    </w:r>
                  </w:p>
                </w:tc>
                <w:tc>
                  <w:tcPr>
                    <w:tcW w:w="685" w:type="pct"/>
                  </w:tcPr>
                  <w:p>
                    <w:pPr>
                      <w:rPr>
                        <w:color w:val="000000"/>
                        <w:sz w:val="16"/>
                        <w:szCs w:val="16"/>
                      </w:rPr>
                    </w:pPr>
                    <w:r>
                      <w:rPr>
                        <w:sz w:val="16"/>
                        <w:szCs w:val="16"/>
                      </w:rPr>
                      <w:t>R-12-003-03-04-03-03</w:t>
                    </w:r>
                  </w:p>
                  <w:p>
                    <w:pPr>
                      <w:rPr>
                        <w:color w:val="000000"/>
                        <w:sz w:val="16"/>
                        <w:szCs w:val="16"/>
                      </w:rPr>
                    </w:pPr>
                    <w:r>
                      <w:rPr>
                        <w:color w:val="000000"/>
                        <w:sz w:val="16"/>
                        <w:szCs w:val="16"/>
                      </w:rPr>
                      <w:t>Mokinių, kurie mokosi pagal pagrindinio ir vidurinio ugdymo programas bendrojo ugdymo mokyklose ir kuriems buvo skirta parama, kad jie galėtų mokytis pagal pirminio profesinio mokymo programos modulius, skaičiaus padidėjimas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 Sveikatos apsaugos ministerija (toliau – SADM), Ekonomikos ir inovacijų ministerija (toliau – EIM), Žemės ūkio ministerija (toliau – ŽŪM)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P-12-003-03-04-03-17</w:t>
                    </w:r>
                  </w:p>
                  <w:p>
                    <w:pPr>
                      <w:rPr>
                        <w:color w:val="000000"/>
                        <w:sz w:val="16"/>
                        <w:szCs w:val="16"/>
                      </w:rPr>
                    </w:pPr>
                    <w:r>
                      <w:rPr>
                        <w:color w:val="000000"/>
                        <w:sz w:val="16"/>
                        <w:szCs w:val="16"/>
                      </w:rPr>
                      <w:t>Pagal pagrindinio ir vidurinio ugdymo programas bendrojo ugdymo mokyklose besimokantiems mokiniams skirta parama, kad jie galėtų mokytis pagal pirminio profesinio mokymo programos modulius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0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999"/>
                  <w:jc w:val="center"/>
                </w:trPr>
                <w:tc>
                  <w:tcPr>
                    <w:tcW w:w="479" w:type="pct"/>
                    <w:vMerge w:val="restart"/>
                  </w:tcPr>
                  <w:p>
                    <w:pPr>
                      <w:rPr>
                        <w:sz w:val="16"/>
                        <w:szCs w:val="16"/>
                      </w:rPr>
                    </w:pPr>
                    <w:r>
                      <w:rPr>
                        <w:color w:val="000000"/>
                        <w:sz w:val="16"/>
                        <w:szCs w:val="16"/>
                      </w:rPr>
                      <w:t xml:space="preserve">3.2. Eksperimentinių profesinio mokymo programų plėtojimas </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sz w:val="16"/>
                        <w:szCs w:val="16"/>
                      </w:rPr>
                      <w:t>2 190 000</w:t>
                    </w:r>
                  </w:p>
                </w:tc>
                <w:tc>
                  <w:tcPr>
                    <w:tcW w:w="361" w:type="pct"/>
                    <w:vMerge w:val="restart"/>
                  </w:tcPr>
                  <w:p>
                    <w:pPr>
                      <w:rPr>
                        <w:sz w:val="16"/>
                        <w:szCs w:val="16"/>
                      </w:rPr>
                    </w:pPr>
                    <w:r>
                      <w:rPr>
                        <w:sz w:val="16"/>
                        <w:szCs w:val="16"/>
                      </w:rPr>
                      <w:t xml:space="preserve">EGADP lėšos </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P-12-003-03-04-03-18</w:t>
                    </w:r>
                  </w:p>
                  <w:p>
                    <w:pPr>
                      <w:rPr>
                        <w:sz w:val="16"/>
                        <w:szCs w:val="16"/>
                      </w:rPr>
                    </w:pPr>
                    <w:r>
                      <w:rPr>
                        <w:sz w:val="16"/>
                        <w:szCs w:val="16"/>
                      </w:rPr>
                      <w:t>Paramą gavę pagrindinio ugdymo programų mokiniai, kurie mokosi pagal eksperimentines profesinio mokymo programas</w:t>
                    </w:r>
                  </w:p>
                </w:tc>
                <w:tc>
                  <w:tcPr>
                    <w:tcW w:w="411" w:type="pct"/>
                  </w:tcPr>
                  <w:p>
                    <w:pPr>
                      <w:jc w:val="center"/>
                      <w:rPr>
                        <w:color w:val="000000"/>
                        <w:sz w:val="16"/>
                        <w:szCs w:val="16"/>
                      </w:rPr>
                    </w:pPr>
                    <w:r>
                      <w:rPr>
                        <w:color w:val="000000"/>
                        <w:sz w:val="16"/>
                        <w:szCs w:val="16"/>
                      </w:rPr>
                      <w:t>2 544</w:t>
                    </w:r>
                  </w:p>
                  <w:p>
                    <w:pPr>
                      <w:jc w:val="center"/>
                      <w:rPr>
                        <w:b/>
                        <w:color w:val="000000"/>
                        <w:sz w:val="16"/>
                        <w:szCs w:val="16"/>
                      </w:rPr>
                    </w:pPr>
                    <w:r>
                      <w:rPr>
                        <w:color w:val="000000"/>
                        <w:sz w:val="16"/>
                        <w:szCs w:val="16"/>
                      </w:rPr>
                      <w:t>(2026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3" w:type="pct"/>
                    <w:vMerge w:val="restart"/>
                  </w:tcPr>
                  <w:p>
                    <w:pPr>
                      <w:jc w:val="center"/>
                      <w:rPr>
                        <w:sz w:val="16"/>
                        <w:szCs w:val="16"/>
                      </w:rPr>
                    </w:pPr>
                    <w:r>
                      <w:rPr>
                        <w:color w:val="000000"/>
                        <w:sz w:val="16"/>
                        <w:szCs w:val="16"/>
                      </w:rPr>
                      <w:t>M</w:t>
                    </w:r>
                  </w:p>
                </w:tc>
                <w:tc>
                  <w:tcPr>
                    <w:tcW w:w="318" w:type="pct"/>
                    <w:vMerge w:val="restart"/>
                  </w:tcPr>
                  <w:p>
                    <w:pPr>
                      <w:jc w:val="center"/>
                      <w:rPr>
                        <w:sz w:val="16"/>
                        <w:szCs w:val="16"/>
                      </w:rPr>
                    </w:pPr>
                    <w:r>
                      <w:rPr>
                        <w:color w:val="000000"/>
                        <w:sz w:val="16"/>
                        <w:szCs w:val="16"/>
                      </w:rPr>
                      <w:t>ESFA ir profesinio mokymo įstaigos</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21 440 155</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57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21 294 386</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411" w:type="pct"/>
                  </w:tcPr>
                  <w:p>
                    <w:pPr>
                      <w:jc w:val="center"/>
                      <w:rPr>
                        <w:color w:val="000000"/>
                        <w:sz w:val="16"/>
                        <w:szCs w:val="16"/>
                      </w:rPr>
                    </w:pPr>
                    <w:r>
                      <w:rPr>
                        <w:color w:val="000000"/>
                        <w:sz w:val="16"/>
                        <w:szCs w:val="16"/>
                      </w:rPr>
                      <w:t>3 866</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145 769</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b/>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5. Įveiklinti sektorinių praktinio mokymo centrų sistemą įgyvendinant nacionalinio mobilumo programą</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color w:val="000000"/>
                        <w:sz w:val="16"/>
                        <w:szCs w:val="16"/>
                      </w:rPr>
                      <w:t>7 219 231</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P-12-003-03-04-03-16</w:t>
                    </w:r>
                  </w:p>
                  <w:p>
                    <w:pPr>
                      <w:rPr>
                        <w:sz w:val="16"/>
                        <w:szCs w:val="16"/>
                      </w:rPr>
                    </w:pPr>
                    <w:r>
                      <w:rPr>
                        <w:color w:val="000000"/>
                        <w:sz w:val="16"/>
                        <w:szCs w:val="16"/>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11" w:type="pct"/>
                  </w:tcPr>
                  <w:p>
                    <w:pPr>
                      <w:jc w:val="center"/>
                      <w:rPr>
                        <w:b/>
                        <w:color w:val="000000"/>
                        <w:sz w:val="16"/>
                        <w:szCs w:val="16"/>
                      </w:rPr>
                    </w:pPr>
                    <w:r>
                      <w:rPr>
                        <w:color w:val="000000"/>
                        <w:sz w:val="16"/>
                        <w:szCs w:val="16"/>
                      </w:rPr>
                      <w:t>10 766 (2026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6 000 000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 xml:space="preserve">Švietimo ar mokymo veiklos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1 219 231</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6. Profesinio mokymo prieinamumo gerinimo parama mokiniams iš nepalankias sąlygas turinčių asmenų grupių</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1696"/>
                  <w:jc w:val="center"/>
                </w:trPr>
                <w:tc>
                  <w:tcPr>
                    <w:tcW w:w="479" w:type="pct"/>
                    <w:vMerge w:val="restart"/>
                  </w:tcPr>
                  <w:p>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953 236</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w:t>
                    </w:r>
                  </w:p>
                  <w:p>
                    <w:pPr>
                      <w:jc w:val="center"/>
                      <w:rPr>
                        <w:color w:val="000000"/>
                        <w:sz w:val="16"/>
                        <w:szCs w:val="16"/>
                      </w:rPr>
                    </w:pPr>
                    <w:r>
                      <w:rPr>
                        <w:color w:val="000000"/>
                        <w:sz w:val="16"/>
                        <w:szCs w:val="16"/>
                      </w:rPr>
                      <w:t>Sostinės regionas</w:t>
                    </w:r>
                  </w:p>
                </w:tc>
                <w:tc>
                  <w:tcPr>
                    <w:tcW w:w="685"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74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130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931"/>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 xml:space="preserve">LG </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4 729 147</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 VVL regionas</w:t>
                    </w:r>
                  </w:p>
                </w:tc>
                <w:tc>
                  <w:tcPr>
                    <w:tcW w:w="685"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1482"/>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4 019 775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660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3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709 372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150"/>
                  <w:jc w:val="center"/>
                </w:trPr>
                <w:tc>
                  <w:tcPr>
                    <w:tcW w:w="479" w:type="pct"/>
                  </w:tcPr>
                  <w:p>
                    <w:pPr>
                      <w:rPr>
                        <w:color w:val="000000"/>
                        <w:sz w:val="16"/>
                        <w:szCs w:val="16"/>
                      </w:rPr>
                    </w:pPr>
                    <w:r>
                      <w:rPr>
                        <w:color w:val="000000"/>
                        <w:sz w:val="16"/>
                        <w:szCs w:val="16"/>
                      </w:rPr>
                      <w:t>7. Investicijos į profesinio mokymo infrastruktūrą</w:t>
                    </w:r>
                  </w:p>
                  <w:p>
                    <w:pPr>
                      <w:rPr>
                        <w:sz w:val="16"/>
                        <w:szCs w:val="16"/>
                      </w:rPr>
                    </w:pPr>
                    <w:r>
                      <w:rPr>
                        <w:sz w:val="16"/>
                        <w:szCs w:val="16"/>
                        <w:lang w:eastAsia="lt-LT"/>
                      </w:rPr>
                      <w:t>Vidurio ir vakarų Lietuvos regione</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688"/>
                  <w:jc w:val="center"/>
                </w:trPr>
                <w:tc>
                  <w:tcPr>
                    <w:tcW w:w="479" w:type="pct"/>
                    <w:vMerge w:val="restart"/>
                  </w:tcPr>
                  <w:p>
                    <w:pPr>
                      <w:rPr>
                        <w:color w:val="000000"/>
                        <w:sz w:val="16"/>
                        <w:szCs w:val="16"/>
                      </w:rPr>
                    </w:pPr>
                    <w:r>
                      <w:rPr>
                        <w:color w:val="000000"/>
                        <w:sz w:val="16"/>
                        <w:szCs w:val="16"/>
                      </w:rPr>
                      <w:t>7.1. Investicijų į profesinio mokymo infrastruktūrą poreikio analizė</w:t>
                    </w:r>
                  </w:p>
                </w:tc>
                <w:tc>
                  <w:tcPr>
                    <w:tcW w:w="293" w:type="pct"/>
                    <w:vMerge w:val="restart"/>
                  </w:tcPr>
                  <w:p>
                    <w:pPr>
                      <w:jc w:val="center"/>
                      <w:rPr>
                        <w:color w:val="000000"/>
                        <w:sz w:val="16"/>
                        <w:szCs w:val="16"/>
                      </w:rPr>
                    </w:pPr>
                    <w:r>
                      <w:rPr>
                        <w:color w:val="000000"/>
                        <w:sz w:val="16"/>
                        <w:szCs w:val="16"/>
                      </w:rPr>
                      <w:t>A</w:t>
                    </w:r>
                  </w:p>
                </w:tc>
                <w:tc>
                  <w:tcPr>
                    <w:tcW w:w="318" w:type="pct"/>
                    <w:vMerge w:val="restart"/>
                  </w:tcPr>
                  <w:p>
                    <w:pPr>
                      <w:jc w:val="center"/>
                      <w:rPr>
                        <w:color w:val="000000"/>
                        <w:sz w:val="16"/>
                        <w:szCs w:val="16"/>
                      </w:rPr>
                    </w:pPr>
                    <w:r>
                      <w:rPr>
                        <w:color w:val="000000"/>
                        <w:sz w:val="16"/>
                        <w:szCs w:val="16"/>
                      </w:rPr>
                      <w:t>ESFA</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800 000</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vMerge w:val="restart"/>
                  </w:tcPr>
                  <w:p>
                    <w:pPr>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411" w:type="pct"/>
                    <w:vMerge w:val="restar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(2025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8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sz w:val="16"/>
                        <w:szCs w:val="16"/>
                      </w:rPr>
                      <w:t>680 000</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7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color w:val="000000"/>
                        <w:sz w:val="16"/>
                        <w:szCs w:val="16"/>
                      </w:rPr>
                      <w:t>120 000</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233"/>
                  <w:jc w:val="center"/>
                </w:trPr>
                <w:tc>
                  <w:tcPr>
                    <w:tcW w:w="479" w:type="pct"/>
                    <w:vMerge w:val="restart"/>
                  </w:tcPr>
                  <w:p>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93" w:type="pct"/>
                    <w:vMerge w:val="restart"/>
                  </w:tcPr>
                  <w:p>
                    <w:pPr>
                      <w:jc w:val="center"/>
                      <w:rPr>
                        <w:color w:val="000000"/>
                        <w:sz w:val="16"/>
                        <w:szCs w:val="16"/>
                      </w:rPr>
                    </w:pPr>
                    <w:r>
                      <w:rPr>
                        <w:color w:val="000000"/>
                        <w:sz w:val="16"/>
                        <w:szCs w:val="16"/>
                      </w:rPr>
                      <w:t>I</w:t>
                    </w:r>
                  </w:p>
                </w:tc>
                <w:tc>
                  <w:tcPr>
                    <w:tcW w:w="318" w:type="pct"/>
                    <w:vMerge w:val="restart"/>
                  </w:tcPr>
                  <w:p>
                    <w:pPr>
                      <w:jc w:val="center"/>
                      <w:rPr>
                        <w:color w:val="000000"/>
                        <w:sz w:val="16"/>
                        <w:szCs w:val="16"/>
                      </w:rPr>
                    </w:pPr>
                    <w:r>
                      <w:rPr>
                        <w:color w:val="000000"/>
                        <w:sz w:val="16"/>
                        <w:szCs w:val="16"/>
                      </w:rPr>
                      <w:t xml:space="preserve">Profesinio mokymo įstaigos </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38 062 145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tcPr>
                  <w:p>
                    <w:pPr>
                      <w:rPr>
                        <w:color w:val="000000"/>
                        <w:sz w:val="16"/>
                        <w:szCs w:val="16"/>
                      </w:rPr>
                    </w:pPr>
                    <w:r>
                      <w:rPr>
                        <w:color w:val="000000"/>
                        <w:sz w:val="16"/>
                        <w:szCs w:val="16"/>
                      </w:rPr>
                      <w:t>R-12-003-03-04-03-04</w:t>
                    </w:r>
                  </w:p>
                  <w:p>
                    <w:pPr>
                      <w:rPr>
                        <w:color w:val="000000"/>
                        <w:sz w:val="16"/>
                        <w:szCs w:val="16"/>
                      </w:rPr>
                    </w:pPr>
                    <w:r>
                      <w:rPr>
                        <w:color w:val="000000"/>
                        <w:sz w:val="16"/>
                        <w:szCs w:val="16"/>
                      </w:rPr>
                      <w:t>Naujos arba modernizuotos švietimo infrastruktūros naudotojų skaičius per metus</w:t>
                    </w:r>
                  </w:p>
                </w:tc>
                <w:tc>
                  <w:tcPr>
                    <w:tcW w:w="411" w:type="pct"/>
                  </w:tcPr>
                  <w:p>
                    <w:pPr>
                      <w:jc w:val="center"/>
                      <w:rPr>
                        <w:color w:val="000000"/>
                        <w:sz w:val="16"/>
                        <w:szCs w:val="16"/>
                      </w:rPr>
                    </w:pPr>
                    <w:r>
                      <w:rPr>
                        <w:color w:val="000000"/>
                        <w:sz w:val="16"/>
                        <w:szCs w:val="16"/>
                      </w:rPr>
                      <w:t>22 860</w:t>
                    </w:r>
                  </w:p>
                  <w:p>
                    <w:pPr>
                      <w:jc w:val="center"/>
                      <w:rPr>
                        <w:color w:val="000000"/>
                        <w:sz w:val="16"/>
                        <w:szCs w:val="16"/>
                      </w:rPr>
                    </w:pPr>
                    <w:r>
                      <w:rPr>
                        <w:color w:val="000000"/>
                        <w:sz w:val="16"/>
                        <w:szCs w:val="16"/>
                      </w:rPr>
                      <w:t>(2029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7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32 352 823</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shd w:val="clear" w:color="auto" w:fill="FFFFFF"/>
                      </w:rPr>
                    </w:pPr>
                  </w:p>
                </w:tc>
                <w:tc>
                  <w:tcPr>
                    <w:tcW w:w="685"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411" w:type="pct"/>
                    <w:vMerge w:val="restart"/>
                  </w:tcPr>
                  <w:p>
                    <w:pPr>
                      <w:jc w:val="center"/>
                      <w:rPr>
                        <w:color w:val="000000"/>
                        <w:sz w:val="16"/>
                        <w:szCs w:val="16"/>
                        <w:bdr w:val="none" w:sz="0" w:space="0" w:color="auto" w:frame="1"/>
                      </w:rPr>
                    </w:pPr>
                    <w:r>
                      <w:rPr>
                        <w:color w:val="000000"/>
                        <w:sz w:val="16"/>
                        <w:szCs w:val="16"/>
                        <w:bdr w:val="none" w:sz="0" w:space="0" w:color="auto" w:frame="1"/>
                      </w:rPr>
                      <w:t>28 575</w:t>
                    </w:r>
                  </w:p>
                  <w:p>
                    <w:pPr>
                      <w:jc w:val="center"/>
                      <w:rPr>
                        <w:color w:val="000000"/>
                        <w:sz w:val="16"/>
                        <w:szCs w:val="16"/>
                      </w:rPr>
                    </w:pPr>
                    <w:r>
                      <w:rPr>
                        <w:color w:val="000000"/>
                        <w:sz w:val="16"/>
                        <w:szCs w:val="16"/>
                      </w:rPr>
                      <w:t>(2029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65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5 709 322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shd w:val="clear" w:color="auto" w:fill="FFFFFF"/>
                      </w:rPr>
                    </w:pPr>
                  </w:p>
                </w:tc>
                <w:tc>
                  <w:tcPr>
                    <w:tcW w:w="685" w:type="pct"/>
                    <w:vMerge/>
                  </w:tcPr>
                  <w:p>
                    <w:pPr>
                      <w:rPr>
                        <w:color w:val="000000"/>
                        <w:sz w:val="16"/>
                        <w:szCs w:val="16"/>
                        <w:shd w:val="clear" w:color="auto" w:fill="FFFFFF"/>
                      </w:rPr>
                    </w:pPr>
                  </w:p>
                </w:tc>
                <w:tc>
                  <w:tcPr>
                    <w:tcW w:w="411" w:type="pct"/>
                    <w:vMerge/>
                  </w:tcPr>
                  <w:p>
                    <w:pPr>
                      <w:jc w:val="center"/>
                      <w:rPr>
                        <w:color w:val="000000"/>
                        <w:sz w:val="16"/>
                        <w:szCs w:val="16"/>
                        <w:bdr w:val="none" w:sz="0" w:space="0" w:color="auto" w:frame="1"/>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val="restart"/>
                  </w:tcPr>
                  <w:p>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93" w:type="pct"/>
                    <w:vMerge w:val="restart"/>
                  </w:tcPr>
                  <w:p>
                    <w:pPr>
                      <w:jc w:val="center"/>
                      <w:rPr>
                        <w:sz w:val="16"/>
                        <w:szCs w:val="16"/>
                      </w:rPr>
                    </w:pPr>
                    <w:r>
                      <w:rPr>
                        <w:color w:val="000000"/>
                        <w:sz w:val="16"/>
                        <w:szCs w:val="16"/>
                      </w:rPr>
                      <w:t>K</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sz w:val="16"/>
                        <w:szCs w:val="16"/>
                      </w:rPr>
                      <w:t>DV</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color w:val="000000"/>
                        <w:sz w:val="16"/>
                        <w:szCs w:val="16"/>
                      </w:rPr>
                      <w:t>1 210 000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411" w:type="pct"/>
                    <w:vMerge w:val="restart"/>
                  </w:tcPr>
                  <w:p>
                    <w:pPr>
                      <w:jc w:val="center"/>
                      <w:rPr>
                        <w:color w:val="000000"/>
                        <w:sz w:val="16"/>
                        <w:szCs w:val="16"/>
                      </w:rPr>
                    </w:pPr>
                    <w:r>
                      <w:rPr>
                        <w:color w:val="000000"/>
                        <w:sz w:val="16"/>
                        <w:szCs w:val="16"/>
                      </w:rPr>
                      <w:t>100</w:t>
                    </w:r>
                  </w:p>
                  <w:p>
                    <w:pPr>
                      <w:jc w:val="center"/>
                      <w:rPr>
                        <w:sz w:val="16"/>
                        <w:szCs w:val="16"/>
                      </w:rPr>
                    </w:pPr>
                    <w:r>
                      <w:rPr>
                        <w:color w:val="000000"/>
                        <w:sz w:val="16"/>
                        <w:szCs w:val="16"/>
                      </w:rPr>
                      <w:t>(2026 m.)</w:t>
                    </w:r>
                  </w:p>
                </w:tc>
                <w:tc>
                  <w:tcPr>
                    <w:tcW w:w="342" w:type="pct"/>
                    <w:vMerge w:val="restart"/>
                  </w:tcPr>
                  <w:p>
                    <w:pPr>
                      <w:rPr>
                        <w:sz w:val="16"/>
                        <w:szCs w:val="16"/>
                      </w:rPr>
                    </w:pPr>
                    <w:r>
                      <w:rPr>
                        <w:color w:val="000000"/>
                        <w:sz w:val="16"/>
                        <w:szCs w:val="16"/>
                      </w:rPr>
                      <w:t>CPVA</w:t>
                    </w:r>
                  </w:p>
                </w:tc>
                <w:tc>
                  <w:tcPr>
                    <w:tcW w:w="274" w:type="pct"/>
                    <w:vMerge w:val="restart"/>
                  </w:tcPr>
                  <w:p>
                    <w:pPr>
                      <w:rPr>
                        <w:sz w:val="16"/>
                        <w:szCs w:val="16"/>
                      </w:rPr>
                    </w:pPr>
                    <w:r>
                      <w:rPr>
                        <w:color w:val="000000"/>
                        <w:sz w:val="16"/>
                        <w:szCs w:val="16"/>
                      </w:rPr>
                      <w:t>ŠMSM, SADM, EIM, ŽŪM</w:t>
                    </w:r>
                  </w:p>
                </w:tc>
              </w:tr>
              <w:tr>
                <w:trPr>
                  <w:trHeight w:val="34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1 000 000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210 000</w:t>
                    </w:r>
                  </w:p>
                </w:tc>
                <w:tc>
                  <w:tcPr>
                    <w:tcW w:w="361" w:type="pc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035"/>
                  <w:jc w:val="center"/>
                </w:trPr>
                <w:tc>
                  <w:tcPr>
                    <w:tcW w:w="479" w:type="pct"/>
                    <w:vMerge w:val="restart"/>
                  </w:tcPr>
                  <w:p>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3" w:type="pct"/>
                    <w:vMerge w:val="restart"/>
                  </w:tcPr>
                  <w:p>
                    <w:pPr>
                      <w:jc w:val="center"/>
                      <w:rPr>
                        <w:color w:val="000000"/>
                        <w:sz w:val="16"/>
                        <w:szCs w:val="16"/>
                      </w:rPr>
                    </w:pPr>
                    <w:r>
                      <w:rPr>
                        <w:color w:val="000000"/>
                        <w:sz w:val="16"/>
                        <w:szCs w:val="16"/>
                      </w:rPr>
                      <w:t>-</w:t>
                    </w:r>
                  </w:p>
                </w:tc>
                <w:tc>
                  <w:tcPr>
                    <w:tcW w:w="318" w:type="pct"/>
                    <w:vMerge w:val="restart"/>
                  </w:tcPr>
                  <w:p>
                    <w:pPr>
                      <w:jc w:val="center"/>
                      <w:rPr>
                        <w:color w:val="000000"/>
                        <w:sz w:val="16"/>
                        <w:szCs w:val="16"/>
                      </w:rPr>
                    </w:pPr>
                    <w:r>
                      <w:rPr>
                        <w:color w:val="000000"/>
                        <w:sz w:val="16"/>
                        <w:szCs w:val="16"/>
                      </w:rPr>
                      <w:t>KPMPC</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p>
                </w:tc>
                <w:tc>
                  <w:tcPr>
                    <w:tcW w:w="480" w:type="pct"/>
                    <w:vMerge w:val="restart"/>
                  </w:tcPr>
                  <w:p>
                    <w:pPr>
                      <w:jc w:val="center"/>
                      <w:rPr>
                        <w:color w:val="000000"/>
                        <w:sz w:val="16"/>
                        <w:szCs w:val="16"/>
                      </w:rPr>
                    </w:pPr>
                    <w:r>
                      <w:rPr>
                        <w:bCs/>
                        <w:sz w:val="16"/>
                        <w:szCs w:val="16"/>
                      </w:rPr>
                      <w:t>955 414</w:t>
                    </w:r>
                  </w:p>
                </w:tc>
                <w:tc>
                  <w:tcPr>
                    <w:tcW w:w="361" w:type="pct"/>
                    <w:vMerge w:val="restart"/>
                  </w:tcPr>
                  <w:p>
                    <w:pPr>
                      <w:rPr>
                        <w:bCs/>
                        <w:sz w:val="16"/>
                        <w:szCs w:val="16"/>
                      </w:rPr>
                    </w:pPr>
                    <w:r>
                      <w:rPr>
                        <w:sz w:val="16"/>
                        <w:szCs w:val="16"/>
                      </w:rPr>
                      <w:t>Antrojo Šveicarijos įnašo finansinės paramos lėšos</w:t>
                    </w:r>
                  </w:p>
                </w:tc>
                <w:tc>
                  <w:tcPr>
                    <w:tcW w:w="321" w:type="pct"/>
                    <w:vMerge w:val="restart"/>
                  </w:tcPr>
                  <w:p>
                    <w:pPr>
                      <w:jc w:val="center"/>
                      <w:rPr>
                        <w:color w:val="000000"/>
                        <w:sz w:val="16"/>
                        <w:szCs w:val="16"/>
                        <w:lang w:eastAsia="lt-LT"/>
                      </w:rPr>
                    </w:pPr>
                    <w:r>
                      <w:rPr>
                        <w:color w:val="000000"/>
                        <w:sz w:val="16"/>
                        <w:szCs w:val="16"/>
                        <w:lang w:eastAsia="lt-LT"/>
                      </w:rPr>
                      <w:t>-</w:t>
                    </w:r>
                  </w:p>
                </w:tc>
                <w:tc>
                  <w:tcPr>
                    <w:tcW w:w="685" w:type="pct"/>
                  </w:tcPr>
                  <w:p>
                    <w:pPr>
                      <w:rPr>
                        <w:bCs/>
                        <w:sz w:val="16"/>
                        <w:szCs w:val="16"/>
                        <w:lang w:eastAsia="lt-LT"/>
                      </w:rPr>
                    </w:pPr>
                    <w:r>
                      <w:rPr>
                        <w:bCs/>
                        <w:sz w:val="16"/>
                        <w:szCs w:val="16"/>
                        <w:lang w:eastAsia="lt-LT"/>
                      </w:rPr>
                      <w:t>R-12-003-03-04-03-26</w:t>
                    </w:r>
                  </w:p>
                  <w:p>
                    <w:pPr>
                      <w:rPr>
                        <w:bCs/>
                        <w:sz w:val="16"/>
                        <w:szCs w:val="16"/>
                        <w:lang w:eastAsia="lt-LT"/>
                      </w:rPr>
                    </w:pPr>
                    <w:r>
                      <w:rPr>
                        <w:bCs/>
                        <w:sz w:val="16"/>
                        <w:szCs w:val="16"/>
                        <w:lang w:eastAsia="lt-LT"/>
                      </w:rPr>
                      <w:t>Profesinio mokymo įstaigų, įgyvendinančių neformaliąsias profesinio mokymo programas trečiųjų šalių piliečiams, dalis, proc.</w:t>
                    </w:r>
                  </w:p>
                </w:tc>
                <w:tc>
                  <w:tcPr>
                    <w:tcW w:w="411" w:type="pct"/>
                  </w:tcPr>
                  <w:p>
                    <w:pPr>
                      <w:jc w:val="center"/>
                      <w:rPr>
                        <w:color w:val="000000"/>
                        <w:sz w:val="16"/>
                        <w:szCs w:val="16"/>
                      </w:rPr>
                    </w:pPr>
                    <w:r>
                      <w:rPr>
                        <w:color w:val="000000"/>
                        <w:sz w:val="16"/>
                        <w:szCs w:val="16"/>
                      </w:rPr>
                      <w:t>10 proc. (2028 m.)</w:t>
                    </w:r>
                  </w:p>
                </w:tc>
                <w:tc>
                  <w:tcPr>
                    <w:tcW w:w="342" w:type="pct"/>
                    <w:vMerge w:val="restart"/>
                  </w:tcPr>
                  <w:p>
                    <w:pPr>
                      <w:rPr>
                        <w:color w:val="000000"/>
                        <w:sz w:val="16"/>
                        <w:szCs w:val="16"/>
                      </w:rPr>
                    </w:pPr>
                    <w:r>
                      <w:rPr>
                        <w:color w:val="000000"/>
                        <w:sz w:val="16"/>
                        <w:szCs w:val="16"/>
                      </w:rPr>
                      <w:t>CPVA</w:t>
                    </w:r>
                  </w:p>
                </w:tc>
                <w:tc>
                  <w:tcPr>
                    <w:tcW w:w="274" w:type="pct"/>
                    <w:vMerge w:val="restart"/>
                  </w:tcPr>
                  <w:p>
                    <w:pPr>
                      <w:rPr>
                        <w:color w:val="000000"/>
                        <w:sz w:val="16"/>
                        <w:szCs w:val="16"/>
                      </w:rPr>
                    </w:pPr>
                    <w:r>
                      <w:rPr>
                        <w:color w:val="000000"/>
                        <w:sz w:val="16"/>
                        <w:szCs w:val="16"/>
                      </w:rPr>
                      <w:t>ŠMSM, UŽT, EIM</w:t>
                    </w:r>
                  </w:p>
                </w:tc>
              </w:tr>
              <w:tr>
                <w:trPr>
                  <w:trHeight w:val="21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vMerge w:val="restart"/>
                  </w:tcPr>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411" w:type="pct"/>
                    <w:vMerge w:val="restart"/>
                  </w:tcPr>
                  <w:p>
                    <w:pPr>
                      <w:jc w:val="center"/>
                      <w:rPr>
                        <w:color w:val="000000"/>
                        <w:sz w:val="16"/>
                        <w:szCs w:val="16"/>
                      </w:rPr>
                    </w:pPr>
                    <w:r>
                      <w:rPr>
                        <w:color w:val="000000"/>
                        <w:sz w:val="16"/>
                        <w:szCs w:val="16"/>
                      </w:rPr>
                      <w:t xml:space="preserve">1 </w:t>
                    </w:r>
                  </w:p>
                  <w:p>
                    <w:pPr>
                      <w:jc w:val="center"/>
                      <w:rPr>
                        <w:color w:val="000000"/>
                        <w:sz w:val="16"/>
                        <w:szCs w:val="16"/>
                      </w:rPr>
                    </w:pPr>
                    <w:r>
                      <w:rPr>
                        <w:color w:val="000000"/>
                        <w:sz w:val="16"/>
                        <w:szCs w:val="16"/>
                      </w:rPr>
                      <w:t>(2028 m.)</w:t>
                    </w:r>
                  </w:p>
                </w:tc>
                <w:tc>
                  <w:tcPr>
                    <w:tcW w:w="342" w:type="pct"/>
                    <w:vMerge/>
                  </w:tcPr>
                  <w:p>
                    <w:pPr>
                      <w:rPr>
                        <w:color w:val="000000"/>
                        <w:sz w:val="16"/>
                        <w:szCs w:val="16"/>
                      </w:rPr>
                    </w:pPr>
                  </w:p>
                </w:tc>
                <w:tc>
                  <w:tcPr>
                    <w:tcW w:w="274" w:type="pct"/>
                    <w:vMerge/>
                  </w:tcPr>
                  <w:p>
                    <w:pPr>
                      <w:jc w:val="center"/>
                      <w:rPr>
                        <w:color w:val="000000"/>
                        <w:sz w:val="16"/>
                        <w:szCs w:val="16"/>
                      </w:rPr>
                    </w:pPr>
                  </w:p>
                </w:tc>
              </w:tr>
              <w:tr>
                <w:trPr>
                  <w:trHeight w:val="84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val="restart"/>
                  </w:tcPr>
                  <w:p>
                    <w:pPr>
                      <w:jc w:val="center"/>
                      <w:rPr>
                        <w:color w:val="000000"/>
                        <w:sz w:val="16"/>
                        <w:szCs w:val="16"/>
                      </w:rPr>
                    </w:pPr>
                    <w:r>
                      <w:rPr>
                        <w:color w:val="000000"/>
                        <w:sz w:val="16"/>
                        <w:szCs w:val="16"/>
                      </w:rPr>
                      <w:t xml:space="preserve">168 603 </w:t>
                    </w:r>
                  </w:p>
                </w:tc>
                <w:tc>
                  <w:tcPr>
                    <w:tcW w:w="361" w:type="pct"/>
                    <w:vMerge w:val="restart"/>
                  </w:tcPr>
                  <w:p>
                    <w:pPr>
                      <w:rPr>
                        <w:bCs/>
                        <w:sz w:val="16"/>
                        <w:szCs w:val="16"/>
                      </w:rPr>
                    </w:pPr>
                    <w:r>
                      <w:rPr>
                        <w:bCs/>
                        <w:sz w:val="16"/>
                        <w:szCs w:val="16"/>
                      </w:rPr>
                      <w:t>Antrojo Šveicarijos įnašo finansinės paramos bendrojo finansavimo lėšos</w:t>
                    </w:r>
                  </w:p>
                </w:tc>
                <w:tc>
                  <w:tcPr>
                    <w:tcW w:w="321" w:type="pct"/>
                    <w:vMerge/>
                  </w:tcPr>
                  <w:p>
                    <w:pPr>
                      <w:rPr>
                        <w:color w:val="000000"/>
                        <w:sz w:val="16"/>
                        <w:szCs w:val="16"/>
                      </w:rPr>
                    </w:pPr>
                  </w:p>
                </w:tc>
                <w:tc>
                  <w:tcPr>
                    <w:tcW w:w="685" w:type="pct"/>
                    <w:vMerge/>
                  </w:tcPr>
                  <w:p>
                    <w:pPr>
                      <w:rPr>
                        <w:sz w:val="16"/>
                        <w:szCs w:val="16"/>
                        <w:lang w:eastAsia="lt-LT"/>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411" w:type="pct"/>
                  </w:tcPr>
                  <w:p>
                    <w:pPr>
                      <w:jc w:val="center"/>
                      <w:rPr>
                        <w:color w:val="000000"/>
                        <w:sz w:val="16"/>
                        <w:szCs w:val="16"/>
                      </w:rPr>
                    </w:pPr>
                    <w:r>
                      <w:rPr>
                        <w:color w:val="000000"/>
                        <w:sz w:val="16"/>
                        <w:szCs w:val="16"/>
                      </w:rPr>
                      <w:t xml:space="preserve">2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411" w:type="pct"/>
                  </w:tcPr>
                  <w:p>
                    <w:pPr>
                      <w:jc w:val="center"/>
                      <w:rPr>
                        <w:color w:val="000000"/>
                        <w:sz w:val="16"/>
                        <w:szCs w:val="16"/>
                      </w:rPr>
                    </w:pPr>
                    <w:r>
                      <w:rPr>
                        <w:color w:val="000000"/>
                        <w:sz w:val="16"/>
                        <w:szCs w:val="16"/>
                      </w:rPr>
                      <w:t>190 (2028 m.)</w:t>
                    </w:r>
                  </w:p>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411" w:type="pct"/>
                  </w:tcPr>
                  <w:p>
                    <w:pPr>
                      <w:jc w:val="center"/>
                      <w:rPr>
                        <w:color w:val="000000"/>
                        <w:sz w:val="16"/>
                        <w:szCs w:val="16"/>
                      </w:rPr>
                    </w:pPr>
                    <w:r>
                      <w:rPr>
                        <w:color w:val="000000"/>
                        <w:sz w:val="16"/>
                        <w:szCs w:val="16"/>
                      </w:rPr>
                      <w:t xml:space="preserve">10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411" w:type="pct"/>
                  </w:tcPr>
                  <w:p>
                    <w:pPr>
                      <w:jc w:val="center"/>
                      <w:rPr>
                        <w:color w:val="000000"/>
                        <w:sz w:val="16"/>
                        <w:szCs w:val="16"/>
                      </w:rPr>
                    </w:pPr>
                    <w:r>
                      <w:rPr>
                        <w:color w:val="000000"/>
                        <w:sz w:val="16"/>
                        <w:szCs w:val="16"/>
                      </w:rPr>
                      <w:t>5</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411" w:type="pct"/>
                  </w:tcPr>
                  <w:p>
                    <w:pPr>
                      <w:jc w:val="center"/>
                      <w:rPr>
                        <w:color w:val="000000"/>
                        <w:sz w:val="16"/>
                        <w:szCs w:val="16"/>
                      </w:rPr>
                    </w:pPr>
                    <w:r>
                      <w:rPr>
                        <w:color w:val="000000"/>
                        <w:sz w:val="16"/>
                        <w:szCs w:val="16"/>
                      </w:rPr>
                      <w:t>50</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bl>
            <w:p>
              <w:pPr>
                <w:jc w:val="both"/>
                <w:rPr>
                  <w:sz w:val="18"/>
                  <w:szCs w:val="18"/>
                </w:rPr>
              </w:pPr>
              <w:r>
                <w:rPr>
                  <w:b/>
                  <w:bCs/>
                  <w:iCs/>
                  <w:sz w:val="22"/>
                  <w:szCs w:val="22"/>
                </w:rPr>
                <w:t xml:space="preserve">Pastaba. </w:t>
              </w:r>
              <w:r>
                <w:rPr>
                  <w:iCs/>
                  <w:sz w:val="22"/>
                  <w:szCs w:val="22"/>
                </w:rPr>
                <w:t xml:space="preserve">Lentelės 5 stulpelyje pažymima, prie kurių horizontaliųjų principų įgyvendinimo bus prisidedama tiesiogiai (jeigu prisidedama). Kai prisidedama, horizontalieji principai nurodomi šiais trumpiniais: darnus vystymasis – DV; inovatyvumas (kūrybingumas) – IN; lygios galimybės visiems – LG. Kai neprisidedama – nurodoma „Neprisidedama“.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įsakymą Nr. V-729)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2 priedo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3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3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4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5 priedo 1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5 priedo 2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V-1052)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b71124a90411f0a34db2fbd35a03b2">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2025-10-14,
paskelbta TAR 2025-10-14, i. k. 2025-17142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e50219e8411f0a34db2fbd35a03b2">
            <w:r w:rsidRPr="00532B9F">
              <w:rPr>
                <w:rFonts w:ascii="Times New Roman" w:eastAsia="MS Mincho" w:hAnsi="Times New Roman"/>
                <w:sz w:val="20"/>
                <w:i/>
                <w:iCs/>
                <w:color w:val="0000FF" w:themeColor="hyperlink"/>
                <w:u w:val="single"/>
              </w:rPr>
              <w:t>V-1011</w:t>
            </w:r>
          </w:fldSimple>
          <w:r>
            <w:rPr>
              <w:rFonts w:ascii="Times New Roman" w:eastAsia="MS Mincho" w:hAnsi="Times New Roman"/>
              <w:sz w:val="20"/>
              <w:i/>
              <w:iCs/>
            </w:rPr>
            <w:t>,
2025-10-01,
paskelbta TAR 2025-10-01, i. k. 2025-16496        </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 (pagal įsakymą Nr.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bde4014fc11f08fdabd4950271e2c">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2025-04-09,
paskelbta TAR 2025-04-09, i. k. 2025-06210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269b54379211f0b070ee7f1ceefc75">
            <w:r w:rsidRPr="00532B9F">
              <w:rPr>
                <w:rFonts w:ascii="Times New Roman" w:eastAsia="MS Mincho" w:hAnsi="Times New Roman"/>
                <w:sz w:val="20"/>
                <w:iCs/>
                <w:color w:val="0000FF" w:themeColor="hyperlink"/>
                <w:u w:val="single"/>
              </w:rPr>
              <w:t>V-564</w:t>
            </w:r>
          </w:fldSimple>
          <w:r>
            <w:rPr>
              <w:rFonts w:ascii="Times New Roman" w:eastAsia="MS Mincho" w:hAnsi="Times New Roman"/>
              <w:sz w:val="20"/>
              <w:iCs/>
            </w:rPr>
            <w:t>,
2025-05-23,
paskelbta TAR 2025-05-23, i. k. 2025-09146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296c465b0e11f0a3d380837a821750">
            <w:r w:rsidRPr="00532B9F">
              <w:rPr>
                <w:rFonts w:ascii="Times New Roman" w:eastAsia="MS Mincho" w:hAnsi="Times New Roman"/>
                <w:sz w:val="20"/>
                <w:iCs/>
                <w:color w:val="0000FF" w:themeColor="hyperlink"/>
                <w:u w:val="single"/>
              </w:rPr>
              <w:t>V-729</w:t>
            </w:r>
          </w:fldSimple>
          <w:r>
            <w:rPr>
              <w:rFonts w:ascii="Times New Roman" w:eastAsia="MS Mincho" w:hAnsi="Times New Roman"/>
              <w:sz w:val="20"/>
              <w:iCs/>
            </w:rPr>
            <w:t>,
2025-07-07,
paskelbta TAR 2025-07-07, i. k. 2025-12400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cf2c14664511f0a8bbd1e98310677d">
            <w:r w:rsidRPr="00532B9F">
              <w:rPr>
                <w:rFonts w:ascii="Times New Roman" w:eastAsia="MS Mincho" w:hAnsi="Times New Roman"/>
                <w:sz w:val="20"/>
                <w:iCs/>
                <w:color w:val="0000FF" w:themeColor="hyperlink"/>
                <w:u w:val="single"/>
              </w:rPr>
              <w:t>V-781</w:t>
            </w:r>
          </w:fldSimple>
          <w:r>
            <w:rPr>
              <w:rFonts w:ascii="Times New Roman" w:eastAsia="MS Mincho" w:hAnsi="Times New Roman"/>
              <w:sz w:val="20"/>
              <w:iCs/>
            </w:rPr>
            <w:t>,
2025-07-21,
paskelbta TAR 2025-07-22, i. k. 2025-13114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ae50219e8411f0a34db2fbd35a03b2">
            <w:r w:rsidRPr="00532B9F">
              <w:rPr>
                <w:rFonts w:ascii="Times New Roman" w:eastAsia="MS Mincho" w:hAnsi="Times New Roman"/>
                <w:sz w:val="20"/>
                <w:iCs/>
                <w:color w:val="0000FF" w:themeColor="hyperlink"/>
                <w:u w:val="single"/>
              </w:rPr>
              <w:t>V-1011</w:t>
            </w:r>
          </w:fldSimple>
          <w:r>
            <w:rPr>
              <w:rFonts w:ascii="Times New Roman" w:eastAsia="MS Mincho" w:hAnsi="Times New Roman"/>
              <w:sz w:val="20"/>
              <w:iCs/>
            </w:rPr>
            <w:t>,
2025-10-01,
paskelbta TAR 2025-10-01, i. k. 2025-16496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b71124a90411f0a34db2fbd35a03b2">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2025-10-14,
paskelbta TAR 2025-10-14, i. k. 2025-17142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a2bd94ef7c11f09cfce49e7aeb76fe">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2026-01-12,
paskelbta TAR 2026-01-12, i. k. 2026-00323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27</w:t>
    </w:r>
    <w: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7</w:t>
    </w:r>
    <w: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5</w:t>
    </w:r>
    <w: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6758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5"/>
    <o:shapelayout v:ext="edit">
      <o:idmap v:ext="edit" data="1"/>
    </o:shapelayout>
  </w:shapeDefaults>
  <w:decimalSymbol w:val=","/>
  <w:listSeparator w:val=";"/>
  <w14:docId w14:val="476E2CB1"/>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2.png"/>
  <Relationship Id="rId2" Type="http://schemas.openxmlformats.org/officeDocument/2006/relationships/header" Target="header44.xml"/>
  <Relationship Id="rId20" Type="http://schemas.openxmlformats.org/officeDocument/2006/relationships/header" Target="header76.xml"/>
  <Relationship Id="rId21" Type="http://schemas.openxmlformats.org/officeDocument/2006/relationships/header" Target="header77.xml"/>
  <Relationship Id="rId22" Type="http://schemas.openxmlformats.org/officeDocument/2006/relationships/footer" Target="footer76.xml"/>
  <Relationship Id="rId23" Type="http://schemas.openxmlformats.org/officeDocument/2006/relationships/footer" Target="footer77.xml"/>
  <Relationship Id="rId24" Type="http://schemas.openxmlformats.org/officeDocument/2006/relationships/header" Target="header78.xml"/>
  <Relationship Id="rId25" Type="http://schemas.openxmlformats.org/officeDocument/2006/relationships/footer" Target="footer78.xml"/>
  <Relationship Id="rId26" Type="http://schemas.openxmlformats.org/officeDocument/2006/relationships/customXml" Target="../customXml/item4.xml"/>
  <Relationship Id="rId3" Type="http://schemas.openxmlformats.org/officeDocument/2006/relationships/footer" Target="footer43.xml"/>
  <Relationship Id="rId4" Type="http://schemas.openxmlformats.org/officeDocument/2006/relationships/footer" Target="footer44.xml"/>
  <Relationship Id="rId5" Type="http://schemas.openxmlformats.org/officeDocument/2006/relationships/header" Target="header45.xml"/>
  <Relationship Id="rId6" Type="http://schemas.openxmlformats.org/officeDocument/2006/relationships/footer" Target="footer4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ca149c10f9f04ef39df68746037e2bc6">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6ae8340947d74801a67151a3372b5be3"/>
    <Part Type="skyrius" Nr="2" Title="PLĖTROS PROGRAMOS PAŽANGOS PRIEMONĖS FINANSAVIMO PLANAS" DocPartId="a0355a005a7e4a72a0dbc7d66836bca8" PartId="b96c9d2f4f004b88a3f725fbd9321b55"/>
    <Part Type="skyrius" Nr="3" Title="PLĖTROS PROGRAMOS PAŽANGOS PRIEMONĖS SIEKIAMI REZULTATAI" DocPartId="6d47f64dbc8943e18de9f70910bdf082" PartId="ee2ba18973ba44f3bc5ae4aa52428c20"/>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4B5DE13-7E2B-48DD-A32E-69CAC9604855}">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41B6A5F3-2E46-4106-95D6-E90C025AA73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27</Pages>
  <Words>4921</Words>
  <Characters>31781</Characters>
  <Application>Microsoft Office Word</Application>
  <DocSecurity>0</DocSecurity>
  <Lines>264</Lines>
  <Paragraphs>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36629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ŠAULYTĖ SKAIRIENĖ Dalia</lastModifiedBy>
  <lastPrinted>2010-02-18T07:54:00Z</lastPrinted>
  <dcterms:modified xsi:type="dcterms:W3CDTF">2026-01-13T12:43:00Z</dcterms:modified>
  <revision>26</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