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5164fa85fe0449caf5cb2eb01a6a2e3"/>
        <w:lock w:val="sdtLocked"/>
        <w:richText/>
      </w:sdtPr>
      <w:sdtContent>
        <w:p>
          <w:pPr>
            <w:jc w:val="both"/>
            <w:rPr>
              <w:rFonts w:ascii="Times New Roman" w:hAnsi="Times New Roman"/>
            </w:rPr>
          </w:pPr>
          <w:r>
            <w:rPr>
              <w:rFonts w:ascii="Times New Roman" w:hAnsi="Times New Roman"/>
              <w:b/>
              <w:i/>
            </w:rPr>
            <w:t>Suvestinė redakcija nuo 2022-11-26 iki 2023-01-04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2022-06-09, i. k. 2022-12548</w:t>
          </w:r>
        </w:p>
        <w:p>
          <w:pPr>
            <w:jc w:val="both"/>
            <w:rPr>
              <w:rFonts w:ascii="Times New Roman" w:hAnsi="Times New Roman"/>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8ccc40fe317e4a778407aafe19756488"/>
            <w:lock w:val="sdtLocked"/>
            <w:richText/>
          </w:sdtPr>
          <w:sdtContent>
            <w:p>
              <w:pPr>
                <w:overflowPunct w:val="0"/>
                <w:ind w:firstLine="806"/>
                <w:jc w:val="both"/>
                <w:textAlignment w:val="baseline"/>
                <w:rPr>
                  <w:color w:val="000000"/>
                  <w:szCs w:val="24"/>
                </w:rPr>
              </w:pPr>
              <w:r>
                <w:rPr>
                  <w:szCs w:val="24"/>
                </w:rPr>
                <w:t>Vadovaudamasi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87 punktu,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5049077e6d084b55bb805365f191f733"/>
        <w:lock w:val="sdtLocked"/>
        <w:richText/>
      </w:sdtPr>
      <w:sdtContent>
        <w:p>
          <w:pPr>
            <w:shd w:val="clear" w:color="000000" w:fill="auto"/>
            <w:ind w:left="7088"/>
            <w:sectPr>
              <w:headerReference w:type="even" r:id="rId19"/>
              <w:headerReference w:type="default" r:id="rId20"/>
              <w:footerReference w:type="even" r:id="rId21"/>
              <w:footerReference w:type="default" r:id="rId22"/>
              <w:headerReference w:type="first" r:id="rId23"/>
              <w:footerReference w:type="first" r:id="rId24"/>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5049077e6d084b55bb805365f191f733"/>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66e0507eed9c4648937dbe2b2bf92f4f"/>
            <w:lock w:val="sdtLocked"/>
            <w:richText/>
          </w:sdtPr>
          <w:sdtContent>
            <w:p>
              <w:pPr>
                <w:shd w:val="clear" w:color="000000" w:fill="auto"/>
                <w:tabs>
                  <w:tab w:val="left" w:pos="1985"/>
                </w:tabs>
                <w:jc w:val="center"/>
                <w:rPr>
                  <w:b/>
                  <w:bCs/>
                  <w:szCs w:val="24"/>
                </w:rPr>
              </w:pPr>
              <w:sdt>
                <w:sdtPr>
                  <w:alias w:val="Numeris"/>
                  <w:tag w:val="nr_66e0507eed9c4648937dbe2b2bf92f4f"/>
                  <w:lock w:val="sdtLocked"/>
                  <w:richText/>
                </w:sdtPr>
                <w:sdtContent>
                  <w:r>
                    <w:rPr>
                      <w:b/>
                      <w:bCs/>
                      <w:szCs w:val="24"/>
                    </w:rPr>
                    <w:t>I</w:t>
                  </w:r>
                </w:sdtContent>
              </w:sdt>
              <w:r>
                <w:rPr>
                  <w:b/>
                  <w:bCs/>
                  <w:szCs w:val="24"/>
                </w:rPr>
                <w:t xml:space="preserve"> SKYRIUS</w:t>
              </w:r>
            </w:p>
            <w:p>
              <w:pPr>
                <w:shd w:val="clear" w:color="000000" w:fill="auto"/>
                <w:jc w:val="center"/>
                <w:rPr>
                  <w:b/>
                  <w:bCs/>
                  <w:lang w:eastAsia="lt-LT"/>
                </w:rPr>
              </w:pPr>
              <w:sdt>
                <w:sdtPr>
                  <w:alias w:val="Pavadinimas"/>
                  <w:tag w:val="title_66e0507eed9c4648937dbe2b2bf92f4f"/>
                  <w:lock w:val="sdtLocked"/>
                  <w:richText/>
                </w:sdtPr>
                <w:sdtContent>
                  <w:r>
                    <w:rPr>
                      <w:b/>
                      <w:bCs/>
                      <w:lang w:eastAsia="lt-LT"/>
                    </w:rPr>
                    <w:t>PLĖTROS PROGRAMOS PAŽANGOS PRIEMONĖS SIEKIAMI REZULTATAI</w:t>
                  </w:r>
                </w:sdtContent>
              </w:sdt>
            </w:p>
            <w:p>
              <w:pPr>
                <w:shd w:val="clear" w:color="000000" w:fill="auto"/>
                <w:jc w:val="center"/>
                <w:rPr>
                  <w:b/>
                  <w:bCs/>
                  <w:lang w:eastAsia="lt-LT"/>
                </w:rPr>
              </w:pPr>
            </w:p>
            <w:tbl>
              <w:tblPr>
                <w:tblW w:w="13180"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1"/>
                <w:gridCol w:w="1105"/>
                <w:gridCol w:w="4535"/>
                <w:gridCol w:w="1163"/>
                <w:gridCol w:w="992"/>
                <w:gridCol w:w="992"/>
                <w:gridCol w:w="1276"/>
                <w:gridCol w:w="2126"/>
              </w:tblGrid>
              <w:tr>
                <w:trPr>
                  <w:trHeight w:val="348"/>
                </w:trPr>
                <w:tc>
                  <w:tcPr>
                    <w:tcW w:w="992"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Rodiklio kodas</w:t>
                    </w:r>
                  </w:p>
                </w:tc>
                <w:tc>
                  <w:tcPr>
                    <w:tcW w:w="1105"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jc w:val="center"/>
                      <w:rPr>
                        <w:b/>
                        <w:sz w:val="18"/>
                        <w:szCs w:val="18"/>
                      </w:rPr>
                    </w:pPr>
                  </w:p>
                  <w:p>
                    <w:pPr>
                      <w:shd w:val="clear" w:color="000000" w:fill="auto"/>
                      <w:jc w:val="center"/>
                      <w:rPr>
                        <w:b/>
                        <w:sz w:val="18"/>
                        <w:szCs w:val="18"/>
                      </w:rPr>
                    </w:pPr>
                    <w:r>
                      <w:rPr>
                        <w:b/>
                        <w:sz w:val="18"/>
                        <w:szCs w:val="18"/>
                      </w:rPr>
                      <w:t>Rodiklio tipas (rezultato / produkto)</w:t>
                    </w:r>
                  </w:p>
                </w:tc>
                <w:tc>
                  <w:tcPr>
                    <w:tcW w:w="4536"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Rodiklio pavadinimas</w:t>
                    </w:r>
                  </w:p>
                </w:tc>
                <w:tc>
                  <w:tcPr>
                    <w:tcW w:w="1163"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Matavimo vienetas</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jc w:val="center"/>
                      <w:rPr>
                        <w:b/>
                        <w:sz w:val="18"/>
                        <w:szCs w:val="18"/>
                      </w:rPr>
                    </w:pPr>
                    <w:r>
                      <w:rPr>
                        <w:b/>
                        <w:sz w:val="18"/>
                        <w:szCs w:val="18"/>
                      </w:rPr>
                      <w:t>Pradinė rodiklio reikšmė (metai)</w:t>
                    </w:r>
                  </w:p>
                </w:tc>
                <w:tc>
                  <w:tcPr>
                    <w:tcW w:w="2268"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Siektinos rodiklio reikšmės</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jc w:val="center"/>
                      <w:rPr>
                        <w:b/>
                        <w:sz w:val="18"/>
                        <w:szCs w:val="18"/>
                      </w:rPr>
                    </w:pPr>
                    <w:r>
                      <w:rPr>
                        <w:b/>
                        <w:sz w:val="18"/>
                        <w:szCs w:val="18"/>
                      </w:rPr>
                      <w:t>Finansavimo šaltinis</w:t>
                    </w:r>
                  </w:p>
                </w:tc>
              </w:tr>
              <w:tr>
                <w:trPr>
                  <w:trHeight w:val="667"/>
                </w:trPr>
                <w:tc>
                  <w:tcPr>
                    <w:tcW w:w="99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1105"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453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116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Tarpinė reikšmė 2025 m.</w:t>
                    </w:r>
                  </w:p>
                </w:tc>
                <w:tc>
                  <w:tcPr>
                    <w:tcW w:w="127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Galutinė reikšmė</w:t>
                    </w:r>
                  </w:p>
                  <w:p>
                    <w:pPr>
                      <w:shd w:val="clear" w:color="000000" w:fill="auto"/>
                      <w:jc w:val="center"/>
                      <w:rPr>
                        <w:b/>
                        <w:sz w:val="18"/>
                        <w:szCs w:val="18"/>
                      </w:rPr>
                    </w:pPr>
                    <w:r>
                      <w:rPr>
                        <w:b/>
                        <w:sz w:val="18"/>
                        <w:szCs w:val="18"/>
                      </w:rPr>
                      <w:t xml:space="preserve">2030 m. </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r>
              <w:tr>
                <w:trPr>
                  <w:trHeight w:val="193"/>
                </w:trPr>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spacing w:line="276" w:lineRule="auto"/>
                      <w:jc w:val="center"/>
                      <w:rPr>
                        <w:b/>
                        <w:sz w:val="18"/>
                        <w:szCs w:val="18"/>
                      </w:rPr>
                    </w:pPr>
                    <w:r>
                      <w:rPr>
                        <w:b/>
                        <w:sz w:val="18"/>
                        <w:szCs w:val="18"/>
                      </w:rPr>
                      <w:t>1</w:t>
                    </w:r>
                  </w:p>
                </w:tc>
                <w:tc>
                  <w:tcPr>
                    <w:tcW w:w="1105"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spacing w:line="276" w:lineRule="auto"/>
                      <w:jc w:val="center"/>
                      <w:rPr>
                        <w:b/>
                        <w:sz w:val="18"/>
                        <w:szCs w:val="18"/>
                      </w:rPr>
                    </w:pPr>
                    <w:r>
                      <w:rPr>
                        <w:b/>
                        <w:sz w:val="18"/>
                        <w:szCs w:val="18"/>
                      </w:rPr>
                      <w:t>2</w:t>
                    </w:r>
                  </w:p>
                </w:tc>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spacing w:line="276" w:lineRule="auto"/>
                      <w:jc w:val="center"/>
                      <w:rPr>
                        <w:b/>
                        <w:sz w:val="18"/>
                        <w:szCs w:val="18"/>
                      </w:rPr>
                    </w:pPr>
                    <w:r>
                      <w:rPr>
                        <w:b/>
                        <w:sz w:val="18"/>
                        <w:szCs w:val="18"/>
                      </w:rPr>
                      <w:t>3</w:t>
                    </w:r>
                  </w:p>
                </w:tc>
                <w:tc>
                  <w:tcPr>
                    <w:tcW w:w="116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spacing w:line="276" w:lineRule="auto"/>
                      <w:jc w:val="center"/>
                      <w:rPr>
                        <w:b/>
                        <w:sz w:val="18"/>
                        <w:szCs w:val="18"/>
                      </w:rPr>
                    </w:pPr>
                    <w:r>
                      <w:rPr>
                        <w:b/>
                        <w:sz w:val="18"/>
                        <w:szCs w:val="18"/>
                      </w:rPr>
                      <w:t>4</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spacing w:line="276" w:lineRule="auto"/>
                      <w:jc w:val="center"/>
                      <w:rPr>
                        <w:b/>
                        <w:sz w:val="18"/>
                        <w:szCs w:val="18"/>
                      </w:rPr>
                    </w:pPr>
                    <w:r>
                      <w:rPr>
                        <w:b/>
                        <w:sz w:val="18"/>
                        <w:szCs w:val="18"/>
                      </w:rPr>
                      <w:t>5</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7</w:t>
                    </w:r>
                  </w:p>
                </w:tc>
                <w:tc>
                  <w:tcPr>
                    <w:tcW w:w="212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spacing w:line="276" w:lineRule="auto"/>
                      <w:jc w:val="center"/>
                      <w:rPr>
                        <w:b/>
                        <w:sz w:val="18"/>
                        <w:szCs w:val="18"/>
                      </w:rPr>
                    </w:pPr>
                    <w:r>
                      <w:rPr>
                        <w:b/>
                        <w:sz w:val="18"/>
                        <w:szCs w:val="18"/>
                      </w:rPr>
                      <w:t>8</w:t>
                    </w:r>
                  </w:p>
                </w:tc>
              </w:tr>
              <w:tr>
                <w:trPr>
                  <w:trHeight w:val="75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R-12-003-03-04-03-01</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rPr>
                        <w:i/>
                        <w:sz w:val="20"/>
                      </w:rPr>
                    </w:pPr>
                    <w:r>
                      <w:rPr>
                        <w:color w:val="000000"/>
                        <w:sz w:val="20"/>
                      </w:rPr>
                      <w:t>Rezultato</w:t>
                    </w:r>
                    <w:r>
                      <w:rPr>
                        <w:lang w:eastAsia="lt-LT"/>
                      </w:rPr>
                      <w:t xml:space="preserve"> </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sz w:val="20"/>
                      </w:rPr>
                    </w:pPr>
                    <w:r>
                      <w:rPr>
                        <w:sz w:val="20"/>
                      </w:rPr>
                      <w:t xml:space="preserve">Mokinių, iš nepalankias sąlygas turinčių asmenų grupių, kuriems buvo skirta parama profesinio mokymo prieinamumui gerinti, dalis </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proc.</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spacing w:line="276" w:lineRule="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4</w:t>
                    </w:r>
                  </w:p>
                  <w:p>
                    <w:pPr>
                      <w:shd w:val="clear" w:color="000000" w:fill="auto"/>
                      <w:spacing w:line="276" w:lineRule="auto"/>
                      <w:jc w:val="center"/>
                      <w:rPr>
                        <w:sz w:val="20"/>
                      </w:rPr>
                    </w:pPr>
                    <w:r>
                      <w:rPr>
                        <w:sz w:val="20"/>
                      </w:rPr>
                      <w:t>(2029)</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2021–2027 m. ES struktūrinių fondų ir bendrojo finansavimo lėšos (ESF+)</w:t>
                    </w:r>
                  </w:p>
                </w:tc>
              </w:tr>
              <w:tr>
                <w:trPr>
                  <w:trHeight w:val="1026"/>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R-12-003-03-04-03-02</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both"/>
                      <w:rPr>
                        <w:color w:val="232323"/>
                        <w:sz w:val="20"/>
                      </w:rPr>
                    </w:pPr>
                    <w:r>
                      <w:rPr>
                        <w:color w:val="232323"/>
                        <w:sz w:val="20"/>
                      </w:rPr>
                      <w:t xml:space="preserve">Profesinio mokymo įstaigų, organizuojančių profesinio mokymo programas pameistrystės forma, dalis </w:t>
                    </w:r>
                  </w:p>
                  <w:p>
                    <w:pPr>
                      <w:shd w:val="clear" w:color="000000" w:fill="auto"/>
                      <w:rPr>
                        <w:color w:val="000000"/>
                        <w:sz w:val="20"/>
                      </w:rPr>
                    </w:pP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proc.</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47</w:t>
                    </w:r>
                  </w:p>
                  <w:p>
                    <w:pPr>
                      <w:shd w:val="clear" w:color="000000" w:fill="auto"/>
                      <w:spacing w:line="276" w:lineRule="auto"/>
                      <w:jc w:val="center"/>
                      <w:rPr>
                        <w:sz w:val="20"/>
                      </w:rPr>
                    </w:pPr>
                    <w:r>
                      <w:rPr>
                        <w:sz w:val="20"/>
                      </w:rPr>
                      <w:t>(2019)</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65</w:t>
                    </w:r>
                  </w:p>
                  <w:p>
                    <w:pPr>
                      <w:shd w:val="clear" w:color="000000" w:fill="auto"/>
                      <w:jc w:val="center"/>
                      <w:rPr>
                        <w:sz w:val="20"/>
                      </w:rPr>
                    </w:pPr>
                    <w:r>
                      <w:rPr>
                        <w:sz w:val="20"/>
                      </w:rPr>
                      <w:t>(2024)</w:t>
                    </w:r>
                  </w:p>
                  <w:p>
                    <w:pPr>
                      <w:shd w:val="clear" w:color="000000" w:fill="auto"/>
                      <w:jc w:val="center"/>
                      <w:rPr>
                        <w:sz w:val="20"/>
                        <w:lang w:eastAsia="lt-LT"/>
                      </w:rPr>
                    </w:pPr>
                  </w:p>
                  <w:p>
                    <w:pPr>
                      <w:shd w:val="clear" w:color="000000" w:fill="auto"/>
                      <w:spacing w:line="276" w:lineRule="auto"/>
                      <w:jc w:val="cente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100</w:t>
                    </w:r>
                  </w:p>
                  <w:p>
                    <w:pPr>
                      <w:shd w:val="clear" w:color="000000" w:fill="auto"/>
                      <w:jc w:val="center"/>
                      <w:rPr>
                        <w:color w:val="000000"/>
                        <w:sz w:val="20"/>
                      </w:rPr>
                    </w:pPr>
                    <w:r>
                      <w:rPr>
                        <w:color w:val="000000"/>
                        <w:sz w:val="20"/>
                      </w:rPr>
                      <w:t>(2026 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R-12-003-03-04-03-03</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 xml:space="preserve">Mokinių, kurie mokosi pagal pagrindinio ir vidurinio ugdymo programas bendrojo ugdymo mokyklose ir baigusių pirminio profesinio mokymo programos modulius, skaičiaus padidėjimas </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spacing w:line="276" w:lineRule="auto"/>
                      <w:jc w:val="center"/>
                      <w:rPr>
                        <w:sz w:val="20"/>
                      </w:rPr>
                    </w:pPr>
                    <w:r>
                      <w:rPr>
                        <w:sz w:val="20"/>
                      </w:rPr>
                      <w:t>(2020)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1 500 (2024</w:t>
                    </w:r>
                  </w:p>
                  <w:p>
                    <w:pPr>
                      <w:shd w:val="clear" w:color="000000" w:fill="auto"/>
                      <w:spacing w:line="276" w:lineRule="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color w:val="000000"/>
                        <w:sz w:val="20"/>
                      </w:rPr>
                    </w:pPr>
                    <w:r>
                      <w:rPr>
                        <w:color w:val="000000"/>
                        <w:sz w:val="20"/>
                      </w:rPr>
                      <w:t>4 900</w:t>
                    </w:r>
                  </w:p>
                  <w:p>
                    <w:pPr>
                      <w:shd w:val="clear" w:color="000000" w:fill="auto"/>
                      <w:jc w:val="center"/>
                      <w:rPr>
                        <w:color w:val="000000"/>
                        <w:sz w:val="20"/>
                      </w:rPr>
                    </w:pPr>
                    <w:r>
                      <w:rPr>
                        <w:color w:val="000000"/>
                        <w:sz w:val="20"/>
                      </w:rPr>
                      <w:t xml:space="preserve">(2026 </w:t>
                    </w:r>
                  </w:p>
                  <w:p>
                    <w:pPr>
                      <w:shd w:val="clear" w:color="000000" w:fill="auto"/>
                      <w:jc w:val="center"/>
                      <w:rPr>
                        <w:color w:val="000000"/>
                        <w:sz w:val="20"/>
                      </w:rPr>
                    </w:pPr>
                    <w:r>
                      <w:rPr>
                        <w:color w:val="000000"/>
                        <w:sz w:val="20"/>
                      </w:rPr>
                      <w:t>II ketv.)</w:t>
                    </w:r>
                  </w:p>
                  <w:p>
                    <w:pPr>
                      <w:shd w:val="clear" w:color="000000" w:fill="auto"/>
                      <w:spacing w:line="276" w:lineRule="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R-12-003-03-04-03-04</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color w:val="000000"/>
                        <w:sz w:val="20"/>
                      </w:rPr>
                    </w:pPr>
                    <w:r>
                      <w:rPr>
                        <w:color w:val="000000"/>
                        <w:sz w:val="20"/>
                      </w:rPr>
                      <w:t>Naujos arba modernizuotos švietimo infrastruktūros naudotojų skaičius per metus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 xml:space="preserve">0 </w:t>
                    </w:r>
                  </w:p>
                  <w:p>
                    <w:pPr>
                      <w:shd w:val="clear" w:color="000000" w:fill="auto"/>
                      <w:jc w:val="center"/>
                      <w:rPr>
                        <w:color w:val="000000"/>
                        <w:sz w:val="20"/>
                      </w:rPr>
                    </w:pPr>
                    <w:r>
                      <w:rPr>
                        <w:color w:val="000000"/>
                        <w:sz w:val="20"/>
                      </w:rPr>
                      <w:t xml:space="preserve">(2021) </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 xml:space="preserve">22 860 (2029) </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rFonts w:eastAsia="Calibri"/>
                        <w:sz w:val="20"/>
                      </w:rPr>
                      <w:t xml:space="preserve">2021–2027 m. ES struktūrinių fondų ir bendrojo finansavimo lėšos </w:t>
                    </w:r>
                    <w:r>
                      <w:rPr>
                        <w:sz w:val="20"/>
                      </w:rPr>
                      <w:t>(ERPF)</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P-12-003-03-04-03-05</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color w:val="000000"/>
                        <w:sz w:val="20"/>
                      </w:rPr>
                    </w:pPr>
                    <w:r>
                      <w:rPr>
                        <w:color w:val="232323"/>
                        <w:sz w:val="20"/>
                      </w:rPr>
                      <w:t>Mokiniai iš nepalankias sąlygas turinčių asmenų grupių, kuriems buvo skirta parama profesinio mokymo prieinamumui gerinti</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120 (2024)</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790 </w:t>
                    </w:r>
                  </w:p>
                  <w:p>
                    <w:pPr>
                      <w:shd w:val="clear" w:color="000000" w:fill="auto"/>
                      <w:jc w:val="center"/>
                      <w:rPr>
                        <w:sz w:val="20"/>
                      </w:rPr>
                    </w:pPr>
                    <w:r>
                      <w:rPr>
                        <w:sz w:val="20"/>
                      </w:rPr>
                      <w:t>(2029)</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rFonts w:eastAsia="Calibri"/>
                        <w:sz w:val="20"/>
                      </w:rPr>
                    </w:pPr>
                    <w:r>
                      <w:rPr>
                        <w:rFonts w:eastAsia="Calibri"/>
                        <w:sz w:val="20"/>
                      </w:rPr>
                      <w:t>2021–2027 m. ES struktūrinių fondų ir bendrojo finansavimo lėšos (ESF+)</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P-12-003-03-04-03-06</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color w:val="000000"/>
                        <w:sz w:val="20"/>
                      </w:rPr>
                    </w:pPr>
                    <w:r>
                      <w:rPr>
                        <w:color w:val="000000"/>
                        <w:sz w:val="20"/>
                      </w:rPr>
                      <w:t>Naujos arba modernizuotos švietimo infrastruktūros mokymo klasių talpumas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spacing w:line="256" w:lineRule="auto"/>
                      <w:jc w:val="center"/>
                      <w:rPr>
                        <w:sz w:val="20"/>
                      </w:rPr>
                    </w:pPr>
                    <w:r>
                      <w:rPr>
                        <w:sz w:val="20"/>
                      </w:rPr>
                      <w:t>0</w:t>
                    </w:r>
                  </w:p>
                  <w:p>
                    <w:pPr>
                      <w:shd w:val="clear" w:color="000000" w:fill="auto"/>
                      <w:jc w:val="cente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28 575</w:t>
                    </w:r>
                  </w:p>
                  <w:p>
                    <w:pPr>
                      <w:shd w:val="clear" w:color="000000" w:fill="auto"/>
                      <w:jc w:val="center"/>
                      <w:rPr>
                        <w:sz w:val="20"/>
                      </w:rPr>
                    </w:pPr>
                    <w:r>
                      <w:rPr>
                        <w:sz w:val="20"/>
                      </w:rPr>
                      <w:t>(2029)</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rFonts w:eastAsia="Calibri"/>
                        <w:sz w:val="20"/>
                      </w:rPr>
                      <w:t xml:space="preserve">2021–2027 m. ES struktūrinių fondų ir bendrojo finansavimo lėšos </w:t>
                    </w:r>
                    <w:r>
                      <w:rPr>
                        <w:sz w:val="20"/>
                      </w:rPr>
                      <w:t>(ERPF)</w:t>
                    </w:r>
                  </w:p>
                </w:tc>
              </w:tr>
              <w:tr>
                <w:trPr>
                  <w:trHeight w:val="972"/>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green"/>
                      </w:rPr>
                    </w:pPr>
                    <w:r>
                      <w:rPr>
                        <w:sz w:val="20"/>
                      </w:rPr>
                      <w:t>P-12-003-03-04-03-07</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both"/>
                      <w:rPr>
                        <w:sz w:val="20"/>
                      </w:rPr>
                    </w:pPr>
                    <w:r>
                      <w:rPr>
                        <w:sz w:val="20"/>
                      </w:rPr>
                      <w:t>Paskelbtas teisės akto dėl Nacionalinės profesinio mokymo pažangos platformos steigimo projektas konsultacijoms su socialiniais partneriais ir suinteresuotosiomis šalimis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vienetai</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 xml:space="preserve">(2022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P-12-003-03-04-03-08</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color w:val="000000"/>
                        <w:sz w:val="20"/>
                      </w:rPr>
                    </w:pPr>
                    <w:r>
                      <w:rPr>
                        <w:color w:val="000000"/>
                        <w:sz w:val="20"/>
                      </w:rPr>
                      <w:t>Nacionalinės profesinio mokymo pažangos platformos sukūrimą patvirtinančių teisės aktų įsigaliojimas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w:t>
                    </w:r>
                  </w:p>
                  <w:p>
                    <w:pPr>
                      <w:shd w:val="clear" w:color="000000" w:fill="auto"/>
                      <w:jc w:val="center"/>
                      <w:rPr>
                        <w:sz w:val="20"/>
                      </w:rPr>
                    </w:pPr>
                    <w:r>
                      <w:rPr>
                        <w:sz w:val="20"/>
                      </w:rPr>
                      <w:t xml:space="preserve">(2022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P-12-003-03-04-03-09</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both"/>
                      <w:rPr>
                        <w:sz w:val="20"/>
                        <w:lang w:eastAsia="nl-BE"/>
                      </w:rPr>
                    </w:pPr>
                    <w:r>
                      <w:rPr>
                        <w:sz w:val="20"/>
                        <w:lang w:eastAsia="nl-BE"/>
                      </w:rPr>
                      <w:t>Poreikių atnaujinti arba kurti naujas mokymo programas, konsultuojantis su socialiniais partneriais, sudarymas</w:t>
                    </w:r>
                  </w:p>
                  <w:p>
                    <w:pPr>
                      <w:shd w:val="clear" w:color="000000" w:fill="auto"/>
                      <w:jc w:val="both"/>
                      <w:rPr>
                        <w:sz w:val="20"/>
                        <w:lang w:eastAsia="nl-BE"/>
                      </w:rPr>
                    </w:pP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vienetai</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(2023</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P-12-003-03-04-03-10</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Užregistruotos naujos / atnaujintos profesinio mokymo programos, kurios yra prieinamos mokymo paslaugų teikėjams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30 </w:t>
                    </w:r>
                  </w:p>
                  <w:p>
                    <w:pPr>
                      <w:shd w:val="clear" w:color="000000" w:fill="auto"/>
                      <w:jc w:val="center"/>
                      <w:rPr>
                        <w:sz w:val="20"/>
                      </w:rPr>
                    </w:pPr>
                    <w:r>
                      <w:rPr>
                        <w:sz w:val="20"/>
                      </w:rPr>
                      <w:t xml:space="preserve">(2024 </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95</w:t>
                    </w:r>
                  </w:p>
                  <w:p>
                    <w:pPr>
                      <w:shd w:val="clear" w:color="000000" w:fill="auto"/>
                      <w:jc w:val="center"/>
                      <w:rPr>
                        <w:sz w:val="20"/>
                      </w:rPr>
                    </w:pPr>
                    <w:r>
                      <w:rPr>
                        <w:sz w:val="20"/>
                      </w:rPr>
                      <w:t xml:space="preserve">(2026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P-12-003-03-04-03-11</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Profesijos mokytojai ir (arba) meistrai, dalyvaujantys pameistrių ir praktikas atliekančių mokinių mokymo procese</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200 </w:t>
                    </w:r>
                  </w:p>
                  <w:p>
                    <w:pPr>
                      <w:shd w:val="clear" w:color="000000" w:fill="auto"/>
                      <w:jc w:val="center"/>
                      <w:rPr>
                        <w:sz w:val="20"/>
                      </w:rPr>
                    </w:pPr>
                    <w:r>
                      <w:rPr>
                        <w:sz w:val="20"/>
                      </w:rPr>
                      <w:t xml:space="preserve">(2024 </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1 000</w:t>
                    </w:r>
                  </w:p>
                  <w:p>
                    <w:pPr>
                      <w:shd w:val="clear" w:color="000000" w:fill="auto"/>
                      <w:jc w:val="center"/>
                      <w:rPr>
                        <w:sz w:val="20"/>
                      </w:rPr>
                    </w:pPr>
                    <w:r>
                      <w:rPr>
                        <w:sz w:val="20"/>
                      </w:rPr>
                      <w:t xml:space="preserve">(2026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P-12-003-03-04-03-12</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both"/>
                      <w:rPr>
                        <w:sz w:val="20"/>
                        <w:lang w:eastAsia="nl-BE"/>
                      </w:rPr>
                    </w:pPr>
                    <w:r>
                      <w:rPr>
                        <w:sz w:val="20"/>
                        <w:lang w:eastAsia="nl-BE"/>
                      </w:rPr>
                      <w:t>Paskelbtas Profesinio mokymo įstatymo pakeitimo dėl profesinio mokymo kompetencijų centrų projektas konsultacijoms su socialiniais partneriais ir suinteresuotomis šalimis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vienetai</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(2022</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P-12-003-03-04-03-13</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Įsigalioję Profesinio mokymo įstatymo pakeitimai dėl profesinio mokymo kompetencijos centrų</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w:t>
                    </w:r>
                  </w:p>
                  <w:p>
                    <w:pPr>
                      <w:shd w:val="clear" w:color="000000" w:fill="auto"/>
                      <w:jc w:val="center"/>
                      <w:rPr>
                        <w:sz w:val="20"/>
                      </w:rPr>
                    </w:pPr>
                    <w:r>
                      <w:rPr>
                        <w:sz w:val="20"/>
                      </w:rPr>
                      <w:t xml:space="preserve">(2022 </w:t>
                    </w:r>
                  </w:p>
                  <w:p>
                    <w:pPr>
                      <w:shd w:val="clear" w:color="000000" w:fill="auto"/>
                      <w:jc w:val="center"/>
                      <w:rPr>
                        <w:sz w:val="20"/>
                      </w:rPr>
                    </w:pPr>
                    <w:r>
                      <w:rPr>
                        <w:sz w:val="20"/>
                      </w:rPr>
                      <w:t>IV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P-12-003-03-04-03-14</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Įsigalioję teisės aktai, kuriais nustatoma Paramos pameistrystei ir mokymuisi darbo vietoje schema</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w:t>
                    </w:r>
                  </w:p>
                  <w:p>
                    <w:pPr>
                      <w:shd w:val="clear" w:color="000000" w:fill="auto"/>
                      <w:jc w:val="center"/>
                      <w:rPr>
                        <w:sz w:val="20"/>
                      </w:rPr>
                    </w:pPr>
                    <w:r>
                      <w:rPr>
                        <w:sz w:val="20"/>
                      </w:rPr>
                      <w:t xml:space="preserve">(2022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P-12-003-03-04-03-15</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Įgyvendintos pameistrystės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1 000 (2024 </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3 866 </w:t>
                    </w:r>
                  </w:p>
                  <w:p>
                    <w:pPr>
                      <w:shd w:val="clear" w:color="000000" w:fill="auto"/>
                      <w:jc w:val="center"/>
                      <w:rPr>
                        <w:sz w:val="20"/>
                      </w:rPr>
                    </w:pPr>
                    <w:r>
                      <w:rPr>
                        <w:sz w:val="20"/>
                      </w:rPr>
                      <w:t>(2026</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P-12-003-03-04-03-16</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Moksleiviai, dalyvavę nacionalinėje mobilumo programoje ir gavę pažymėjimą, patvirtinantį, kad jie pagerino praktinius ir skaitmeninius įgūdžius sektoriniuose praktinio mokymo centruose (skaitmeninius įgūdžius pagerins ne mažiau kaip 40 proc. dalyvių)</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3 000 (2024</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12 394</w:t>
                    </w:r>
                  </w:p>
                  <w:p>
                    <w:pPr>
                      <w:shd w:val="clear" w:color="000000" w:fill="auto"/>
                      <w:jc w:val="center"/>
                      <w:rPr>
                        <w:sz w:val="20"/>
                      </w:rPr>
                    </w:pPr>
                    <w:r>
                      <w:rPr>
                        <w:sz w:val="20"/>
                      </w:rPr>
                      <w:t xml:space="preserve">(2026 </w:t>
                    </w:r>
                  </w:p>
                  <w:p>
                    <w:pPr>
                      <w:shd w:val="clear" w:color="000000" w:fill="auto"/>
                      <w:jc w:val="center"/>
                      <w:rPr>
                        <w:sz w:val="20"/>
                      </w:rPr>
                    </w:pPr>
                    <w:r>
                      <w:rPr>
                        <w:sz w:val="20"/>
                      </w:rPr>
                      <w:t>II ketv.)</w:t>
                    </w:r>
                  </w:p>
                  <w:p>
                    <w:pPr>
                      <w:shd w:val="clear" w:color="000000" w:fill="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P-12-003-03-04-03-17</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Pagal pagrindinio ir vidurinio ugdymo programas bendrojo ugdymo mokyklose besimokantys mokiniai, baigę pirminio profesinio mokymo programos modulius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1 500 (2024</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4 900</w:t>
                    </w:r>
                  </w:p>
                  <w:p>
                    <w:pPr>
                      <w:shd w:val="clear" w:color="000000" w:fill="auto"/>
                      <w:jc w:val="center"/>
                      <w:rPr>
                        <w:sz w:val="20"/>
                      </w:rPr>
                    </w:pPr>
                    <w:r>
                      <w:rPr>
                        <w:sz w:val="20"/>
                      </w:rPr>
                      <w:t>(2026</w:t>
                    </w:r>
                  </w:p>
                  <w:p>
                    <w:pPr>
                      <w:shd w:val="clear" w:color="000000" w:fill="auto"/>
                      <w:jc w:val="center"/>
                      <w:rPr>
                        <w:sz w:val="20"/>
                      </w:rPr>
                    </w:pPr>
                    <w:r>
                      <w:rPr>
                        <w:sz w:val="20"/>
                      </w:rPr>
                      <w:t>II ketv.)</w:t>
                    </w:r>
                  </w:p>
                  <w:p>
                    <w:pPr>
                      <w:shd w:val="clear" w:color="000000" w:fill="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ind w:firstLine="53"/>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P-12-003-03-04-03-18</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Gavę paramą pagrindinio ugdymo programų mokiniai, besimokantys pagal eksperimentines profesinio mokymo programas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1 300 (2024 </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4 000</w:t>
                    </w:r>
                  </w:p>
                  <w:p>
                    <w:pPr>
                      <w:shd w:val="clear" w:color="000000" w:fill="auto"/>
                      <w:jc w:val="center"/>
                      <w:rPr>
                        <w:sz w:val="20"/>
                      </w:rPr>
                    </w:pPr>
                    <w:r>
                      <w:rPr>
                        <w:sz w:val="20"/>
                      </w:rPr>
                      <w:t xml:space="preserve">(2026 </w:t>
                    </w:r>
                  </w:p>
                  <w:p>
                    <w:pPr>
                      <w:shd w:val="clear" w:color="000000" w:fill="auto"/>
                      <w:jc w:val="center"/>
                      <w:rPr>
                        <w:sz w:val="20"/>
                      </w:rPr>
                    </w:pPr>
                    <w:r>
                      <w:rPr>
                        <w:sz w:val="20"/>
                      </w:rPr>
                      <w:t>II ketv.)</w:t>
                    </w:r>
                  </w:p>
                  <w:p>
                    <w:pPr>
                      <w:shd w:val="clear" w:color="000000" w:fill="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R-12-003-03-04-03-19</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Švietimo ar mokymo veiklos dalyvių skaičius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R-12-003-03-04-03-20</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rPr>
                        <w:color w:val="000000"/>
                        <w:sz w:val="20"/>
                      </w:rPr>
                    </w:pPr>
                    <w:r>
                      <w:rPr>
                        <w:color w:val="000000"/>
                        <w:sz w:val="20"/>
                      </w:rPr>
                      <w:t>Švietimo ir mokymo veiklos dalyvių skaičius</w:t>
                    </w:r>
                  </w:p>
                  <w:p>
                    <w:pPr>
                      <w:shd w:val="clear" w:color="000000" w:fill="auto"/>
                      <w:rPr>
                        <w:color w:val="000000"/>
                        <w:sz w:val="20"/>
                      </w:rPr>
                    </w:pP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R-12-003-03-04-03-21</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 xml:space="preserve">Skaitmeninių įgūdžių ugdymo veiklos dalyvių skaičius </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R-12-003-03-04-03-22</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Paramą gaunančių 15–29 metų amžiaus jaunuolių skaičius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n/a</w:t>
                    </w:r>
                  </w:p>
                  <w:p>
                    <w:pPr>
                      <w:shd w:val="clear" w:color="000000" w:fill="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P-12-003-03-04-03-23</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Investicijų į profesinio mokymo infrastruktūrą poreikio analizė</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vienetai</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(2024</w:t>
                    </w:r>
                  </w:p>
                  <w:p>
                    <w:pPr>
                      <w:shd w:val="clear" w:color="000000" w:fill="auto"/>
                      <w:jc w:val="center"/>
                      <w:rPr>
                        <w:lang w:eastAsia="lt-LT"/>
                      </w:rPr>
                    </w:pPr>
                    <w:r>
                      <w:rPr>
                        <w:sz w:val="20"/>
                      </w:rPr>
                      <w:t>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2021–2027 m. ES struktūrinių fondų ir bendrojo finansavimo lėšos (ERPF)</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P-12-003-03-04-03-24</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 xml:space="preserve">Įsigalioję profesinio mokymo įstatymo pakeitimai dėl  priėmimo į valstybės finansuojamas vietas profesiniame mokyme planavimo metodikos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pPr>
                    <w:r>
                      <w:rPr>
                        <w:color w:val="000000"/>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(2022 m. 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spacing w:line="276" w:lineRule="auto"/>
                      <w:jc w:val="center"/>
                      <w:rPr>
                        <w:sz w:val="20"/>
                      </w:rPr>
                    </w:pPr>
                    <w:r>
                      <w:rPr>
                        <w:sz w:val="20"/>
                      </w:rPr>
                      <w:t>2021–2027 m. ES struktūrinių fondų ir bendrojo finansavimo lėšos (ERPF)</w:t>
                    </w:r>
                  </w:p>
                  <w:p>
                    <w:pPr>
                      <w:shd w:val="clear" w:color="000000" w:fill="auto"/>
                      <w:spacing w:line="276" w:lineRule="auto"/>
                      <w:jc w:val="center"/>
                      <w:rPr>
                        <w:sz w:val="20"/>
                      </w:rPr>
                    </w:pPr>
                  </w:p>
                </w:tc>
              </w:tr>
            </w:tbl>
            <w:p>
              <w:pPr>
                <w:shd w:val="clear" w:color="000000" w:fill="auto"/>
                <w:jc w:val="both"/>
                <w:rPr>
                  <w:sz w:val="16"/>
                  <w:szCs w:val="16"/>
                </w:rPr>
              </w:pPr>
            </w:p>
            <w:p>
              <w:pPr>
                <w:shd w:val="clear" w:color="000000" w:fill="auto"/>
                <w:jc w:val="both"/>
                <w:rPr>
                  <w:sz w:val="20"/>
                </w:rPr>
              </w:pPr>
              <w:r>
                <w:rPr>
                  <w:b/>
                  <w:sz w:val="18"/>
                  <w:szCs w:val="18"/>
                </w:rPr>
                <w:t xml:space="preserve">PASTABA. </w:t>
              </w:r>
              <w:r>
                <w:rPr>
                  <w:sz w:val="20"/>
                </w:rPr>
                <w:t xml:space="preserve">Rodikliai – Švietimo ir mokymo veiklos dalyvių skaičius, Švietimo ar mokymo veiklos dalyvių skaičius, </w:t>
              </w:r>
              <w:r>
                <w:rPr>
                  <w:color w:val="000000"/>
                  <w:sz w:val="20"/>
                </w:rPr>
                <w:t xml:space="preserve">Skaitmeninių įgūdžių ugdymo veiklos dalyvių skaičius </w:t>
              </w:r>
              <w:r>
                <w:rPr>
                  <w:sz w:val="20"/>
                </w:rPr>
                <w:t xml:space="preserve">ir </w:t>
              </w:r>
              <w:r>
                <w:rPr>
                  <w:color w:val="000000"/>
                  <w:sz w:val="20"/>
                </w:rPr>
                <w:t>Paramą gaunančių 15–29 metų amžiaus jaunuolių skaičius</w:t>
              </w:r>
              <w:r>
                <w:rPr>
                  <w:sz w:val="20"/>
                </w:rPr>
                <w:t xml:space="preserve">  yra </w:t>
              </w:r>
              <w:r>
                <w:rPr>
                  <w:color w:val="000000"/>
                  <w:sz w:val="20"/>
                </w:rPr>
                <w:t xml:space="preserve"> </w:t>
              </w:r>
              <w:r>
                <w:rPr>
                  <w:sz w:val="20"/>
                </w:rPr>
                <w:t>Ekonomikos gaivinimo ir atsparumo didinimo plano „Naujos kartos Lietuva“ bendrieji rodikliai, kurie neturi siektinų reikšmių. Duomenys bus renkami iš susijusių reformų ir investicijų rodiklių. Ataskaitinis laikotarpis iki 2027 m. I ketv.</w:t>
              </w:r>
            </w:p>
            <w:p>
              <w:pPr>
                <w:shd w:val="clear" w:color="000000" w:fill="auto"/>
                <w:rPr>
                  <w:b/>
                  <w:sz w:val="18"/>
                  <w:szCs w:val="18"/>
                </w:rPr>
              </w:pPr>
            </w:p>
            <w:sdt>
              <w:sdtPr>
                <w:alias w:val="poskyris"/>
                <w:tag w:val="part_eb6da35d86994d59a65e7a0bfed20cf2"/>
                <w:lock w:val="sdtLocked"/>
                <w:richText/>
              </w:sdtPr>
              <w:sdtContent>
                <w:p>
                  <w:pPr>
                    <w:shd w:val="clear" w:color="000000" w:fill="auto"/>
                    <w:rPr>
                      <w:b/>
                      <w:sz w:val="16"/>
                      <w:szCs w:val="16"/>
                    </w:rPr>
                  </w:pPr>
                  <w:sdt>
                    <w:sdtPr>
                      <w:alias w:val="Pavadinimas"/>
                      <w:tag w:val="title_eb6da35d86994d59a65e7a0bfed20cf2"/>
                      <w:lock w:val="sdtLocked"/>
                      <w:richText/>
                    </w:sdtPr>
                    <w:sdtContent>
                      <w:r>
                        <w:rPr>
                          <w:b/>
                          <w:sz w:val="16"/>
                          <w:szCs w:val="16"/>
                        </w:rPr>
                        <w:t>Paaiškinimai:</w:t>
                      </w:r>
                    </w:sdtContent>
                  </w:sdt>
                </w:p>
                <w:sdt>
                  <w:sdtPr>
                    <w:alias w:val="1 p."/>
                    <w:tag w:val="part_f4683b15e8bb43cfbe34147be6ddd1c8"/>
                    <w:lock w:val="sdtLocked"/>
                    <w:richText/>
                  </w:sdtPr>
                  <w:sdtContent>
                    <w:p>
                      <w:pPr>
                        <w:shd w:val="clear" w:color="000000" w:fill="auto"/>
                        <w:ind w:firstLine="993"/>
                        <w:jc w:val="both"/>
                        <w:rPr>
                          <w:sz w:val="16"/>
                          <w:szCs w:val="16"/>
                        </w:rPr>
                      </w:pPr>
                      <w:sdt>
                        <w:sdtPr>
                          <w:alias w:val="Numeris"/>
                          <w:tag w:val="nr_f4683b15e8bb43cfbe34147be6ddd1c8"/>
                          <w:lock w:val="sdtLocked"/>
                          <w:richText/>
                        </w:sdtPr>
                        <w:sdtContent>
                          <w:r>
                            <w:rPr>
                              <w:sz w:val="16"/>
                              <w:szCs w:val="16"/>
                            </w:rPr>
                            <w:t>1</w:t>
                          </w:r>
                        </w:sdtContent>
                      </w:sdt>
                      <w:r>
                        <w:rPr>
                          <w:sz w:val="16"/>
                          <w:szCs w:val="16"/>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įgyvendinimo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b738f48b84c34f49896e1e8b8f3d8d3a"/>
                    <w:lock w:val="sdtLocked"/>
                    <w:richText/>
                  </w:sdtPr>
                  <w:sdtContent>
                    <w:p>
                      <w:pPr>
                        <w:shd w:val="clear" w:color="000000" w:fill="auto"/>
                        <w:ind w:firstLine="993"/>
                        <w:jc w:val="both"/>
                        <w:rPr>
                          <w:sz w:val="16"/>
                          <w:szCs w:val="16"/>
                        </w:rPr>
                      </w:pPr>
                      <w:sdt>
                        <w:sdtPr>
                          <w:alias w:val="Numeris"/>
                          <w:tag w:val="nr_b738f48b84c34f49896e1e8b8f3d8d3a"/>
                          <w:lock w:val="sdtLocked"/>
                          <w:richText/>
                        </w:sdtPr>
                        <w:sdtContent>
                          <w:r>
                            <w:rPr>
                              <w:sz w:val="16"/>
                              <w:szCs w:val="16"/>
                            </w:rPr>
                            <w:t>2</w:t>
                          </w:r>
                        </w:sdtContent>
                      </w:sdt>
                      <w:r>
                        <w:rPr>
                          <w:sz w:val="16"/>
                          <w:szCs w:val="16"/>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141 straipsnio 3 dalies įgyvendinimo“ (toliau – Strateginio valdymo metodika), 9 priede nustatyta tvarka.</w:t>
                      </w:r>
                    </w:p>
                  </w:sdtContent>
                </w:sdt>
                <w:sdt>
                  <w:sdtPr>
                    <w:alias w:val="3 p."/>
                    <w:tag w:val="part_058a13e003b44f3894658f18a8413ca6"/>
                    <w:lock w:val="sdtLocked"/>
                    <w:richText/>
                  </w:sdtPr>
                  <w:sdtContent>
                    <w:p>
                      <w:pPr>
                        <w:shd w:val="clear" w:color="000000" w:fill="auto"/>
                        <w:ind w:firstLine="993"/>
                        <w:jc w:val="both"/>
                        <w:rPr>
                          <w:sz w:val="16"/>
                          <w:szCs w:val="16"/>
                        </w:rPr>
                      </w:pPr>
                      <w:sdt>
                        <w:sdtPr>
                          <w:alias w:val="Numeris"/>
                          <w:tag w:val="nr_058a13e003b44f3894658f18a8413ca6"/>
                          <w:lock w:val="sdtLocked"/>
                          <w:richText/>
                        </w:sdtPr>
                        <w:sdtContent>
                          <w:r>
                            <w:rPr>
                              <w:sz w:val="16"/>
                              <w:szCs w:val="16"/>
                            </w:rPr>
                            <w:t>3</w:t>
                          </w:r>
                        </w:sdtContent>
                      </w:sdt>
                      <w:r>
                        <w:rPr>
                          <w:sz w:val="16"/>
                          <w:szCs w:val="16"/>
                        </w:rPr>
                        <w:t xml:space="preserve">. 3 skiltyje rezultato rodikliai nurodomi tokie patys, kokie nurodyti Plėtros programoje. 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a4cea886573f4471a3b95d3dee5195a6"/>
                    <w:lock w:val="sdtLocked"/>
                    <w:richText/>
                  </w:sdtPr>
                  <w:sdtContent>
                    <w:p>
                      <w:pPr>
                        <w:shd w:val="clear" w:color="000000" w:fill="auto"/>
                        <w:ind w:firstLine="993"/>
                        <w:jc w:val="both"/>
                        <w:rPr>
                          <w:sz w:val="16"/>
                          <w:szCs w:val="16"/>
                        </w:rPr>
                      </w:pPr>
                      <w:sdt>
                        <w:sdtPr>
                          <w:alias w:val="Numeris"/>
                          <w:tag w:val="nr_a4cea886573f4471a3b95d3dee5195a6"/>
                          <w:lock w:val="sdtLocked"/>
                          <w:richText/>
                        </w:sdtPr>
                        <w:sdtContent>
                          <w:r>
                            <w:rPr>
                              <w:sz w:val="16"/>
                              <w:szCs w:val="16"/>
                            </w:rPr>
                            <w:t>4</w:t>
                          </w:r>
                        </w:sdtContent>
                      </w:sdt>
                      <w:r>
                        <w:rPr>
                          <w:sz w:val="16"/>
                          <w:szCs w:val="16"/>
                        </w:rPr>
                        <w:t xml:space="preserve">. Jei tarpinės ir (ar) galutinės siektinos rodiklio reikšmės pasiekimo metai nesutampa su nurodytais metais, 6 ir 7 skiltyse po tarpine ir (ar) galutinė siektina rodiklio reikšme skliaustuose nurodomi kiti teisingi tarpinės ir (ar) galutinės siektinos rodiklio reikšmės pasiekimo metai.  </w:t>
                      </w:r>
                    </w:p>
                  </w:sdtContent>
                </w:sdt>
                <w:sdt>
                  <w:sdtPr>
                    <w:alias w:val="5 p."/>
                    <w:tag w:val="part_274288cc28a343d0a250ecd19b4e476c"/>
                    <w:lock w:val="sdtLocked"/>
                    <w:richText/>
                  </w:sdtPr>
                  <w:sdtContent>
                    <w:p>
                      <w:pPr>
                        <w:shd w:val="clear" w:color="000000" w:fill="auto"/>
                        <w:ind w:firstLine="993"/>
                        <w:jc w:val="both"/>
                        <w:rPr>
                          <w:sz w:val="16"/>
                          <w:szCs w:val="16"/>
                        </w:rPr>
                      </w:pPr>
                      <w:sdt>
                        <w:sdtPr>
                          <w:alias w:val="Numeris"/>
                          <w:tag w:val="nr_274288cc28a343d0a250ecd19b4e476c"/>
                          <w:lock w:val="sdtLocked"/>
                          <w:richText/>
                        </w:sdtPr>
                        <w:sdtContent>
                          <w:r>
                            <w:rPr>
                              <w:sz w:val="16"/>
                              <w:szCs w:val="16"/>
                            </w:rPr>
                            <w:t>5</w:t>
                          </w:r>
                        </w:sdtContent>
                      </w:sdt>
                      <w:r>
                        <w:rPr>
                          <w:sz w:val="16"/>
                          <w:szCs w:val="16"/>
                        </w:rPr>
                        <w:t>. 8 skiltyje nurodomas finansavimo šaltinis. Jei tas pats rodiklis priskirtas keliems finansavimo šaltiniams, jis nurodomas tiek kartų, kiek yra skirtingų finansavimo šaltinių (bendrasis finansavimas ir pridėtinės vertės mokestis atskirai neišskiriami).</w:t>
                      </w:r>
                    </w:p>
                    <w:p>
                      <w:pPr>
                        <w:shd w:val="clear" w:color="000000" w:fill="auto"/>
                        <w:jc w:val="both"/>
                        <w:rPr>
                          <w:sz w:val="16"/>
                          <w:szCs w:val="16"/>
                        </w:rPr>
                      </w:pPr>
                    </w:p>
                    <w:p>
                      <w:pPr>
                        <w:shd w:val="clear" w:color="000000" w:fill="auto"/>
                        <w:ind w:firstLine="993"/>
                        <w:jc w:val="both"/>
                        <w:rPr>
                          <w:sz w:val="16"/>
                          <w:szCs w:val="16"/>
                        </w:rPr>
                      </w:pPr>
                    </w:p>
                  </w:sdtContent>
                </w:sdt>
              </w:sdtContent>
            </w:sdt>
          </w:sdtContent>
        </w:sdt>
        <w:sdt>
          <w:sdtPr>
            <w:alias w:val="skyrius"/>
            <w:tag w:val="part_052a44996adb4fdb90e514025ffa9489"/>
            <w:lock w:val="sdtLocked"/>
            <w:richText/>
          </w:sdtPr>
          <w:sdtContent>
            <w:p>
              <w:pPr>
                <w:shd w:val="clear" w:color="000000" w:fill="auto"/>
                <w:jc w:val="center"/>
                <w:rPr>
                  <w:b/>
                  <w:szCs w:val="24"/>
                </w:rPr>
              </w:pPr>
              <w:sdt>
                <w:sdtPr>
                  <w:alias w:val="Numeris"/>
                  <w:tag w:val="nr_052a44996adb4fdb90e514025ffa9489"/>
                  <w:lock w:val="sdtLocked"/>
                  <w:richText/>
                </w:sdtPr>
                <w:sdtContent>
                  <w:r>
                    <w:rPr>
                      <w:b/>
                      <w:szCs w:val="24"/>
                    </w:rPr>
                    <w:t>II</w:t>
                  </w:r>
                </w:sdtContent>
              </w:sdt>
              <w:r>
                <w:rPr>
                  <w:b/>
                  <w:szCs w:val="24"/>
                </w:rPr>
                <w:t xml:space="preserve"> SKYRIUS</w:t>
              </w:r>
            </w:p>
            <w:p>
              <w:pPr>
                <w:shd w:val="clear" w:color="000000" w:fill="auto"/>
                <w:jc w:val="center"/>
                <w:rPr>
                  <w:b/>
                  <w:szCs w:val="24"/>
                </w:rPr>
              </w:pPr>
              <w:sdt>
                <w:sdtPr>
                  <w:alias w:val="Pavadinimas"/>
                  <w:tag w:val="title_052a44996adb4fdb90e514025ffa9489"/>
                  <w:lock w:val="sdtLocked"/>
                  <w:richText/>
                </w:sdtPr>
                <w:sdtContent>
                  <w:r>
                    <w:rPr>
                      <w:b/>
                      <w:szCs w:val="24"/>
                    </w:rPr>
                    <w:t>PLĖTROS PROGRAMOS PAŽANGOS PRIEMONĖS FINANSAVIMO ŠALTINIAI</w:t>
                  </w:r>
                </w:sdtContent>
              </w:sdt>
            </w:p>
            <w:p>
              <w:pPr>
                <w:shd w:val="clear" w:color="000000" w:fill="auto"/>
                <w:jc w:val="center"/>
                <w:rPr>
                  <w:b/>
                  <w:szCs w:val="24"/>
                </w:rPr>
              </w:pPr>
            </w:p>
            <w:tbl>
              <w:tblPr>
                <w:tblW w:w="13320" w:type="dxa"/>
                <w:tblInd w:w="846" w:type="dxa"/>
                <w:tblLayout w:type="fixed"/>
                <w:tblCellMar>
                  <w:left w:w="30" w:type="dxa"/>
                  <w:right w:w="30" w:type="dxa"/>
                </w:tblCellMar>
                <w:tblLook w:val="04A0" w:firstRow="1" w:lastRow="0" w:firstColumn="1" w:lastColumn="0" w:noHBand="0" w:noVBand="1"/>
              </w:tblPr>
              <w:tblGrid>
                <w:gridCol w:w="9919"/>
                <w:gridCol w:w="3401"/>
              </w:tblGrid>
              <w:tr>
                <w:trPr>
                  <w:cantSplit/>
                  <w:trHeight w:val="414"/>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Finansavimo apimtis ir šaltiniai</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Lėšų poreikis (tūkst. eurų)</w:t>
                    </w:r>
                  </w:p>
                </w:tc>
              </w:tr>
              <w:tr>
                <w:trPr>
                  <w:cantSplit/>
                  <w:trHeight w:val="272"/>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1</w:t>
                    </w:r>
                  </w:p>
                </w:tc>
                <w:tc>
                  <w:tcPr>
                    <w:tcW w:w="3402" w:type="dxa"/>
                    <w:tcBorders>
                      <w:top w:val="single" w:sz="4" w:space="0" w:color="auto"/>
                      <w:left w:val="single" w:sz="4" w:space="0" w:color="auto"/>
                      <w:bottom w:val="nil"/>
                      <w:right w:val="single" w:sz="4" w:space="0" w:color="auto"/>
                    </w:tcBorders>
                    <w:shd w:val="clear" w:color="auto" w:fill="DEEAF6" w:themeFill="accent1" w:themeFillTint="33"/>
                    <w:hideMark/>
                  </w:tcPr>
                  <w:p>
                    <w:pPr>
                      <w:shd w:val="clear" w:color="000000" w:fill="auto"/>
                      <w:ind w:left="15" w:hanging="15"/>
                      <w:jc w:val="center"/>
                      <w:rPr>
                        <w:b/>
                        <w:sz w:val="18"/>
                        <w:szCs w:val="18"/>
                      </w:rPr>
                    </w:pPr>
                    <w:r>
                      <w:rPr>
                        <w:b/>
                        <w:sz w:val="18"/>
                        <w:szCs w:val="18"/>
                      </w:rPr>
                      <w:t>2</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1.1. Valstybės biudžeto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
                        <w:bCs/>
                        <w:sz w:val="20"/>
                      </w:rPr>
                    </w:pPr>
                    <w:r>
                      <w:rPr>
                        <w:b/>
                        <w:bCs/>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Cs/>
                        <w:sz w:val="20"/>
                        <w:highlight w:val="yellow"/>
                      </w:rPr>
                    </w:pPr>
                    <w:r>
                      <w:rPr>
                        <w:bCs/>
                        <w:sz w:val="20"/>
                      </w:rPr>
                      <w:t xml:space="preserve">1.1.1.1.2. Valstybės biudžeto lėšos, skirtos apmokėti bendrai finansuojamų iš ES fondų lėšų projektų netinkamam finansuoti iš ES fondų lėšų pirkimo ir (arba) importo PVM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rPr>
                    </w:pPr>
                    <w:r>
                      <w:rPr>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1.2. Europos Sąjungos ir kitos tarptautinės finansinės paramos bendrojo finansavimo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highlight w:val="yellow"/>
                      </w:rPr>
                    </w:pPr>
                    <w:r>
                      <w:rPr>
                        <w:b/>
                        <w:bCs/>
                        <w:color w:val="000000"/>
                        <w:sz w:val="20"/>
                      </w:rPr>
                      <w:t xml:space="preserve">7 015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1.2.2.8.1. 2021–2027 m. ES struktūrinių fondų bendrojo finansavimo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Cs/>
                        <w:sz w:val="20"/>
                      </w:rPr>
                    </w:pPr>
                    <w:r>
                      <w:rPr>
                        <w:bCs/>
                        <w:sz w:val="20"/>
                      </w:rPr>
                      <w:t>ESF+, Sostinės regionas</w:t>
                    </w:r>
                    <w:r>
                      <w:rPr>
                        <w:szCs w:val="24"/>
                        <w:lang w:eastAsia="lt-LT"/>
                      </w:rPr>
                      <w:t xml:space="preserve">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477</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 xml:space="preserve">ESF+, </w:t>
                    </w:r>
                    <w:r>
                      <w:rPr>
                        <w:sz w:val="20"/>
                        <w:lang w:eastAsia="lt-LT"/>
                      </w:rPr>
                      <w:t xml:space="preserve">Vidurio ir vakarų Lietuvos regionas (toliau – </w:t>
                    </w:r>
                    <w:r>
                      <w:rPr>
                        <w:bCs/>
                        <w:sz w:val="20"/>
                      </w:rPr>
                      <w:t>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 xml:space="preserve">709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ERPF,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5 829</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1.3. Europos Sąjungos ir kitos tarptautinės finansinės paramos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sz w:val="20"/>
                        <w:highlight w:val="yellow"/>
                      </w:rPr>
                    </w:pPr>
                    <w:r>
                      <w:rPr>
                        <w:b/>
                        <w:bCs/>
                        <w:color w:val="000000"/>
                        <w:sz w:val="20"/>
                      </w:rPr>
                      <w:t>74 530</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 xml:space="preserve">1.3.2.8.1. </w:t>
                    </w:r>
                    <w:r>
                      <w:rPr>
                        <w:rFonts w:eastAsia="Calibri"/>
                        <w:sz w:val="20"/>
                      </w:rPr>
                      <w:t xml:space="preserve">2021–2027 m. ES struktūrinių fondų </w:t>
                    </w:r>
                    <w:r>
                      <w:rPr>
                        <w:color w:val="000000"/>
                        <w:sz w:val="20"/>
                      </w:rPr>
                      <w:t>lėšos:</w:t>
                    </w:r>
                  </w:p>
                </w:tc>
                <w:tc>
                  <w:tcPr>
                    <w:tcW w:w="3402" w:type="dxa"/>
                    <w:tcBorders>
                      <w:top w:val="single" w:sz="4" w:space="0" w:color="auto"/>
                      <w:left w:val="single" w:sz="4" w:space="0" w:color="auto"/>
                      <w:bottom w:val="single" w:sz="4" w:space="0" w:color="auto"/>
                      <w:right w:val="single" w:sz="4" w:space="0" w:color="auto"/>
                    </w:tcBorders>
                    <w:vAlign w:val="center"/>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Sostinės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highlight w:val="yellow"/>
                      </w:rPr>
                    </w:pPr>
                    <w:r>
                      <w:rPr>
                        <w:bCs/>
                        <w:sz w:val="20"/>
                      </w:rPr>
                      <w:t xml:space="preserve">477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rPr>
                    </w:pPr>
                    <w:r>
                      <w:rPr>
                        <w:bCs/>
                        <w:sz w:val="20"/>
                      </w:rPr>
                      <w:t>4 020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color w:val="000000"/>
                        <w:sz w:val="20"/>
                      </w:rPr>
                      <w:t xml:space="preserve">ERPF; VVL regionas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33 033</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bCs/>
                        <w:sz w:val="20"/>
                      </w:rPr>
                      <w:t>1.3.3.1.57</w:t>
                    </w:r>
                    <w:r>
                      <w:rPr>
                        <w:bCs/>
                        <w:i/>
                        <w:iCs/>
                        <w:sz w:val="20"/>
                      </w:rPr>
                      <w:t>.</w:t>
                    </w:r>
                    <w:r>
                      <w:rPr>
                        <w:color w:val="000000"/>
                        <w:sz w:val="20"/>
                      </w:rPr>
                      <w:t xml:space="preserve"> Ekonomikos gaivinimo ir atsparumo didinimo priemonės lėšos (EGADP)</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37 000</w:t>
                    </w:r>
                  </w:p>
                </w:tc>
              </w:tr>
              <w:tr>
                <w:trPr>
                  <w:cantSplit/>
                  <w:trHeight w:val="228"/>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spacing w:line="276" w:lineRule="auto"/>
                      <w:ind w:left="1276" w:hanging="1276"/>
                      <w:jc w:val="both"/>
                      <w:rPr>
                        <w:b/>
                        <w:sz w:val="20"/>
                      </w:rPr>
                    </w:pPr>
                    <w:r>
                      <w:rPr>
                        <w:b/>
                        <w:sz w:val="20"/>
                      </w:rPr>
                      <w:t xml:space="preserve">1.4. Biudžetinių įstaigų pajamų įmokos ir kitos pajamos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2. Kitos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2.1.Savivaldybių biudžetų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2.2. Privačios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2.3. Kitos viešosios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11"/>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rPr>
                        <w:b/>
                        <w:sz w:val="20"/>
                      </w:rPr>
                    </w:pPr>
                    <w:r>
                      <w:rPr>
                        <w:b/>
                        <w:sz w:val="20"/>
                      </w:rPr>
                      <w:t>IŠ VISO</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257"/>
                      <w:rPr>
                        <w:b/>
                        <w:bCs/>
                        <w:color w:val="000000"/>
                        <w:sz w:val="20"/>
                        <w:highlight w:val="yellow"/>
                      </w:rPr>
                    </w:pPr>
                    <w:r>
                      <w:rPr>
                        <w:b/>
                        <w:bCs/>
                        <w:color w:val="000000"/>
                        <w:sz w:val="20"/>
                      </w:rPr>
                      <w:t xml:space="preserve">83 855 </w:t>
                    </w:r>
                  </w:p>
                </w:tc>
              </w:tr>
            </w:tbl>
            <w:p>
              <w:pPr>
                <w:shd w:val="clear" w:color="000000" w:fill="auto"/>
                <w:rPr>
                  <w:b/>
                  <w:sz w:val="18"/>
                  <w:szCs w:val="18"/>
                </w:rPr>
              </w:pPr>
            </w:p>
            <w:sdt>
              <w:sdtPr>
                <w:alias w:val="poskyris"/>
                <w:tag w:val="part_2e5aabde538c4a76b118e98a98e0910d"/>
                <w:lock w:val="sdtLocked"/>
                <w:richText/>
              </w:sdtPr>
              <w:sdtContent>
                <w:p>
                  <w:pPr>
                    <w:shd w:val="clear" w:color="000000" w:fill="auto"/>
                    <w:rPr>
                      <w:b/>
                      <w:sz w:val="16"/>
                      <w:szCs w:val="16"/>
                    </w:rPr>
                  </w:pPr>
                  <w:sdt>
                    <w:sdtPr>
                      <w:alias w:val="Pavadinimas"/>
                      <w:tag w:val="title_2e5aabde538c4a76b118e98a98e0910d"/>
                      <w:lock w:val="sdtLocked"/>
                      <w:richText/>
                    </w:sdtPr>
                    <w:sdtContent>
                      <w:r>
                        <w:rPr>
                          <w:b/>
                          <w:sz w:val="16"/>
                          <w:szCs w:val="16"/>
                        </w:rPr>
                        <w:t>Paaiškinimai:</w:t>
                      </w:r>
                    </w:sdtContent>
                  </w:sdt>
                </w:p>
                <w:sdt>
                  <w:sdtPr>
                    <w:alias w:val="1 p."/>
                    <w:tag w:val="part_8f5dda9ebea84270ac0b61ebe00d0685"/>
                    <w:lock w:val="sdtLocked"/>
                    <w:richText/>
                  </w:sdtPr>
                  <w:sdtContent>
                    <w:p>
                      <w:pPr>
                        <w:shd w:val="clear" w:color="000000" w:fill="auto"/>
                        <w:ind w:firstLine="993"/>
                        <w:jc w:val="both"/>
                        <w:rPr>
                          <w:sz w:val="16"/>
                          <w:szCs w:val="16"/>
                        </w:rPr>
                      </w:pPr>
                      <w:sdt>
                        <w:sdtPr>
                          <w:alias w:val="Numeris"/>
                          <w:tag w:val="nr_8f5dda9ebea84270ac0b61ebe00d0685"/>
                          <w:lock w:val="sdtLocked"/>
                          <w:richText/>
                        </w:sdtPr>
                        <w:sdtContent>
                          <w:r>
                            <w:rPr>
                              <w:sz w:val="16"/>
                              <w:szCs w:val="16"/>
                            </w:rPr>
                            <w:t>1</w:t>
                          </w:r>
                        </w:sdtContent>
                      </w:sdt>
                      <w:r>
                        <w:rPr>
                          <w:sz w:val="16"/>
                          <w:szCs w:val="16"/>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86d0fed8b6f34aab851a36df4d7f5a32"/>
                    <w:lock w:val="sdtLocked"/>
                    <w:richText/>
                  </w:sdtPr>
                  <w:sdtContent>
                    <w:p>
                      <w:pPr>
                        <w:shd w:val="clear" w:color="000000" w:fill="auto"/>
                        <w:ind w:firstLine="993"/>
                        <w:jc w:val="both"/>
                        <w:rPr>
                          <w:sz w:val="16"/>
                          <w:szCs w:val="16"/>
                        </w:rPr>
                      </w:pPr>
                      <w:sdt>
                        <w:sdtPr>
                          <w:alias w:val="Numeris"/>
                          <w:tag w:val="nr_86d0fed8b6f34aab851a36df4d7f5a32"/>
                          <w:lock w:val="sdtLocked"/>
                          <w:richText/>
                        </w:sdtPr>
                        <w:sdtContent>
                          <w:r>
                            <w:rPr>
                              <w:sz w:val="16"/>
                              <w:szCs w:val="16"/>
                            </w:rPr>
                            <w:t>2</w:t>
                          </w:r>
                        </w:sdtContent>
                      </w:sdt>
                      <w:r>
                        <w:rPr>
                          <w:sz w:val="16"/>
                          <w:szCs w:val="16"/>
                        </w:rPr>
                        <w:t>. 2 skiltyje nurodomas lėšų poreikis turi neviršyti Nacionaliniame pažangos plane nustatytų finansinių projekcijų arba turi būti pateikiamas pagrindimas, iš kokių finansavimo šaltinių, programų ketinama skirti projekcijas viršijančią lėšų dalį.</w:t>
                      </w:r>
                    </w:p>
                  </w:sdtContent>
                </w:sdt>
                <w:sdt>
                  <w:sdtPr>
                    <w:alias w:val="3 p."/>
                    <w:tag w:val="part_a6ca3671466f4521be6b5c26139972b6"/>
                    <w:lock w:val="sdtLocked"/>
                    <w:richText/>
                  </w:sdtPr>
                  <w:sdtContent>
                    <w:p>
                      <w:pPr>
                        <w:shd w:val="clear" w:color="000000" w:fill="auto"/>
                        <w:ind w:firstLine="993"/>
                        <w:jc w:val="both"/>
                      </w:pPr>
                      <w:sdt>
                        <w:sdtPr>
                          <w:alias w:val="Numeris"/>
                          <w:tag w:val="nr_a6ca3671466f4521be6b5c26139972b6"/>
                          <w:lock w:val="sdtLocked"/>
                          <w:richText/>
                        </w:sdtPr>
                        <w:sdtContent>
                          <w:r>
                            <w:rPr>
                              <w:sz w:val="16"/>
                              <w:szCs w:val="16"/>
                            </w:rPr>
                            <w:t>3</w:t>
                          </w:r>
                        </w:sdtContent>
                      </w:sdt>
                      <w:r>
                        <w:rPr>
                          <w:sz w:val="16"/>
                          <w:szCs w:val="16"/>
                        </w:rPr>
                        <w:t xml:space="preserve">. 2.3 papunktyje 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shd w:val="clear" w:color="000000" w:fill="auto"/>
                        <w:sectPr>
                          <w:pgSz w:w="16838" w:h="11906" w:orient="landscape"/>
                          <w:pgMar w:top="567" w:right="1135" w:bottom="567" w:left="1134" w:header="567" w:footer="567" w:gutter="0"/>
                          <w:pgNumType w:start="1"/>
                          <w:cols w:space="1296"/>
                          <w:titlePg/>
                          <w:docGrid w:linePitch="326"/>
                        </w:sectPr>
                      </w:pPr>
                    </w:p>
                    <w:p>
                      <w:pPr>
                        <w:shd w:val="clear" w:color="000000" w:fill="auto"/>
                        <w:tabs>
                          <w:tab w:val="center" w:pos="4819"/>
                          <w:tab w:val="right" w:pos="9071"/>
                        </w:tabs>
                        <w:overflowPunct w:val="0"/>
                        <w:textAlignment w:val="baseline"/>
                        <w:rPr>
                          <w:rFonts w:ascii="HelveticaLT" w:hAnsi="HelveticaLT"/>
                          <w:sz w:val="20"/>
                          <w:lang w:val="en-GB"/>
                        </w:rPr>
                      </w:pPr>
                    </w:p>
                  </w:sdtContent>
                </w:sdt>
              </w:sdtContent>
            </w:sdt>
          </w:sdtContent>
        </w:sdt>
        <w:sdt>
          <w:sdtPr>
            <w:alias w:val="skyrius"/>
            <w:tag w:val="part_1f88841e94034a388dd0c0ef201d6a3b"/>
            <w:lock w:val="sdtLocked"/>
            <w:richText/>
          </w:sdtPr>
          <w:sdtContent>
            <w:p>
              <w:pPr>
                <w:shd w:val="clear" w:color="000000" w:fill="auto"/>
                <w:jc w:val="center"/>
                <w:rPr>
                  <w:b/>
                  <w:bCs/>
                </w:rPr>
              </w:pPr>
              <w:sdt>
                <w:sdtPr>
                  <w:alias w:val="Numeris"/>
                  <w:tag w:val="nr_1f88841e94034a388dd0c0ef201d6a3b"/>
                  <w:lock w:val="sdtLocked"/>
                  <w:richText/>
                </w:sdtPr>
                <w:sdtContent>
                  <w:r>
                    <w:rPr>
                      <w:b/>
                      <w:bCs/>
                    </w:rPr>
                    <w:t>III</w:t>
                  </w:r>
                </w:sdtContent>
              </w:sdt>
              <w:r>
                <w:rPr>
                  <w:b/>
                  <w:bCs/>
                </w:rPr>
                <w:t xml:space="preserve"> SKYRIUS</w:t>
              </w:r>
            </w:p>
            <w:p>
              <w:pPr>
                <w:shd w:val="clear" w:color="000000" w:fill="auto"/>
                <w:jc w:val="center"/>
                <w:rPr>
                  <w:b/>
                  <w:bCs/>
                </w:rPr>
              </w:pPr>
              <w:sdt>
                <w:sdtPr>
                  <w:alias w:val="Pavadinimas"/>
                  <w:tag w:val="title_1f88841e94034a388dd0c0ef201d6a3b"/>
                  <w:lock w:val="sdtLocked"/>
                  <w:richText/>
                </w:sdtPr>
                <w:sdtContent>
                  <w:r>
                    <w:rPr>
                      <w:b/>
                      <w:bCs/>
                    </w:rPr>
                    <w:t>PLĖTROS PROGRAMOS PAŽANGOS PRIEMONĖS VEIKLŲ SUVESTINĖ</w:t>
                  </w:r>
                </w:sdtContent>
              </w:sdt>
            </w:p>
            <w:p>
              <w:pPr>
                <w:shd w:val="clear" w:color="000000" w:fill="auto"/>
                <w:jc w:val="center"/>
                <w:rPr>
                  <w:b/>
                  <w:bCs/>
                </w:rPr>
              </w:pPr>
            </w:p>
            <w:tbl>
              <w:tblPr>
                <w:tblW w:w="150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0"/>
                <w:gridCol w:w="884"/>
                <w:gridCol w:w="982"/>
                <w:gridCol w:w="764"/>
                <w:gridCol w:w="942"/>
                <w:gridCol w:w="1013"/>
                <w:gridCol w:w="817"/>
                <w:gridCol w:w="886"/>
                <w:gridCol w:w="992"/>
                <w:gridCol w:w="1240"/>
                <w:gridCol w:w="7"/>
                <w:gridCol w:w="1459"/>
                <w:gridCol w:w="720"/>
                <w:gridCol w:w="819"/>
                <w:gridCol w:w="957"/>
                <w:gridCol w:w="1035"/>
                <w:gridCol w:w="13"/>
              </w:tblGrid>
              <w:tr>
                <w:trPr>
                  <w:trHeight w:val="1425"/>
                </w:trPr>
                <w:tc>
                  <w:tcPr>
                    <w:tcW w:w="1509"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Veikla</w:t>
                    </w:r>
                  </w:p>
                </w:tc>
                <w:tc>
                  <w:tcPr>
                    <w:tcW w:w="884"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Veiklos (poveiklės, projekto) tipas</w:t>
                    </w:r>
                  </w:p>
                </w:tc>
                <w:tc>
                  <w:tcPr>
                    <w:tcW w:w="98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Galimi pareiškėjai</w:t>
                    </w:r>
                  </w:p>
                </w:tc>
                <w:tc>
                  <w:tcPr>
                    <w:tcW w:w="764"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 xml:space="preserve">Projektų </w:t>
                    </w:r>
                  </w:p>
                  <w:p>
                    <w:pPr>
                      <w:shd w:val="clear" w:color="000000" w:fill="auto"/>
                      <w:ind w:left="-57" w:right="-57"/>
                      <w:jc w:val="center"/>
                      <w:rPr>
                        <w:b/>
                        <w:sz w:val="16"/>
                        <w:szCs w:val="16"/>
                      </w:rPr>
                    </w:pPr>
                    <w:r>
                      <w:rPr>
                        <w:b/>
                        <w:sz w:val="16"/>
                        <w:szCs w:val="16"/>
                      </w:rPr>
                      <w:t>atrankos būdas</w:t>
                    </w:r>
                  </w:p>
                </w:tc>
                <w:tc>
                  <w:tcPr>
                    <w:tcW w:w="94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Valstybei svarbus ar (ir) Ministro Pirmininko strateginių projektų portfelio projektas</w:t>
                    </w:r>
                  </w:p>
                  <w:p>
                    <w:pPr>
                      <w:shd w:val="clear" w:color="000000" w:fill="auto"/>
                      <w:ind w:left="-57" w:right="-57"/>
                      <w:jc w:val="center"/>
                      <w:rPr>
                        <w:b/>
                        <w:sz w:val="16"/>
                        <w:szCs w:val="16"/>
                      </w:rPr>
                    </w:pPr>
                    <w:r>
                      <w:rPr>
                        <w:b/>
                        <w:sz w:val="16"/>
                        <w:szCs w:val="16"/>
                      </w:rPr>
                      <w:t>(įrašomas požymis: VS, MPP)</w:t>
                    </w:r>
                  </w:p>
                </w:tc>
                <w:tc>
                  <w:tcPr>
                    <w:tcW w:w="1013"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Tiesiogiai prisidedama prie HP</w:t>
                    </w:r>
                  </w:p>
                  <w:p>
                    <w:pPr>
                      <w:shd w:val="clear" w:color="000000" w:fill="auto"/>
                      <w:ind w:left="-57" w:right="-57"/>
                      <w:jc w:val="center"/>
                      <w:rPr>
                        <w:b/>
                        <w:sz w:val="16"/>
                        <w:szCs w:val="16"/>
                      </w:rPr>
                    </w:pPr>
                    <w:r>
                      <w:rPr>
                        <w:b/>
                        <w:sz w:val="16"/>
                        <w:szCs w:val="16"/>
                      </w:rPr>
                      <w:t>(Taip / Ne)</w:t>
                    </w:r>
                  </w:p>
                </w:tc>
                <w:tc>
                  <w:tcPr>
                    <w:tcW w:w="8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Valstybės pagalba (Taip / Ne)</w:t>
                    </w:r>
                  </w:p>
                </w:tc>
                <w:tc>
                  <w:tcPr>
                    <w:tcW w:w="886"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Finansavimo forma</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Finansavimo suma(tūkst. eurų)</w:t>
                    </w:r>
                  </w:p>
                </w:tc>
                <w:tc>
                  <w:tcPr>
                    <w:tcW w:w="1247"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1459"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Rodiklio pavadinimas ir tipas</w:t>
                    </w:r>
                  </w:p>
                </w:tc>
                <w:tc>
                  <w:tcPr>
                    <w:tcW w:w="7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Siektina galutinė rodiklio reikšmė</w:t>
                    </w:r>
                  </w:p>
                </w:tc>
                <w:tc>
                  <w:tcPr>
                    <w:tcW w:w="819"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Įgyvendi-nimo pradžia (metai, ketv.)</w:t>
                    </w:r>
                  </w:p>
                </w:tc>
                <w:tc>
                  <w:tcPr>
                    <w:tcW w:w="95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trike/>
                        <w:sz w:val="16"/>
                        <w:szCs w:val="16"/>
                      </w:rPr>
                    </w:pPr>
                    <w:r>
                      <w:rPr>
                        <w:b/>
                        <w:sz w:val="16"/>
                        <w:szCs w:val="16"/>
                      </w:rPr>
                      <w:t>Adminis-truojančioji institucija</w:t>
                    </w:r>
                  </w:p>
                </w:tc>
                <w:tc>
                  <w:tcPr>
                    <w:tcW w:w="1048"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Dalyvaujanti institucija</w:t>
                    </w:r>
                  </w:p>
                </w:tc>
              </w:tr>
              <w:tr>
                <w:trPr>
                  <w:trHeight w:val="279"/>
                </w:trPr>
                <w:tc>
                  <w:tcPr>
                    <w:tcW w:w="1509"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w:t>
                    </w:r>
                  </w:p>
                </w:tc>
                <w:tc>
                  <w:tcPr>
                    <w:tcW w:w="884"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2</w:t>
                    </w:r>
                  </w:p>
                </w:tc>
                <w:tc>
                  <w:tcPr>
                    <w:tcW w:w="98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3</w:t>
                    </w:r>
                  </w:p>
                </w:tc>
                <w:tc>
                  <w:tcPr>
                    <w:tcW w:w="764"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4</w:t>
                    </w:r>
                  </w:p>
                </w:tc>
                <w:tc>
                  <w:tcPr>
                    <w:tcW w:w="94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5</w:t>
                    </w:r>
                  </w:p>
                </w:tc>
                <w:tc>
                  <w:tcPr>
                    <w:tcW w:w="1013"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6</w:t>
                    </w:r>
                  </w:p>
                </w:tc>
                <w:tc>
                  <w:tcPr>
                    <w:tcW w:w="81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7</w:t>
                    </w:r>
                  </w:p>
                </w:tc>
                <w:tc>
                  <w:tcPr>
                    <w:tcW w:w="88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8</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9</w:t>
                    </w:r>
                  </w:p>
                </w:tc>
                <w:tc>
                  <w:tcPr>
                    <w:tcW w:w="1247"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10</w:t>
                    </w:r>
                  </w:p>
                </w:tc>
                <w:tc>
                  <w:tcPr>
                    <w:tcW w:w="1459"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11</w:t>
                    </w:r>
                  </w:p>
                </w:tc>
                <w:tc>
                  <w:tcPr>
                    <w:tcW w:w="720"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12</w:t>
                    </w:r>
                  </w:p>
                </w:tc>
                <w:tc>
                  <w:tcPr>
                    <w:tcW w:w="819"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13</w:t>
                    </w:r>
                  </w:p>
                </w:tc>
                <w:tc>
                  <w:tcPr>
                    <w:tcW w:w="9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14</w:t>
                    </w:r>
                  </w:p>
                </w:tc>
                <w:tc>
                  <w:tcPr>
                    <w:tcW w:w="1048"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15</w:t>
                    </w:r>
                  </w:p>
                </w:tc>
              </w:tr>
              <w:tr>
                <w:trPr>
                  <w:trHeight w:val="396"/>
                </w:trPr>
                <w:tc>
                  <w:tcPr>
                    <w:tcW w:w="1509"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1. Teisės aktų, susijusių su profesinio mokymo reglamentavimu, rengimas</w:t>
                    </w: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R</w:t>
                    </w:r>
                  </w:p>
                </w:tc>
                <w:tc>
                  <w:tcPr>
                    <w:tcW w:w="98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w:t>
                    </w: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P – </w:t>
                    </w:r>
                    <w:r>
                      <w:rPr>
                        <w:color w:val="000000"/>
                        <w:sz w:val="20"/>
                        <w:shd w:val="clear" w:color="auto" w:fill="FFFFFF"/>
                      </w:rPr>
                      <w:t>Paskelbtas teisės akto dėl Nacionalinės profesinio mokymo pažangos platformos steigimo projektas konsultacijoms su socialiniais partneriais ir suinteresuotosiomis šalimis </w:t>
                    </w: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1</w:t>
                    </w:r>
                  </w:p>
                  <w:p>
                    <w:pPr>
                      <w:shd w:val="clear" w:color="000000" w:fill="auto"/>
                      <w:ind w:left="-57" w:right="-57"/>
                      <w:jc w:val="center"/>
                      <w:rPr>
                        <w:color w:val="000000"/>
                        <w:sz w:val="20"/>
                      </w:rPr>
                    </w:pPr>
                  </w:p>
                </w:tc>
                <w:tc>
                  <w:tcPr>
                    <w:tcW w:w="81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2022 m. I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w:t>
                    </w:r>
                  </w:p>
                </w:tc>
              </w:tr>
              <w:tr>
                <w:trPr>
                  <w:trHeight w:val="212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Nacionalinės profesinio mokymo pažangos platformos sukūrimą patvirtinančių teisės aktų įsigaliojimas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w:t>
                    </w:r>
                  </w:p>
                </w:tc>
                <w:tc>
                  <w:tcPr>
                    <w:tcW w:w="81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2022 m. I ketv.</w:t>
                    </w: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56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P – </w:t>
                    </w:r>
                    <w:r>
                      <w:rPr>
                        <w:sz w:val="20"/>
                        <w:lang w:eastAsia="nl-BE"/>
                      </w:rPr>
                      <w:t>Paskelbtas Profesinio mokymo įstatymo pakeitimo dėl profesinio mokymo kompetencijų centrų projektas konsultacijoms su socialiniais partneriais ir suinteresuotomis šalimis</w:t>
                    </w:r>
                    <w:r>
                      <w:rPr>
                        <w:color w:val="000000"/>
                        <w:sz w:val="20"/>
                        <w:shd w:val="clear" w:color="auto" w:fill="FFFFFF"/>
                      </w:rPr>
                      <w:t> </w:t>
                    </w: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right="-57"/>
                      <w:rPr>
                        <w:color w:val="000000"/>
                        <w:sz w:val="20"/>
                      </w:rPr>
                    </w:pPr>
                    <w:r>
                      <w:rPr>
                        <w:color w:val="000000"/>
                        <w:sz w:val="20"/>
                      </w:rPr>
                      <w:t>1</w:t>
                    </w: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2022 m. I ketv.</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18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Įsigalioję Profesinio mokymo įstatymo pakeitimai dėl profesinio mokymo kompetencijos centrų</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w:t>
                    </w:r>
                  </w:p>
                </w:tc>
                <w:tc>
                  <w:tcPr>
                    <w:tcW w:w="819" w:type="dxa"/>
                    <w:tcBorders>
                      <w:top w:val="single" w:sz="4" w:space="0" w:color="auto"/>
                      <w:left w:val="single" w:sz="4" w:space="0" w:color="auto"/>
                      <w:bottom w:val="single" w:sz="4" w:space="0" w:color="auto"/>
                      <w:right w:val="single" w:sz="4" w:space="0" w:color="auto"/>
                    </w:tcBorders>
                    <w:hideMark/>
                  </w:tcPr>
                  <w:p>
                    <w:pPr>
                      <w:shd w:val="clear" w:color="000000" w:fill="auto"/>
                      <w:rPr>
                        <w:color w:val="000000"/>
                        <w:sz w:val="20"/>
                      </w:rPr>
                    </w:pPr>
                    <w:r>
                      <w:rPr>
                        <w:color w:val="000000"/>
                        <w:sz w:val="20"/>
                      </w:rPr>
                      <w:t>2021 m.</w:t>
                    </w:r>
                  </w:p>
                  <w:p>
                    <w:pPr>
                      <w:shd w:val="clear" w:color="000000" w:fill="auto"/>
                      <w:ind w:left="-57" w:right="-57"/>
                      <w:jc w:val="center"/>
                      <w:rPr>
                        <w:color w:val="000000"/>
                        <w:sz w:val="20"/>
                      </w:rPr>
                    </w:pPr>
                    <w:r>
                      <w:rPr>
                        <w:color w:val="000000"/>
                        <w:sz w:val="20"/>
                      </w:rPr>
                      <w:t>II ketv.</w:t>
                    </w: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24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P – Įsigalioję teisės aktai, kuriais nustatoma Paramos pameistrystei ir mokymuisi darbo vietoje schema</w:t>
                    </w:r>
                  </w:p>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1</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2022 m. I ketv.</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3217"/>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p>
                    <w:pPr>
                      <w:shd w:val="clear" w:color="000000" w:fill="auto"/>
                      <w:ind w:left="-57" w:right="-57"/>
                      <w:rPr>
                        <w:color w:val="000000"/>
                        <w:sz w:val="20"/>
                      </w:rPr>
                    </w:pPr>
                    <w:r>
                      <w:rPr>
                        <w:color w:val="000000"/>
                        <w:sz w:val="20"/>
                      </w:rPr>
                      <w:t>P – Įsigalioję profesinio mokymo įstatymo pakeitimai dėl priėmimo į valstybės finansuojamas vietas profesiniame mokyme planavimo metodikos</w:t>
                    </w: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p>
                  <w:p>
                    <w:pPr>
                      <w:shd w:val="clear" w:color="000000" w:fill="auto"/>
                      <w:ind w:right="-57"/>
                      <w:jc w:val="center"/>
                      <w:rPr>
                        <w:color w:val="000000"/>
                        <w:sz w:val="20"/>
                      </w:rPr>
                    </w:pPr>
                    <w:r>
                      <w:rPr>
                        <w:color w:val="000000"/>
                        <w:sz w:val="20"/>
                      </w:rPr>
                      <w:t>1</w:t>
                    </w: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p>
                  <w:p>
                    <w:pPr>
                      <w:shd w:val="clear" w:color="000000" w:fill="auto"/>
                      <w:ind w:left="-57" w:right="-57"/>
                      <w:jc w:val="center"/>
                      <w:rPr>
                        <w:color w:val="000000"/>
                        <w:sz w:val="20"/>
                      </w:rPr>
                    </w:pPr>
                    <w:r>
                      <w:rPr>
                        <w:color w:val="000000"/>
                        <w:sz w:val="20"/>
                      </w:rPr>
                      <w:t>2022 m. II ketv.</w:t>
                    </w: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141"/>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2. Priemonių profesinio mokymo programoms atnaujinti ar parengti, profesijos mokytojams ir meistrams praktikams pritraukti parengimas</w:t>
                    </w: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w:t>
                    </w:r>
                  </w:p>
                </w:tc>
                <w:tc>
                  <w:tcPr>
                    <w:tcW w:w="98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5 000</w:t>
                    </w: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sz w:val="20"/>
                      </w:rPr>
                    </w:pPr>
                    <w:r>
                      <w:rPr>
                        <w:sz w:val="20"/>
                      </w:rPr>
                      <w:t>Ekonomikos gaivinimo ir atsparumo didinimo priemonės lėšos (EGADP)</w:t>
                    </w:r>
                  </w:p>
                  <w:p>
                    <w:pPr>
                      <w:shd w:val="clear" w:color="000000" w:fill="auto"/>
                      <w:ind w:left="-57" w:right="-57"/>
                      <w:rPr>
                        <w:color w:val="000000"/>
                        <w:sz w:val="20"/>
                      </w:rPr>
                    </w:pPr>
                  </w:p>
                </w:tc>
                <w:tc>
                  <w:tcPr>
                    <w:tcW w:w="145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P – </w:t>
                    </w:r>
                    <w:r>
                      <w:rPr>
                        <w:color w:val="000000"/>
                        <w:sz w:val="20"/>
                        <w:bdr w:val="none" w:sz="0" w:space="0" w:color="auto" w:frame="1"/>
                      </w:rPr>
                      <w:t>Poreikių atnaujinti arba kurti naujas mokymo programas, konsultuojantis su socialiniais partneriais, sudarymas</w:t>
                    </w:r>
                  </w:p>
                </w:tc>
                <w:tc>
                  <w:tcPr>
                    <w:tcW w:w="720" w:type="dxa"/>
                    <w:vMerge w:val="restart"/>
                    <w:tcBorders>
                      <w:top w:val="single" w:sz="4" w:space="0" w:color="auto"/>
                      <w:left w:val="single" w:sz="4" w:space="0" w:color="auto"/>
                      <w:bottom w:val="single" w:sz="4" w:space="0" w:color="auto"/>
                      <w:right w:val="single" w:sz="4" w:space="0" w:color="auto"/>
                    </w:tcBorders>
                  </w:tcPr>
                  <w:p>
                    <w:pPr>
                      <w:shd w:val="clear" w:color="000000" w:fill="auto"/>
                      <w:ind w:right="-57"/>
                      <w:jc w:val="center"/>
                      <w:rPr>
                        <w:color w:val="000000"/>
                        <w:sz w:val="20"/>
                      </w:rPr>
                    </w:pPr>
                    <w:r>
                      <w:rPr>
                        <w:color w:val="000000"/>
                        <w:sz w:val="20"/>
                      </w:rPr>
                      <w:t>1</w:t>
                    </w:r>
                  </w:p>
                  <w:p>
                    <w:pPr>
                      <w:shd w:val="clear" w:color="000000" w:fill="auto"/>
                      <w:ind w:left="-57" w:right="-57"/>
                      <w:jc w:val="center"/>
                      <w:rPr>
                        <w:color w:val="000000"/>
                        <w:sz w:val="20"/>
                      </w:rPr>
                    </w:pP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2022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w:t>
                    </w:r>
                  </w:p>
                </w:tc>
              </w:tr>
              <w:tr>
                <w:trPr>
                  <w:trHeight w:val="23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1 050</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sz w:val="20"/>
                      </w:rPr>
                    </w:pPr>
                    <w:r>
                      <w:rPr>
                        <w:bCs/>
                        <w:sz w:val="20"/>
                      </w:rPr>
                      <w:t>Valstybės biudžeto lėšos, skirtos apmokėti bendrai finansuojamų iš ES fondų lėšų projektų netinkamam finansuoti iš ES fondų lėšų pirkimo ir (arba) importo PVM</w:t>
                    </w:r>
                  </w:p>
                </w:tc>
                <w:tc>
                  <w:tcPr>
                    <w:tcW w:w="145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0"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76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Užregistruotos naujos / atnaujintos profesinio mokymo programos, kurios yra prieinamos mokymo paslaugų teikėjams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95</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2022 m. IV ketv.</w:t>
                    </w: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352"/>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Profesijos mokytojai ir (arba) meistrai, dalyvaujantys pameistrių ir praktikas atliekančių mokinių mokymo procese</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1 000</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528"/>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4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75"/>
                      <w:rPr>
                        <w:color w:val="000000"/>
                        <w:sz w:val="20"/>
                      </w:rPr>
                    </w:pPr>
                    <w:r>
                      <w:rPr>
                        <w:color w:val="000000"/>
                        <w:sz w:val="20"/>
                      </w:rPr>
                      <w:t>R – Švietimo ir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30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Skaitmeninių įgūdžių ugdymo veiklos dalyvių skaičius </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1632"/>
                </w:trPr>
                <w:tc>
                  <w:tcPr>
                    <w:tcW w:w="150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3. Priemonių bendrajam ugdymui ir profesiniam mokymui suartinti parengimas:</w:t>
                    </w:r>
                  </w:p>
                </w:tc>
                <w:tc>
                  <w:tcPr>
                    <w:tcW w:w="884"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982"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764"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942"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1013"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817"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886"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992"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1240"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1466"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957"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1048"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r>
              <w:tr>
                <w:trPr>
                  <w:trHeight w:val="4234"/>
                </w:trPr>
                <w:tc>
                  <w:tcPr>
                    <w:tcW w:w="1509"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3.1. Galimybių mokytis profesinio mokymo programų modulius sudarymas</w:t>
                    </w: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tc>
                <w:tc>
                  <w:tcPr>
                    <w:tcW w:w="884"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I</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8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Profesinio mokymo įstaigos</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764"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TA</w:t>
                    </w:r>
                    <w:r>
                      <w:rPr>
                        <w:color w:val="000000"/>
                        <w:sz w:val="20"/>
                        <w:vertAlign w:val="superscript"/>
                      </w:rPr>
                      <w:footnoteReference w:id="1"/>
                    </w:r>
                    <w:r>
                      <w:rPr>
                        <w:color w:val="000000"/>
                        <w:sz w:val="20"/>
                      </w:rPr>
                      <w:t xml:space="preserve"> </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4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MPP</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013"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Taip</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17"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Ne</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86"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D</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right="-57"/>
                      <w:rPr>
                        <w:color w:val="000000"/>
                        <w:sz w:val="20"/>
                      </w:rPr>
                    </w:pPr>
                  </w:p>
                </w:tc>
                <w:tc>
                  <w:tcPr>
                    <w:tcW w:w="99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1 960</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247" w:type="dxa"/>
                    <w:gridSpan w:val="2"/>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sz w:val="20"/>
                      </w:rPr>
                      <w:t>Ekonomikos gaivinimo ir atsparumo didinimo priemonės lėšos (EGADP)</w:t>
                    </w: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R – Mokinių, kurie mokosi pagal pagrindinio ir vidurinio ugdymo programas bendrojo ugdymo mokyklose ir baigusių pirminio profesinio mokymo programos modulius, skaičiaus padidėjimas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firstLine="53"/>
                      <w:jc w:val="center"/>
                      <w:rPr>
                        <w:color w:val="000000"/>
                        <w:sz w:val="20"/>
                      </w:rPr>
                    </w:pPr>
                    <w:r>
                      <w:rPr>
                        <w:color w:val="000000"/>
                        <w:sz w:val="20"/>
                      </w:rPr>
                      <w:t>4 900</w:t>
                    </w:r>
                  </w:p>
                </w:tc>
                <w:tc>
                  <w:tcPr>
                    <w:tcW w:w="819" w:type="dxa"/>
                    <w:vMerge w:val="restart"/>
                    <w:tcBorders>
                      <w:top w:val="single" w:sz="4" w:space="0" w:color="auto"/>
                      <w:left w:val="single" w:sz="4" w:space="0" w:color="auto"/>
                      <w:bottom w:val="single" w:sz="4" w:space="0" w:color="auto"/>
                      <w:right w:val="single" w:sz="4" w:space="0" w:color="auto"/>
                    </w:tcBorders>
                  </w:tcPr>
                  <w:p>
                    <w:pPr>
                      <w:shd w:val="clear" w:color="000000" w:fill="auto"/>
                      <w:spacing w:line="256" w:lineRule="auto"/>
                      <w:ind w:left="-57" w:right="-57"/>
                      <w:jc w:val="center"/>
                      <w:rPr>
                        <w:color w:val="000000"/>
                        <w:sz w:val="20"/>
                      </w:rPr>
                    </w:pPr>
                    <w:r>
                      <w:rPr>
                        <w:color w:val="000000"/>
                        <w:sz w:val="20"/>
                      </w:rPr>
                      <w:t xml:space="preserve">2022 m.  III ketv.</w:t>
                    </w: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rPr>
                        <w:sz w:val="20"/>
                      </w:rPr>
                    </w:pPr>
                  </w:p>
                </w:tc>
                <w:tc>
                  <w:tcPr>
                    <w:tcW w:w="957"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CPVA</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048" w:type="dxa"/>
                    <w:gridSpan w:val="2"/>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ŠMSM, SADM, EIM, ŽŪM</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rPr>
                        <w:sz w:val="20"/>
                      </w:rPr>
                    </w:pPr>
                  </w:p>
                </w:tc>
              </w:tr>
              <w:tr>
                <w:trPr>
                  <w:trHeight w:val="3263"/>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Pagal pagrindinio ir vidurinio ugdymo programas bendrojo ugdymo mokyklose besimokantys mokiniai, baigę pirminio profesinio mokymo programos modulius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4 900</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323"/>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352"/>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ir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338"/>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Paramą gaunančių 15–29 metų amžiaus jaunuolių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689"/>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R – Skaitmeninių įgūdžių ugdymo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2911"/>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3.2. Eksperimentinių profesinio mokymo programų plėtojimas </w:t>
                    </w:r>
                  </w:p>
                </w:tc>
                <w:tc>
                  <w:tcPr>
                    <w:tcW w:w="884"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I</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8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Profesinio mokymo įstaigos</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MPP</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013"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Taip</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17"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Ne</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86"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D</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4 040</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sz w:val="20"/>
                      </w:rPr>
                      <w:t>Ekonomikos gaivinimo ir atsparumo didinimo priemonės lėšos (EGADP)</w:t>
                    </w: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P – Gavę paramą pagrindinio ugdymo programų mokiniai, besimokantys pagal eksperimentines profesinio mokymo programas</w:t>
                    </w:r>
                  </w:p>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4 000</w:t>
                    </w:r>
                  </w:p>
                </w:tc>
                <w:tc>
                  <w:tcPr>
                    <w:tcW w:w="819" w:type="dxa"/>
                    <w:vMerge w:val="restart"/>
                    <w:tcBorders>
                      <w:top w:val="single" w:sz="4" w:space="0" w:color="auto"/>
                      <w:left w:val="single" w:sz="4" w:space="0" w:color="auto"/>
                      <w:bottom w:val="single" w:sz="4" w:space="0" w:color="auto"/>
                      <w:right w:val="single" w:sz="4" w:space="0" w:color="auto"/>
                    </w:tcBorders>
                  </w:tcPr>
                  <w:p>
                    <w:pPr>
                      <w:shd w:val="clear" w:color="000000" w:fill="auto"/>
                      <w:spacing w:line="256" w:lineRule="auto"/>
                      <w:ind w:left="-57" w:right="-57"/>
                      <w:jc w:val="center"/>
                      <w:rPr>
                        <w:color w:val="000000"/>
                        <w:sz w:val="20"/>
                      </w:rPr>
                    </w:pPr>
                    <w:r>
                      <w:rPr>
                        <w:color w:val="000000"/>
                        <w:sz w:val="20"/>
                      </w:rPr>
                      <w:t xml:space="preserve">2022 m.  III ketv.</w:t>
                    </w: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ind w:left="-57" w:right="-57"/>
                      <w:jc w:val="center"/>
                      <w:rPr>
                        <w:color w:val="000000"/>
                        <w:sz w:val="20"/>
                      </w:rPr>
                    </w:pPr>
                  </w:p>
                </w:tc>
                <w:tc>
                  <w:tcPr>
                    <w:tcW w:w="957"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CPVA</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048" w:type="dxa"/>
                    <w:gridSpan w:val="2"/>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ŠMSM</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r>
              <w:tr>
                <w:trPr>
                  <w:trHeight w:val="617"/>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46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337"/>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Paramą gaunančių 15–29 metų amžiaus jaunuolių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144"/>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4. Sukurti ir įgyvendinti priemones profesinio mokymo pameistrystės forma organizavimui skatinti</w:t>
                    </w: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w:t>
                    </w:r>
                  </w:p>
                </w:tc>
                <w:tc>
                  <w:tcPr>
                    <w:tcW w:w="98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ESFA ir profesinio mokymo įstaigos</w:t>
                    </w:r>
                  </w:p>
                  <w:p>
                    <w:pPr>
                      <w:shd w:val="clear" w:color="000000" w:fill="auto"/>
                      <w:ind w:left="-57" w:right="-57"/>
                      <w:jc w:val="center"/>
                      <w:rPr>
                        <w:color w:val="000000"/>
                        <w:sz w:val="20"/>
                      </w:rPr>
                    </w:pPr>
                  </w:p>
                </w:tc>
                <w:tc>
                  <w:tcPr>
                    <w:tcW w:w="764"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Pj</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20 000</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sz w:val="20"/>
                      </w:rPr>
                      <w:t>Ekonomikos gaivinimo ir atsparumo didinimo priemonės lėšos (EGADP)</w:t>
                    </w: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Profesinio mokymo įstaigų, organizuojančių profesinio mokymo programas pameistrystės forma, dalis (proc.)</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100,0</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2022 m. II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 SADM, EIM, ŽŪM</w:t>
                    </w:r>
                  </w:p>
                </w:tc>
              </w:tr>
              <w:tr>
                <w:trPr>
                  <w:trHeight w:val="707"/>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Įgyvendintos pameistrystės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3 866</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445"/>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41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ir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383"/>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Paramą gaunančių 15–29 metų amžiaus jaunuolių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91"/>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Skaitmeninių įgūdžių ugdymo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004"/>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5. Įveiklinti sektorinių praktinio mokymo centrų sistemą įgyvendinant nacionalinio mobilumo programą</w:t>
                    </w: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i/>
                        <w:iCs/>
                        <w:color w:val="000000"/>
                        <w:sz w:val="20"/>
                      </w:rPr>
                    </w:pPr>
                    <w:r>
                      <w:rPr>
                        <w:color w:val="000000"/>
                        <w:sz w:val="20"/>
                      </w:rPr>
                      <w:t>I</w:t>
                    </w:r>
                  </w:p>
                </w:tc>
                <w:tc>
                  <w:tcPr>
                    <w:tcW w:w="98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Pj</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6 000</w:t>
                    </w:r>
                  </w:p>
                </w:tc>
                <w:tc>
                  <w:tcPr>
                    <w:tcW w:w="1247" w:type="dxa"/>
                    <w:gridSpan w:val="2"/>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sz w:val="20"/>
                      </w:rPr>
                      <w:t>Ekonomikos gaivinimo ir atsparumo didinimo priemonės lėšos (EGADP)</w:t>
                    </w:r>
                  </w:p>
                </w:tc>
                <w:tc>
                  <w:tcPr>
                    <w:tcW w:w="145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Moksleiviai, dalyvavę nacionalinėje mobilumo programoje ir gavę pažymėjimą, patvirtinantį, kad jie pagerino praktinius ir skaitmeninius įgūdžius sektoriniuose praktinio mokymo centruose (skaitmeninius įgūdžius pagerins ne mažiau kaip 40 proc. dalyvių)</w:t>
                    </w:r>
                  </w:p>
                </w:tc>
                <w:tc>
                  <w:tcPr>
                    <w:tcW w:w="720"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12 394</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2022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w:t>
                    </w:r>
                  </w:p>
                </w:tc>
              </w:tr>
              <w:tr>
                <w:trPr>
                  <w:trHeight w:val="306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1 260</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sz w:val="20"/>
                      </w:rPr>
                    </w:pPr>
                    <w:r>
                      <w:rPr>
                        <w:bCs/>
                        <w:sz w:val="20"/>
                      </w:rPr>
                      <w:t>Valstybės biudžeto lėšos, skirtos apmokėti bendrai finansuojamų iš ES fondų lėšų projektų netinkamam finansuoti iš ES fondų lėšų pirkimo ir (arba) importo PVM</w:t>
                    </w:r>
                  </w:p>
                </w:tc>
                <w:tc>
                  <w:tcPr>
                    <w:tcW w:w="145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0"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736"/>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sz w:val="20"/>
                      </w:rPr>
                    </w:pPr>
                    <w:r>
                      <w:rPr>
                        <w:color w:val="000000"/>
                        <w:sz w:val="20"/>
                      </w:rPr>
                      <w:t xml:space="preserve">R – </w:t>
                    </w:r>
                    <w:r>
                      <w:rPr>
                        <w:sz w:val="20"/>
                      </w:rPr>
                      <w:t>Švietimo ar mokymo veiklos dalyvių skaičius</w:t>
                    </w:r>
                  </w:p>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445"/>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ir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582"/>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Paramą gaunančių 15–29 metų amžiaus jaunuolių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659"/>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Skaitmeninių įgūdžių ugdymo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659"/>
                </w:trPr>
                <w:tc>
                  <w:tcPr>
                    <w:tcW w:w="1509" w:type="dxa"/>
                    <w:tcBorders>
                      <w:top w:val="single" w:sz="4" w:space="0" w:color="auto"/>
                      <w:left w:val="single" w:sz="4" w:space="0" w:color="auto"/>
                      <w:bottom w:val="single" w:sz="4" w:space="0" w:color="auto"/>
                      <w:right w:val="single" w:sz="4" w:space="0" w:color="auto"/>
                    </w:tcBorders>
                  </w:tcPr>
                  <w:p>
                    <w:pPr>
                      <w:shd w:val="clear" w:color="000000" w:fill="auto"/>
                      <w:rPr>
                        <w:lang w:eastAsia="lt-LT"/>
                      </w:rPr>
                    </w:pPr>
                    <w:r>
                      <w:rPr>
                        <w:color w:val="000000"/>
                        <w:sz w:val="20"/>
                      </w:rPr>
                      <w:t>6. Profesinio mokymo prieinamumo gerinimo parama, mokiniams iš nepalankias sąlygas turinčių asmenų grupių</w:t>
                    </w:r>
                  </w:p>
                  <w:p>
                    <w:pPr>
                      <w:shd w:val="clear" w:color="000000" w:fill="auto"/>
                      <w:rPr>
                        <w:color w:val="000000"/>
                        <w:sz w:val="20"/>
                      </w:rPr>
                    </w:pPr>
                  </w:p>
                </w:tc>
                <w:tc>
                  <w:tcPr>
                    <w:tcW w:w="884"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982"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764"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942"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1013"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817"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886"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rPr>
                        <w:color w:val="000000"/>
                        <w:sz w:val="20"/>
                      </w:rPr>
                    </w:pP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957"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1048"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r>
              <w:tr>
                <w:trPr>
                  <w:trHeight w:val="2546"/>
                </w:trPr>
                <w:tc>
                  <w:tcPr>
                    <w:tcW w:w="1509" w:type="dxa"/>
                    <w:vMerge w:val="restart"/>
                    <w:tcBorders>
                      <w:top w:val="single" w:sz="4" w:space="0" w:color="auto"/>
                      <w:left w:val="single" w:sz="4" w:space="0" w:color="auto"/>
                      <w:bottom w:val="single" w:sz="4" w:space="0" w:color="auto"/>
                      <w:right w:val="single" w:sz="4" w:space="0" w:color="auto"/>
                    </w:tcBorders>
                  </w:tcPr>
                  <w:p>
                    <w:pPr>
                      <w:shd w:val="clear" w:color="000000" w:fill="auto"/>
                      <w:rPr>
                        <w:lang w:eastAsia="lt-LT"/>
                      </w:rPr>
                    </w:pPr>
                    <w:r>
                      <w:rPr>
                        <w:color w:val="000000"/>
                        <w:sz w:val="20"/>
                      </w:rPr>
                      <w:t>6.1 Profesinio mokymo prieinamumo gerinimo parama, mokiniams iš nepalankias sąlygas turinčių asmenų grupių</w:t>
                    </w:r>
                    <w:r>
                      <w:rPr>
                        <w:lang w:eastAsia="lt-LT"/>
                      </w:rPr>
                      <w:t xml:space="preserve"> </w:t>
                    </w:r>
                    <w:r>
                      <w:rPr>
                        <w:sz w:val="20"/>
                        <w:lang w:eastAsia="lt-LT"/>
                      </w:rPr>
                      <w:t>Sostinės regione</w:t>
                    </w:r>
                  </w:p>
                  <w:p>
                    <w:pPr>
                      <w:shd w:val="clear" w:color="000000" w:fill="auto"/>
                      <w:ind w:left="-57" w:right="-57"/>
                      <w:rPr>
                        <w:color w:val="000000"/>
                        <w:sz w:val="20"/>
                      </w:rPr>
                    </w:pPr>
                  </w:p>
                </w:tc>
                <w:tc>
                  <w:tcPr>
                    <w:tcW w:w="884" w:type="dxa"/>
                    <w:vMerge w:val="restart"/>
                    <w:tcBorders>
                      <w:top w:val="single" w:sz="4" w:space="0" w:color="auto"/>
                      <w:left w:val="single" w:sz="4" w:space="0" w:color="auto"/>
                      <w:bottom w:val="single" w:sz="4" w:space="0" w:color="auto"/>
                      <w:right w:val="single" w:sz="4" w:space="0" w:color="000000" w:themeColor="text1"/>
                    </w:tcBorders>
                    <w:hideMark/>
                  </w:tcPr>
                  <w:p>
                    <w:pPr>
                      <w:shd w:val="clear" w:color="000000" w:fill="auto"/>
                      <w:ind w:left="-57" w:right="-57"/>
                      <w:jc w:val="center"/>
                      <w:rPr>
                        <w:color w:val="000000"/>
                        <w:sz w:val="20"/>
                      </w:rPr>
                    </w:pPr>
                    <w:r>
                      <w:rPr>
                        <w:color w:val="000000"/>
                        <w:sz w:val="20"/>
                      </w:rPr>
                      <w:t>I</w:t>
                    </w:r>
                  </w:p>
                </w:tc>
                <w:tc>
                  <w:tcPr>
                    <w:tcW w:w="982" w:type="dxa"/>
                    <w:vMerge w:val="restart"/>
                    <w:tcBorders>
                      <w:top w:val="single" w:sz="4" w:space="0" w:color="auto"/>
                      <w:left w:val="single" w:sz="4" w:space="0" w:color="000000" w:themeColor="text1"/>
                      <w:bottom w:val="single" w:sz="4" w:space="0" w:color="auto"/>
                      <w:right w:val="single" w:sz="4" w:space="0" w:color="000000" w:themeColor="text1"/>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000000" w:themeColor="text1"/>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477</w:t>
                    </w: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rFonts w:eastAsia="Calibri"/>
                        <w:sz w:val="20"/>
                      </w:rPr>
                      <w:t xml:space="preserve">2021–2027 m. ES struktūrinių fondų </w:t>
                    </w:r>
                    <w:r>
                      <w:rPr>
                        <w:color w:val="000000"/>
                        <w:sz w:val="20"/>
                      </w:rPr>
                      <w:t>Europos socialinio fondo lėšos (ESF +, Sostinės regionas)</w:t>
                    </w:r>
                  </w:p>
                  <w:p>
                    <w:pPr>
                      <w:shd w:val="clear" w:color="000000" w:fill="auto"/>
                      <w:ind w:left="-57" w:right="-57"/>
                      <w:rPr>
                        <w:color w:val="000000"/>
                        <w:sz w:val="20"/>
                      </w:rPr>
                    </w:pPr>
                  </w:p>
                  <w:p>
                    <w:pPr>
                      <w:shd w:val="clear" w:color="000000" w:fill="auto"/>
                      <w:ind w:right="-57"/>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Mokinių, iš nepalankias sąlygas turinčių asmenų grupių, kuriems buvo skirta parama profesinio mokymo prieinamumui gerinti, dalis (proc.)</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4,0</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2023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 SADM, EIM, ŽŪM</w:t>
                    </w:r>
                  </w:p>
                </w:tc>
              </w:tr>
              <w:tr>
                <w:trPr>
                  <w:trHeight w:val="438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000000" w:themeColor="text1"/>
                    </w:tcBorders>
                    <w:vAlign w:val="center"/>
                    <w:hideMark/>
                  </w:tcPr>
                  <w:p>
                    <w:pPr>
                      <w:shd w:val="clear" w:color="000000" w:fill="auto"/>
                      <w:rPr>
                        <w:color w:val="000000"/>
                        <w:sz w:val="20"/>
                      </w:rPr>
                    </w:pPr>
                  </w:p>
                </w:tc>
                <w:tc>
                  <w:tcPr>
                    <w:tcW w:w="982" w:type="dxa"/>
                    <w:vMerge/>
                    <w:tcBorders>
                      <w:top w:val="single" w:sz="4" w:space="0" w:color="auto"/>
                      <w:left w:val="single" w:sz="4" w:space="0" w:color="000000" w:themeColor="text1"/>
                      <w:bottom w:val="single" w:sz="4" w:space="0" w:color="auto"/>
                      <w:right w:val="single" w:sz="4" w:space="0" w:color="000000" w:themeColor="text1"/>
                    </w:tcBorders>
                    <w:vAlign w:val="center"/>
                    <w:hideMark/>
                  </w:tcPr>
                  <w:p>
                    <w:pPr>
                      <w:shd w:val="clear" w:color="000000" w:fill="auto"/>
                      <w:rPr>
                        <w:color w:val="000000"/>
                        <w:sz w:val="20"/>
                      </w:rPr>
                    </w:pPr>
                  </w:p>
                </w:tc>
                <w:tc>
                  <w:tcPr>
                    <w:tcW w:w="764" w:type="dxa"/>
                    <w:vMerge/>
                    <w:tcBorders>
                      <w:top w:val="single" w:sz="4" w:space="0" w:color="auto"/>
                      <w:left w:val="single" w:sz="4" w:space="0" w:color="000000" w:themeColor="text1"/>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477</w:t>
                    </w:r>
                  </w:p>
                </w:tc>
                <w:tc>
                  <w:tcPr>
                    <w:tcW w:w="1247" w:type="dxa"/>
                    <w:gridSpan w:val="2"/>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bCs/>
                        <w:sz w:val="20"/>
                      </w:rPr>
                      <w:t>2021–2027 m. ES struktūrinių fondų bendrojo finansavimo lėšos (ESF+, Sostinės regionas)</w:t>
                    </w: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Mokiniai iš nepalankias sąlygas turinčių asmenų grupių, kuriems buvo skirta parama profesinio mokymo prieinamumui gerinti</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130</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546"/>
                </w:trPr>
                <w:tc>
                  <w:tcPr>
                    <w:tcW w:w="1509" w:type="dxa"/>
                    <w:vMerge w:val="restart"/>
                    <w:tcBorders>
                      <w:top w:val="single" w:sz="4" w:space="0" w:color="auto"/>
                      <w:left w:val="single" w:sz="4" w:space="0" w:color="auto"/>
                      <w:bottom w:val="single" w:sz="4" w:space="0" w:color="auto"/>
                      <w:right w:val="single" w:sz="4" w:space="0" w:color="auto"/>
                    </w:tcBorders>
                  </w:tcPr>
                  <w:p>
                    <w:pPr>
                      <w:shd w:val="clear" w:color="000000" w:fill="auto"/>
                      <w:rPr>
                        <w:lang w:eastAsia="lt-LT"/>
                      </w:rPr>
                    </w:pPr>
                    <w:r>
                      <w:rPr>
                        <w:color w:val="000000"/>
                        <w:sz w:val="20"/>
                      </w:rPr>
                      <w:t>6.2 Profesinio mokymo prieinamumo gerinimo parama, mokiniams iš nepalankias sąlygas turinčių asmenų grupių</w:t>
                    </w:r>
                    <w:r>
                      <w:rPr>
                        <w:lang w:eastAsia="lt-LT"/>
                      </w:rPr>
                      <w:t xml:space="preserve"> </w:t>
                    </w:r>
                    <w:r>
                      <w:rPr>
                        <w:sz w:val="20"/>
                        <w:lang w:eastAsia="lt-LT"/>
                      </w:rPr>
                      <w:t>Vidurio ir vakarų Lietuvos regione</w:t>
                    </w:r>
                  </w:p>
                  <w:p>
                    <w:pPr>
                      <w:shd w:val="clear" w:color="000000" w:fill="auto"/>
                      <w:ind w:left="-57" w:right="-57"/>
                      <w:rPr>
                        <w:color w:val="000000"/>
                        <w:sz w:val="20"/>
                      </w:rPr>
                    </w:pP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I</w:t>
                    </w:r>
                  </w:p>
                </w:tc>
                <w:tc>
                  <w:tcPr>
                    <w:tcW w:w="982" w:type="dxa"/>
                    <w:vMerge w:val="restart"/>
                    <w:tcBorders>
                      <w:top w:val="single" w:sz="4" w:space="0" w:color="auto"/>
                      <w:left w:val="single" w:sz="4" w:space="0" w:color="1E8BCD"/>
                      <w:bottom w:val="single" w:sz="4" w:space="0" w:color="auto"/>
                      <w:right w:val="single" w:sz="4" w:space="0" w:color="1E8BCD"/>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highlight w:val="yellow"/>
                      </w:rPr>
                    </w:pPr>
                    <w:r>
                      <w:rPr>
                        <w:color w:val="000000"/>
                        <w:sz w:val="20"/>
                      </w:rPr>
                      <w:t>4 020</w:t>
                    </w: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rPr>
                        <w:color w:val="000000"/>
                        <w:sz w:val="20"/>
                      </w:rPr>
                    </w:pPr>
                    <w:r>
                      <w:rPr>
                        <w:rFonts w:eastAsia="Calibri"/>
                        <w:sz w:val="20"/>
                      </w:rPr>
                      <w:t xml:space="preserve">2021–2027 m. ES struktūrinių fondų </w:t>
                    </w:r>
                    <w:r>
                      <w:rPr>
                        <w:color w:val="000000"/>
                        <w:sz w:val="20"/>
                      </w:rPr>
                      <w:t>Europos socialinio fondo lėšos (ESF +, VVL regionas)</w:t>
                    </w:r>
                  </w:p>
                  <w:p>
                    <w:pPr>
                      <w:shd w:val="clear" w:color="000000" w:fill="auto"/>
                      <w:rPr>
                        <w:color w:val="000000"/>
                        <w:sz w:val="20"/>
                        <w:highlight w:val="yellow"/>
                      </w:rPr>
                    </w:pPr>
                  </w:p>
                  <w:p>
                    <w:pPr>
                      <w:shd w:val="clear" w:color="000000" w:fill="auto"/>
                      <w:rPr>
                        <w:color w:val="000000"/>
                        <w:sz w:val="20"/>
                        <w:highlight w:val="yellow"/>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R – Mokinių, iš nepalankias sąlygas turinčių asmenų grupių, kuriems buvo skirta parama profesinio mokymo prieinamumui gerinti, dalis (proc.)</w:t>
                    </w:r>
                  </w:p>
                  <w:p>
                    <w:pPr>
                      <w:shd w:val="clear" w:color="000000" w:fill="auto"/>
                      <w:ind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4,0</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2023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 SADM, EIM, ŽŪM</w:t>
                    </w:r>
                  </w:p>
                </w:tc>
              </w:tr>
              <w:tr>
                <w:trPr>
                  <w:trHeight w:val="2471"/>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1E8BCD"/>
                      <w:bottom w:val="single" w:sz="4" w:space="0" w:color="auto"/>
                      <w:right w:val="single" w:sz="4" w:space="0" w:color="1E8BCD"/>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709</w:t>
                    </w:r>
                  </w:p>
                  <w:p>
                    <w:pPr>
                      <w:shd w:val="clear" w:color="000000" w:fill="auto"/>
                      <w:ind w:firstLine="115"/>
                      <w:rPr>
                        <w:lang w:eastAsia="lt-LT"/>
                      </w:rPr>
                    </w:pP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rPr>
                        <w:color w:val="000000"/>
                        <w:sz w:val="20"/>
                        <w:highlight w:val="yellow"/>
                      </w:rPr>
                    </w:pPr>
                    <w:r>
                      <w:rPr>
                        <w:bCs/>
                        <w:sz w:val="20"/>
                      </w:rPr>
                      <w:t xml:space="preserve">2021–2027 m. ES struktūrinių fondų bendrojo finansavimo lėšos (ESF+, </w:t>
                    </w:r>
                    <w:r>
                      <w:rPr>
                        <w:color w:val="000000"/>
                        <w:sz w:val="20"/>
                      </w:rPr>
                      <w:t>VVL</w:t>
                    </w:r>
                    <w:r>
                      <w:rPr>
                        <w:bCs/>
                        <w:sz w:val="20"/>
                      </w:rPr>
                      <w:t xml:space="preserve"> regionas)</w:t>
                    </w:r>
                  </w:p>
                  <w:p>
                    <w:pPr>
                      <w:shd w:val="clear" w:color="000000" w:fill="auto"/>
                      <w:rPr>
                        <w:rFonts w:eastAsia="Calibri"/>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P – Mokiniai iš nepalankias sąlygas turinčių asmenų grupių, kuriems buvo skirta parama profesinio mokymo prieinamumui gerinti</w:t>
                    </w: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660</w:t>
                    </w:r>
                  </w:p>
                  <w:p>
                    <w:pPr>
                      <w:shd w:val="clear" w:color="000000" w:fill="auto"/>
                      <w:ind w:left="-57" w:right="-57"/>
                      <w:jc w:val="center"/>
                      <w:rPr>
                        <w:color w:val="000000"/>
                        <w:sz w:val="20"/>
                      </w:rPr>
                    </w:pPr>
                  </w:p>
                  <w:p>
                    <w:pPr>
                      <w:shd w:val="clear" w:color="000000" w:fill="auto"/>
                      <w:ind w:right="-57"/>
                      <w:rPr>
                        <w:color w:val="000000"/>
                        <w:sz w:val="20"/>
                      </w:rPr>
                    </w:pP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063"/>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 xml:space="preserve">7. Investicijos į profesinio mokymo infrastruktūrą </w:t>
                    </w: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A, I</w:t>
                    </w:r>
                  </w:p>
                </w:tc>
                <w:tc>
                  <w:tcPr>
                    <w:tcW w:w="982" w:type="dxa"/>
                    <w:vMerge w:val="restart"/>
                    <w:tcBorders>
                      <w:top w:val="single" w:sz="4" w:space="0" w:color="1E8BCD"/>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 xml:space="preserve">33 033 </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rFonts w:eastAsia="Calibri"/>
                        <w:sz w:val="20"/>
                      </w:rPr>
                      <w:t xml:space="preserve">2021–2027 m. ES struktūrinių fondų </w:t>
                    </w:r>
                    <w:r>
                      <w:rPr>
                        <w:color w:val="000000"/>
                        <w:sz w:val="20"/>
                      </w:rPr>
                      <w:t>Europos regioninės plėtros fondo lėšos (ERPF; VVL regionas)</w:t>
                    </w: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R – Naujos arba modernizuotos švietimo infrastruktūros naudotojų skaičius per metus</w:t>
                    </w: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22 860</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2023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 SADM, EIM, ŽŪM</w:t>
                    </w:r>
                  </w:p>
                </w:tc>
              </w:tr>
              <w:tr>
                <w:trPr>
                  <w:trHeight w:val="155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1E8BCD"/>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shd w:val="clear" w:color="auto" w:fill="FFFFFF"/>
                      </w:rPr>
                      <w:t>P – Naujos arba modernizuotos švietimo infrastruktūros mokymo klasių talpumas </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bdr w:val="none" w:sz="0" w:space="0" w:color="auto" w:frame="1"/>
                      </w:rPr>
                      <w:t>28 575</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1323"/>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1E8BCD"/>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5 829</w:t>
                    </w: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bCs/>
                        <w:sz w:val="20"/>
                      </w:rPr>
                    </w:pPr>
                    <w:r>
                      <w:rPr>
                        <w:bCs/>
                        <w:sz w:val="20"/>
                      </w:rPr>
                      <w:t>2021–2027 m. ES struktūrinių fondų bendrojo finansavimo lėšos (ERPF, VVL regionas)</w:t>
                    </w:r>
                  </w:p>
                  <w:p>
                    <w:pPr>
                      <w:shd w:val="clear" w:color="000000" w:fill="auto"/>
                      <w:ind w:right="-57"/>
                      <w:rPr>
                        <w:bCs/>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P – Investicijų į profesinio mokymo infrastruktūrą poreikio analizė</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gridAfter w:val="1"/>
                  <w:wAfter w:w="13" w:type="dxa"/>
                  <w:trHeight w:val="215"/>
                </w:trPr>
                <w:tc>
                  <w:tcPr>
                    <w:tcW w:w="7797" w:type="dxa"/>
                    <w:gridSpan w:val="8"/>
                    <w:tcBorders>
                      <w:top w:val="single" w:sz="4" w:space="0" w:color="auto"/>
                      <w:left w:val="single" w:sz="4" w:space="0" w:color="auto"/>
                      <w:bottom w:val="single" w:sz="4" w:space="0" w:color="auto"/>
                      <w:right w:val="single" w:sz="4" w:space="0" w:color="auto"/>
                    </w:tcBorders>
                    <w:hideMark/>
                  </w:tcPr>
                  <w:p>
                    <w:pPr>
                      <w:shd w:val="clear" w:color="000000" w:fill="auto"/>
                      <w:ind w:left="6" w:firstLine="567"/>
                      <w:jc w:val="right"/>
                      <w:rPr>
                        <w:b/>
                        <w:sz w:val="18"/>
                        <w:szCs w:val="18"/>
                      </w:rPr>
                    </w:pPr>
                    <w:r>
                      <w:rPr>
                        <w:b/>
                        <w:sz w:val="18"/>
                        <w:szCs w:val="18"/>
                      </w:rPr>
                      <w:t>Iš viso</w:t>
                    </w:r>
                  </w:p>
                </w:tc>
                <w:tc>
                  <w:tcPr>
                    <w:tcW w:w="7229" w:type="dxa"/>
                    <w:gridSpan w:val="8"/>
                    <w:tcBorders>
                      <w:top w:val="single" w:sz="4" w:space="0" w:color="auto"/>
                      <w:left w:val="single" w:sz="4" w:space="0" w:color="auto"/>
                      <w:bottom w:val="single" w:sz="4" w:space="0" w:color="auto"/>
                      <w:right w:val="single" w:sz="4" w:space="0" w:color="auto"/>
                    </w:tcBorders>
                    <w:hideMark/>
                  </w:tcPr>
                  <w:p>
                    <w:pPr>
                      <w:shd w:val="clear" w:color="000000" w:fill="auto"/>
                      <w:rPr>
                        <w:b/>
                        <w:sz w:val="18"/>
                        <w:szCs w:val="18"/>
                      </w:rPr>
                    </w:pPr>
                    <w:r>
                      <w:rPr>
                        <w:b/>
                        <w:sz w:val="18"/>
                        <w:szCs w:val="18"/>
                      </w:rPr>
                      <w:t>83 855</w:t>
                    </w:r>
                  </w:p>
                </w:tc>
              </w:tr>
            </w:tbl>
            <w:p>
              <w:pPr>
                <w:shd w:val="clear" w:color="000000" w:fill="auto"/>
                <w:ind w:firstLine="567"/>
                <w:rPr>
                  <w:b/>
                  <w:sz w:val="18"/>
                  <w:szCs w:val="18"/>
                </w:rPr>
              </w:pPr>
            </w:p>
            <w:p>
              <w:pPr>
                <w:shd w:val="clear" w:color="000000" w:fill="auto"/>
                <w:ind w:firstLine="567"/>
                <w:rPr>
                  <w:b/>
                  <w:sz w:val="18"/>
                  <w:szCs w:val="18"/>
                </w:rPr>
              </w:pPr>
            </w:p>
            <w:sdt>
              <w:sdtPr>
                <w:alias w:val="poskyris"/>
                <w:tag w:val="part_a4684a2735fa4c7894938ec4dac11ce4"/>
                <w:lock w:val="sdtLocked"/>
                <w:richText/>
              </w:sdtPr>
              <w:sdtContent>
                <w:p>
                  <w:pPr>
                    <w:shd w:val="clear" w:color="000000" w:fill="auto"/>
                    <w:ind w:firstLine="567"/>
                    <w:rPr>
                      <w:b/>
                      <w:sz w:val="18"/>
                      <w:szCs w:val="18"/>
                    </w:rPr>
                  </w:pPr>
                  <w:sdt>
                    <w:sdtPr>
                      <w:alias w:val="Pavadinimas"/>
                      <w:tag w:val="title_a4684a2735fa4c7894938ec4dac11ce4"/>
                      <w:lock w:val="sdtLocked"/>
                      <w:richText/>
                    </w:sdtPr>
                    <w:sdtContent>
                      <w:r>
                        <w:rPr>
                          <w:b/>
                          <w:sz w:val="18"/>
                          <w:szCs w:val="18"/>
                        </w:rPr>
                        <w:t>Paaiškinimai:</w:t>
                      </w:r>
                    </w:sdtContent>
                  </w:sdt>
                </w:p>
                <w:sdt>
                  <w:sdtPr>
                    <w:alias w:val="1 p."/>
                    <w:tag w:val="part_46ea197a2fed4634b8a0f17324ee6c2f"/>
                    <w:lock w:val="sdtLocked"/>
                    <w:richText/>
                  </w:sdtPr>
                  <w:sdtContent>
                    <w:p>
                      <w:pPr>
                        <w:shd w:val="clear" w:color="000000" w:fill="auto"/>
                        <w:ind w:firstLine="1134"/>
                        <w:jc w:val="both"/>
                        <w:rPr>
                          <w:sz w:val="18"/>
                          <w:szCs w:val="18"/>
                        </w:rPr>
                      </w:pPr>
                      <w:sdt>
                        <w:sdtPr>
                          <w:alias w:val="Numeris"/>
                          <w:tag w:val="nr_46ea197a2fed4634b8a0f17324ee6c2f"/>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36cc6ba740784da08acd77359ef806a4"/>
                    <w:lock w:val="sdtLocked"/>
                    <w:richText/>
                  </w:sdtPr>
                  <w:sdtContent>
                    <w:p>
                      <w:pPr>
                        <w:shd w:val="clear" w:color="000000" w:fill="auto"/>
                        <w:ind w:firstLine="1134"/>
                        <w:jc w:val="both"/>
                        <w:rPr>
                          <w:sz w:val="18"/>
                          <w:szCs w:val="18"/>
                        </w:rPr>
                      </w:pPr>
                      <w:sdt>
                        <w:sdtPr>
                          <w:alias w:val="Numeris"/>
                          <w:tag w:val="nr_36cc6ba740784da08acd77359ef806a4"/>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w:t>
                      </w:r>
                    </w:p>
                  </w:sdtContent>
                </w:sdt>
                <w:sdt>
                  <w:sdtPr>
                    <w:alias w:val="3 p."/>
                    <w:tag w:val="part_305a9b5c816142389c889d6aab75cb2b"/>
                    <w:lock w:val="sdtLocked"/>
                    <w:richText/>
                  </w:sdtPr>
                  <w:sdtContent>
                    <w:p>
                      <w:pPr>
                        <w:shd w:val="clear" w:color="000000" w:fill="auto"/>
                        <w:ind w:firstLine="1134"/>
                        <w:jc w:val="both"/>
                        <w:rPr>
                          <w:sz w:val="18"/>
                          <w:szCs w:val="18"/>
                        </w:rPr>
                      </w:pPr>
                      <w:sdt>
                        <w:sdtPr>
                          <w:alias w:val="Numeris"/>
                          <w:tag w:val="nr_305a9b5c816142389c889d6aab75cb2b"/>
                          <w:lock w:val="sdtLocked"/>
                          <w:richText/>
                        </w:sdtPr>
                        <w:sdtContent>
                          <w:r>
                            <w:rPr>
                              <w:sz w:val="18"/>
                              <w:szCs w:val="18"/>
                            </w:rPr>
                            <w:t>3</w:t>
                          </w:r>
                        </w:sdtContent>
                      </w:sdt>
                      <w:r>
                        <w:rPr>
                          <w:sz w:val="18"/>
                          <w:szCs w:val="18"/>
                        </w:rPr>
                        <w:t>. 3, 4, 8–10, 14 skiltys nepildomos, kai vykdoma (-as) reguliacinė (-is) veikla (projektas) arba kai vykdoma (-as) analitinė (-is) veikla (projektas), kuriai (-iam) vykdyti naudojamos tęstinės veiklos lėšos.</w:t>
                      </w:r>
                    </w:p>
                  </w:sdtContent>
                </w:sdt>
                <w:sdt>
                  <w:sdtPr>
                    <w:alias w:val="4 p."/>
                    <w:tag w:val="part_a9fcc6936ac345328883bf71b04c9399"/>
                    <w:lock w:val="sdtLocked"/>
                    <w:richText/>
                  </w:sdtPr>
                  <w:sdtContent>
                    <w:p>
                      <w:pPr>
                        <w:shd w:val="clear" w:color="000000" w:fill="auto"/>
                        <w:ind w:firstLine="1134"/>
                        <w:jc w:val="both"/>
                        <w:rPr>
                          <w:sz w:val="18"/>
                          <w:szCs w:val="18"/>
                        </w:rPr>
                      </w:pPr>
                      <w:sdt>
                        <w:sdtPr>
                          <w:alias w:val="Numeris"/>
                          <w:tag w:val="nr_a9fcc6936ac345328883bf71b04c9399"/>
                          <w:lock w:val="sdtLocked"/>
                          <w:richText/>
                        </w:sdtPr>
                        <w:sdtContent>
                          <w:r>
                            <w:rPr>
                              <w:sz w:val="18"/>
                              <w:szCs w:val="18"/>
                            </w:rPr>
                            <w:t>4</w:t>
                          </w:r>
                        </w:sdtContent>
                      </w:sdt>
                      <w:r>
                        <w:rPr>
                          <w:sz w:val="18"/>
                          <w:szCs w:val="18"/>
                        </w:rPr>
                        <w:t>. 4 skiltyje nurodomi projektų atrankos būdai: P – planavimas, K – konkursas, Pj – planavimas, kai ketinama įgyvendinti jungtinį projektą.</w:t>
                      </w:r>
                    </w:p>
                  </w:sdtContent>
                </w:sdt>
                <w:sdt>
                  <w:sdtPr>
                    <w:alias w:val="5 p."/>
                    <w:tag w:val="part_24383752a1bf4061a4fd2e4b405a21e2"/>
                    <w:lock w:val="sdtLocked"/>
                    <w:richText/>
                  </w:sdtPr>
                  <w:sdtContent>
                    <w:p>
                      <w:pPr>
                        <w:shd w:val="clear" w:color="000000" w:fill="auto"/>
                        <w:ind w:firstLine="1134"/>
                        <w:jc w:val="both"/>
                        <w:rPr>
                          <w:sz w:val="18"/>
                          <w:szCs w:val="18"/>
                        </w:rPr>
                      </w:pPr>
                      <w:sdt>
                        <w:sdtPr>
                          <w:alias w:val="Numeris"/>
                          <w:tag w:val="nr_24383752a1bf4061a4fd2e4b405a21e2"/>
                          <w:lock w:val="sdtLocked"/>
                          <w:richText/>
                        </w:sdtPr>
                        <w:sdtContent>
                          <w:r>
                            <w:rPr>
                              <w:sz w:val="18"/>
                              <w:szCs w:val="18"/>
                            </w:rPr>
                            <w:t>5</w:t>
                          </w:r>
                        </w:sdtContent>
                      </w:sdt>
                      <w:r>
                        <w:rPr>
                          <w:sz w:val="18"/>
                          <w:szCs w:val="18"/>
                        </w:rPr>
                        <w:t>. 5 skiltyje valstybei svarbaus projekto požymis suteikiamas pagal Strateginio valdymo metodikoje nustatytus kriterijus.</w:t>
                      </w:r>
                    </w:p>
                  </w:sdtContent>
                </w:sdt>
                <w:sdt>
                  <w:sdtPr>
                    <w:alias w:val="6 p."/>
                    <w:tag w:val="part_3cf28bba70614bbf8b140eab1201fd91"/>
                    <w:lock w:val="sdtLocked"/>
                    <w:richText/>
                  </w:sdtPr>
                  <w:sdtContent>
                    <w:p>
                      <w:pPr>
                        <w:shd w:val="clear" w:color="000000" w:fill="auto"/>
                        <w:ind w:firstLine="1134"/>
                        <w:jc w:val="both"/>
                        <w:rPr>
                          <w:sz w:val="18"/>
                          <w:szCs w:val="18"/>
                        </w:rPr>
                      </w:pPr>
                      <w:sdt>
                        <w:sdtPr>
                          <w:alias w:val="Numeris"/>
                          <w:tag w:val="nr_3cf28bba70614bbf8b140eab1201fd91"/>
                          <w:lock w:val="sdtLocked"/>
                          <w:richText/>
                        </w:sdtPr>
                        <w:sdtContent>
                          <w:r>
                            <w:rPr>
                              <w:sz w:val="18"/>
                              <w:szCs w:val="18"/>
                            </w:rPr>
                            <w:t>6</w:t>
                          </w:r>
                        </w:sdtContent>
                      </w:sdt>
                      <w:r>
                        <w:rPr>
                          <w:sz w:val="18"/>
                          <w:szCs w:val="18"/>
                        </w:rPr>
                        <w:t>. 6 skiltyje pažymima, ar tiesiogiai bus prisidedama prie horizontaliųjų principų įgyvendinimo ir (ar) (bus) nurodomi konkretūs reikalavimai projektų finansavimo sąlygų apraše.</w:t>
                      </w:r>
                    </w:p>
                  </w:sdtContent>
                </w:sdt>
                <w:sdt>
                  <w:sdtPr>
                    <w:alias w:val="7 p."/>
                    <w:tag w:val="part_56c3896119f74b16bc9227ec3f9684fa"/>
                    <w:lock w:val="sdtLocked"/>
                    <w:richText/>
                  </w:sdtPr>
                  <w:sdtContent>
                    <w:p>
                      <w:pPr>
                        <w:shd w:val="clear" w:color="000000" w:fill="auto"/>
                        <w:ind w:firstLine="1134"/>
                        <w:jc w:val="both"/>
                        <w:rPr>
                          <w:sz w:val="18"/>
                          <w:szCs w:val="18"/>
                        </w:rPr>
                      </w:pPr>
                      <w:sdt>
                        <w:sdtPr>
                          <w:alias w:val="Numeris"/>
                          <w:tag w:val="nr_56c3896119f74b16bc9227ec3f9684fa"/>
                          <w:lock w:val="sdtLocked"/>
                          <w:richText/>
                        </w:sdtPr>
                        <w:sdtContent>
                          <w:r>
                            <w:rPr>
                              <w:sz w:val="18"/>
                              <w:szCs w:val="18"/>
                            </w:rPr>
                            <w:t>7</w:t>
                          </w:r>
                        </w:sdtContent>
                      </w:sdt>
                      <w:r>
                        <w:rPr>
                          <w:sz w:val="18"/>
                          <w:szCs w:val="18"/>
                        </w:rPr>
                        <w:t xml:space="preserve">. 7 skiltyje nurodoma, ar pagal veiklas numatoma teikti valstybės pagalbą (vadovaujantis išimtimis, pagal su Europos Komisija suderintą, derinamą ar planuojamą derinti schemą, taikant </w:t>
                      </w:r>
                      <w:r>
                        <w:rPr>
                          <w:i/>
                          <w:sz w:val="18"/>
                          <w:szCs w:val="18"/>
                        </w:rPr>
                        <w:t>de minimis</w:t>
                      </w:r>
                      <w:r>
                        <w:rPr>
                          <w:sz w:val="18"/>
                          <w:szCs w:val="18"/>
                        </w:rPr>
                        <w:t xml:space="preserve"> pagalbą).</w:t>
                      </w:r>
                    </w:p>
                  </w:sdtContent>
                </w:sdt>
                <w:sdt>
                  <w:sdtPr>
                    <w:alias w:val="8 p."/>
                    <w:tag w:val="part_79a50d661b7c49dda6dad5ff1dadb4d4"/>
                    <w:lock w:val="sdtLocked"/>
                    <w:richText/>
                  </w:sdtPr>
                  <w:sdtContent>
                    <w:p>
                      <w:pPr>
                        <w:shd w:val="clear" w:color="000000" w:fill="auto"/>
                        <w:ind w:firstLine="1134"/>
                        <w:jc w:val="both"/>
                        <w:rPr>
                          <w:sz w:val="18"/>
                          <w:szCs w:val="18"/>
                        </w:rPr>
                      </w:pPr>
                      <w:sdt>
                        <w:sdtPr>
                          <w:alias w:val="Numeris"/>
                          <w:tag w:val="nr_79a50d661b7c49dda6dad5ff1dadb4d4"/>
                          <w:lock w:val="sdtLocked"/>
                          <w:richText/>
                        </w:sdtPr>
                        <w:sdtContent>
                          <w:r>
                            <w:rPr>
                              <w:sz w:val="18"/>
                              <w:szCs w:val="18"/>
                            </w:rPr>
                            <w:t>8</w:t>
                          </w:r>
                        </w:sdtContent>
                      </w:sdt>
                      <w:r>
                        <w:rPr>
                          <w:sz w:val="18"/>
                          <w:szCs w:val="18"/>
                        </w:rPr>
                        <w:t>. 8 skiltyje nurodoma taikoma finansavimo forma: DS – dotacija taikant sąlygas, D – dotacija, FP – finansinė priemonė, A – apdovanojimai.</w:t>
                      </w:r>
                    </w:p>
                  </w:sdtContent>
                </w:sdt>
                <w:sdt>
                  <w:sdtPr>
                    <w:alias w:val="9 p."/>
                    <w:tag w:val="part_fc81fa8c13f54ddd88acd71be6dffb8f"/>
                    <w:lock w:val="sdtLocked"/>
                    <w:richText/>
                  </w:sdtPr>
                  <w:sdtContent>
                    <w:p>
                      <w:pPr>
                        <w:shd w:val="clear" w:color="000000" w:fill="auto"/>
                        <w:ind w:firstLine="1134"/>
                        <w:jc w:val="both"/>
                        <w:rPr>
                          <w:sz w:val="18"/>
                          <w:szCs w:val="18"/>
                        </w:rPr>
                      </w:pPr>
                      <w:sdt>
                        <w:sdtPr>
                          <w:alias w:val="Numeris"/>
                          <w:tag w:val="nr_fc81fa8c13f54ddd88acd71be6dffb8f"/>
                          <w:lock w:val="sdtLocked"/>
                          <w:richText/>
                        </w:sdtPr>
                        <w:sdtContent>
                          <w:r>
                            <w:rPr>
                              <w:sz w:val="18"/>
                              <w:szCs w:val="18"/>
                            </w:rPr>
                            <w:t>9</w:t>
                          </w:r>
                        </w:sdtContent>
                      </w:sdt>
                      <w:r>
                        <w:rPr>
                          <w:sz w:val="18"/>
                          <w:szCs w:val="18"/>
                        </w:rPr>
                        <w:t>. 9 skiltyje nurodoma konkretaus finansavimo šaltinio, nurodyto II skyriuje, dalis, tenkanti veiklai.</w:t>
                      </w:r>
                    </w:p>
                  </w:sdtContent>
                </w:sdt>
                <w:sdt>
                  <w:sdtPr>
                    <w:alias w:val="10 p."/>
                    <w:tag w:val="part_9d98e5402be34d37b7e6073943eb69c7"/>
                    <w:lock w:val="sdtLocked"/>
                    <w:richText/>
                  </w:sdtPr>
                  <w:sdtContent>
                    <w:p>
                      <w:pPr>
                        <w:shd w:val="clear" w:color="000000" w:fill="auto"/>
                        <w:ind w:firstLine="1134"/>
                        <w:jc w:val="both"/>
                        <w:rPr>
                          <w:iCs/>
                          <w:sz w:val="18"/>
                          <w:szCs w:val="18"/>
                        </w:rPr>
                      </w:pPr>
                      <w:sdt>
                        <w:sdtPr>
                          <w:alias w:val="Numeris"/>
                          <w:tag w:val="nr_9d98e5402be34d37b7e6073943eb69c7"/>
                          <w:lock w:val="sdtLocked"/>
                          <w:richText/>
                        </w:sdtPr>
                        <w:sdtContent>
                          <w:r>
                            <w:rPr>
                              <w:sz w:val="18"/>
                              <w:szCs w:val="18"/>
                            </w:rPr>
                            <w:t>10</w:t>
                          </w:r>
                        </w:sdtContent>
                      </w:sdt>
                      <w:r>
                        <w:rPr>
                          <w:sz w:val="18"/>
                          <w:szCs w:val="18"/>
                        </w:rPr>
                        <w:t xml:space="preserve">. 10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11 p."/>
                    <w:tag w:val="part_dbd9ab9ef2d44d4ca86b8d47572e3eb0"/>
                    <w:lock w:val="sdtLocked"/>
                    <w:richText/>
                  </w:sdtPr>
                  <w:sdtContent>
                    <w:p>
                      <w:pPr>
                        <w:shd w:val="clear" w:color="000000" w:fill="auto"/>
                        <w:ind w:firstLine="1134"/>
                        <w:jc w:val="both"/>
                        <w:rPr>
                          <w:sz w:val="18"/>
                          <w:szCs w:val="18"/>
                        </w:rPr>
                      </w:pPr>
                      <w:sdt>
                        <w:sdtPr>
                          <w:alias w:val="Numeris"/>
                          <w:tag w:val="nr_dbd9ab9ef2d44d4ca86b8d47572e3eb0"/>
                          <w:lock w:val="sdtLocked"/>
                          <w:richText/>
                        </w:sdtPr>
                        <w:sdtContent>
                          <w:r>
                            <w:rPr>
                              <w:iCs/>
                              <w:sz w:val="18"/>
                              <w:szCs w:val="18"/>
                            </w:rPr>
                            <w:t>11</w:t>
                          </w:r>
                        </w:sdtContent>
                      </w:sdt>
                      <w:r>
                        <w:rPr>
                          <w:iCs/>
                          <w:sz w:val="18"/>
                          <w:szCs w:val="18"/>
                        </w:rPr>
                        <w:t xml:space="preserve">. 11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2 p."/>
                    <w:tag w:val="part_f02b4a09453741ceb026de036a0bcf31"/>
                    <w:lock w:val="sdtLocked"/>
                    <w:richText/>
                  </w:sdtPr>
                  <w:sdtContent>
                    <w:p>
                      <w:pPr>
                        <w:shd w:val="clear" w:color="000000" w:fill="auto"/>
                        <w:ind w:firstLine="1134"/>
                        <w:jc w:val="both"/>
                        <w:rPr>
                          <w:sz w:val="18"/>
                          <w:szCs w:val="18"/>
                        </w:rPr>
                      </w:pPr>
                      <w:sdt>
                        <w:sdtPr>
                          <w:alias w:val="Numeris"/>
                          <w:tag w:val="nr_f02b4a09453741ceb026de036a0bcf31"/>
                          <w:lock w:val="sdtLocked"/>
                          <w:richText/>
                        </w:sdtPr>
                        <w:sdtContent>
                          <w:r>
                            <w:rPr>
                              <w:sz w:val="18"/>
                              <w:szCs w:val="18"/>
                            </w:rPr>
                            <w:t>12</w:t>
                          </w:r>
                        </w:sdtContent>
                      </w:sdt>
                      <w:r>
                        <w:rPr>
                          <w:sz w:val="18"/>
                          <w:szCs w:val="18"/>
                        </w:rPr>
                        <w:t>. 13 skiltyje nurodoma planuojama veiklos (poveiklės) kvietimo data, reguliacinės veiklos vykdymo pradžios data, projekto veiklų vykdymo pradžios data (jeigu ji žinoma).</w:t>
                      </w:r>
                    </w:p>
                  </w:sdtContent>
                </w:sdt>
                <w:sdt>
                  <w:sdtPr>
                    <w:alias w:val="13 p."/>
                    <w:tag w:val="part_5ff3b94bbc93426d94d9febce324337a"/>
                    <w:lock w:val="sdtLocked"/>
                    <w:richText/>
                  </w:sdtPr>
                  <w:sdtContent>
                    <w:p>
                      <w:pPr>
                        <w:shd w:val="clear" w:color="000000" w:fill="auto"/>
                        <w:ind w:firstLine="1134"/>
                        <w:jc w:val="both"/>
                        <w:rPr>
                          <w:sz w:val="18"/>
                          <w:szCs w:val="18"/>
                        </w:rPr>
                      </w:pPr>
                      <w:sdt>
                        <w:sdtPr>
                          <w:alias w:val="Numeris"/>
                          <w:tag w:val="nr_5ff3b94bbc93426d94d9febce324337a"/>
                          <w:lock w:val="sdtLocked"/>
                          <w:richText/>
                        </w:sdtPr>
                        <w:sdtContent>
                          <w:r>
                            <w:rPr>
                              <w:sz w:val="18"/>
                              <w:szCs w:val="18"/>
                            </w:rPr>
                            <w:t>13</w:t>
                          </w:r>
                        </w:sdtContent>
                      </w:sdt>
                      <w:r>
                        <w:rPr>
                          <w:sz w:val="18"/>
                          <w:szCs w:val="18"/>
                        </w:rPr>
                        <w:t>. 14 skiltyje nurodoma priemonės veiklas ar projektus administruojanti institucija.</w:t>
                      </w:r>
                    </w:p>
                  </w:sdtContent>
                </w:sdt>
                <w:sdt>
                  <w:sdtPr>
                    <w:alias w:val="14 p."/>
                    <w:tag w:val="part_fc1f7578a56e49e6988c2e4b70769901"/>
                    <w:lock w:val="sdtLocked"/>
                    <w:richText/>
                  </w:sdtPr>
                  <w:sdtContent>
                    <w:p>
                      <w:pPr>
                        <w:shd w:val="clear" w:color="000000" w:fill="auto"/>
                        <w:ind w:firstLine="1134"/>
                        <w:jc w:val="both"/>
                        <w:rPr>
                          <w:sz w:val="18"/>
                          <w:szCs w:val="18"/>
                        </w:rPr>
                      </w:pPr>
                      <w:sdt>
                        <w:sdtPr>
                          <w:alias w:val="Numeris"/>
                          <w:tag w:val="nr_fc1f7578a56e49e6988c2e4b70769901"/>
                          <w:lock w:val="sdtLocked"/>
                          <w:richText/>
                        </w:sdtPr>
                        <w:sdtContent>
                          <w:r>
                            <w:rPr>
                              <w:sz w:val="18"/>
                              <w:szCs w:val="18"/>
                            </w:rPr>
                            <w:t>14</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5 p."/>
                    <w:tag w:val="part_1368cef9b602438e890fb34f1a68a82b"/>
                    <w:lock w:val="sdtLocked"/>
                    <w:richText/>
                  </w:sdtPr>
                  <w:sdtContent>
                    <w:p>
                      <w:pPr>
                        <w:shd w:val="clear" w:color="000000" w:fill="auto"/>
                        <w:ind w:firstLine="1134"/>
                        <w:jc w:val="both"/>
                        <w:rPr>
                          <w:sz w:val="18"/>
                          <w:szCs w:val="18"/>
                        </w:rPr>
                      </w:pPr>
                      <w:sdt>
                        <w:sdtPr>
                          <w:alias w:val="Numeris"/>
                          <w:tag w:val="nr_1368cef9b602438e890fb34f1a68a82b"/>
                          <w:lock w:val="sdtLocked"/>
                          <w:richText/>
                        </w:sdtPr>
                        <w:sdtContent>
                          <w:r>
                            <w:rPr>
                              <w:sz w:val="18"/>
                              <w:szCs w:val="18"/>
                            </w:rPr>
                            <w:t>15</w:t>
                          </w:r>
                        </w:sdtContent>
                      </w:sdt>
                      <w:r>
                        <w:rPr>
                          <w:sz w:val="18"/>
                          <w:szCs w:val="18"/>
                        </w:rPr>
                        <w:t>. 1.1.1 papunktyje nurodomi numatomi įgyvendinti projektai, dėl kurių finansavimo sprendimas bus priimtas tik atlikus projektų vertinimą. Jeigu projektai bus atrenkami konkurso būdu, projektai nenurodomi.</w:t>
                      </w:r>
                    </w:p>
                    <w:p>
                      <w:pPr>
                        <w:shd w:val="clear" w:color="000000" w:fill="auto"/>
                        <w:ind w:firstLine="1134"/>
                        <w:jc w:val="both"/>
                        <w:rPr>
                          <w:sz w:val="18"/>
                          <w:szCs w:val="18"/>
                        </w:rPr>
                      </w:pPr>
                    </w:p>
                    <w:p>
                      <w:pPr>
                        <w:shd w:val="clear" w:color="000000" w:fill="auto"/>
                        <w:ind w:firstLine="567"/>
                        <w:rPr>
                          <w:sz w:val="18"/>
                          <w:szCs w:val="18"/>
                        </w:rPr>
                      </w:pPr>
                      <w:r>
                        <w:rPr>
                          <w:b/>
                          <w:sz w:val="18"/>
                          <w:szCs w:val="18"/>
                        </w:rPr>
                        <w:t>Pastaba.</w:t>
                      </w:r>
                      <w:r>
                        <w:rPr>
                          <w:sz w:val="18"/>
                          <w:szCs w:val="18"/>
                        </w:rPr>
                        <w:t xml:space="preserve"> Pasviruoju šriftu ir pilka spalva pažymėtas tekstas pildant formą ištrinamas.</w:t>
                      </w:r>
                    </w:p>
                  </w:sdtContent>
                </w:sdt>
              </w:sdtContent>
            </w:sdt>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3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4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5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priedo 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priedo 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89770343211edb4cae1b158f98ea5">
            <w:r w:rsidRPr="00532B9F">
              <w:rPr>
                <w:rFonts w:ascii="Times New Roman" w:eastAsia="MS Mincho" w:hAnsi="Times New Roman"/>
                <w:sz w:val="20"/>
                <w:iCs/>
                <w:color w:val="0000FF" w:themeColor="hyperlink"/>
                <w:u w:val="single"/>
              </w:rPr>
              <w:t>V-1433</w:t>
            </w:r>
          </w:fldSimple>
          <w:r>
            <w:rPr>
              <w:rFonts w:ascii="Times New Roman" w:eastAsia="MS Mincho" w:hAnsi="Times New Roman"/>
              <w:sz w:val="20"/>
              <w:iCs/>
            </w:rPr>
            <w:t>,
2022-09-14,
paskelbta TAR 2022-09-14, i. k. 2022-18847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5105006c8a11edbc04912defe897d1">
            <w:r w:rsidRPr="00532B9F">
              <w:rPr>
                <w:rFonts w:ascii="Times New Roman" w:eastAsia="MS Mincho" w:hAnsi="Times New Roman"/>
                <w:sz w:val="20"/>
                <w:iCs/>
                <w:color w:val="0000FF" w:themeColor="hyperlink"/>
                <w:u w:val="single"/>
              </w:rPr>
              <w:t>V-1864</w:t>
            </w:r>
          </w:fldSimple>
          <w:r>
            <w:rPr>
              <w:rFonts w:ascii="Times New Roman" w:eastAsia="MS Mincho" w:hAnsi="Times New Roman"/>
              <w:sz w:val="20"/>
              <w:iCs/>
            </w:rPr>
            <w:t>,
2022-11-25,
paskelbta TAR 2022-11-25, i. k. 2022-23847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134" w:bottom="567" w:left="1134" w:header="289" w:footer="720" w:gutter="0"/>
      <w:cols w:space="720"/>
      <w:noEndnote/>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 w:id="1">
    <w:p>
      <w:pPr>
        <w:rPr>
          <w:sz w:val="20"/>
        </w:rPr>
      </w:pPr>
      <w:r>
        <w:rPr>
          <w:sz w:val="20"/>
          <w:vertAlign w:val="superscript"/>
        </w:rPr>
        <w:footnoteRef/>
      </w:r>
      <w:r>
        <w:rPr>
          <w:sz w:val="20"/>
        </w:rPr>
        <w:t xml:space="preserve"> TA – tęstinė atranka.</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13.xml"/>
  <Relationship Id="rId2" Type="http://schemas.openxmlformats.org/officeDocument/2006/relationships/header" Target="header5.xml"/>
  <Relationship Id="rId20" Type="http://schemas.openxmlformats.org/officeDocument/2006/relationships/header" Target="header14.xml"/>
  <Relationship Id="rId21" Type="http://schemas.openxmlformats.org/officeDocument/2006/relationships/footer" Target="footer13.xml"/>
  <Relationship Id="rId22" Type="http://schemas.openxmlformats.org/officeDocument/2006/relationships/footer" Target="footer14.xml"/>
  <Relationship Id="rId23" Type="http://schemas.openxmlformats.org/officeDocument/2006/relationships/header" Target="header15.xml"/>
  <Relationship Id="rId24" Type="http://schemas.openxmlformats.org/officeDocument/2006/relationships/footer" Target="footer15.xml"/>
  <Relationship Id="rId25" Type="http://schemas.openxmlformats.org/officeDocument/2006/relationships/customXml" Target="../customXml/item4.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3fd4aacb01454f39903998fc5ef8452f" PartId="05164fa85fe0449caf5cb2eb01a6a2e3">
    <Part Type="preambule" DocPartId="94c6c72caefe434692251fca73e5ef72" PartId="8ccc40fe317e4a778407aafe19756488"/>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5049077e6d084b55bb805365f191f733">
    <Part Type="skyrius" Nr="1" Title="PLĖTROS PROGRAMOS PAŽANGOS PRIEMONĖS SIEKIAMI REZULTATAI" DocPartId="48d6ae0a714a4c43b646ee2ae1401245" PartId="66e0507eed9c4648937dbe2b2bf92f4f">
      <Part Type="poskyris" Title="Paaiškinimai:" DocPartId="275bbb64b3964ca19e7e08351d2d5781" PartId="eb6da35d86994d59a65e7a0bfed20cf2">
        <Part Type="punktas" Nr="1" Abbr="1 p." DocPartId="c416fd9305bc403b8f7f13dff4896dc5" PartId="f4683b15e8bb43cfbe34147be6ddd1c8"/>
        <Part Type="punktas" Nr="2" Abbr="2 p." DocPartId="7c3633dd48244e82a7f30d2a672fe3d7" PartId="b738f48b84c34f49896e1e8b8f3d8d3a"/>
        <Part Type="punktas" Nr="3" Abbr="3 p." DocPartId="acc3546531664cfcbb666fbe66b70f65" PartId="058a13e003b44f3894658f18a8413ca6"/>
        <Part Type="punktas" Nr="4" Abbr="4 p." DocPartId="4e32a8d44e674d93bda1c2ef7ded06bf" PartId="a4cea886573f4471a3b95d3dee5195a6"/>
        <Part Type="punktas" Nr="5" Abbr="5 p." DocPartId="846480996d2746cabdc3cbfc2f0f5c6d" PartId="274288cc28a343d0a250ecd19b4e476c"/>
      </Part>
    </Part>
    <Part Type="skyrius" Nr="2" Title="PLĖTROS PROGRAMOS PAŽANGOS PRIEMONĖS FINANSAVIMO ŠALTINIAI" DocPartId="a0355a005a7e4a72a0dbc7d66836bca8" PartId="052a44996adb4fdb90e514025ffa9489">
      <Part Type="poskyris" Title="Paaiškinimai:" DocPartId="e0110f00a05346daa709efe19213ea37" PartId="2e5aabde538c4a76b118e98a98e0910d">
        <Part Type="punktas" Nr="1" Abbr="1 p." DocPartId="9b9f43a0d4424b9481c89652a13b4759" PartId="8f5dda9ebea84270ac0b61ebe00d0685"/>
        <Part Type="punktas" Nr="2" Abbr="2 p." DocPartId="13658a8298264a48b9b32672d52d891b" PartId="86d0fed8b6f34aab851a36df4d7f5a32"/>
        <Part Type="punktas" Nr="3" Abbr="3 p." DocPartId="b5c4eed4866d4f97b0faad7db0950fec" PartId="a6ca3671466f4521be6b5c26139972b6"/>
      </Part>
    </Part>
    <Part Type="skyrius" Nr="3" Title="PLĖTROS PROGRAMOS PAŽANGOS PRIEMONĖS VEIKLŲ SUVESTINĖ" DocPartId="6d47f64dbc8943e18de9f70910bdf082" PartId="1f88841e94034a388dd0c0ef201d6a3b">
      <Part Type="poskyris" Title="Paaiškinimai:" DocPartId="cd0d20aef6c04956b621d7f3fe2bb3d5" PartId="a4684a2735fa4c7894938ec4dac11ce4">
        <Part Type="punktas" Nr="1" Abbr="1 p." DocPartId="2a884193be5a4e9da707b0eee6400e8f" PartId="46ea197a2fed4634b8a0f17324ee6c2f"/>
        <Part Type="punktas" Nr="2" Abbr="2 p." DocPartId="ced34a15213b47f8996a83e16607debb" PartId="36cc6ba740784da08acd77359ef806a4"/>
        <Part Type="punktas" Nr="3" Abbr="3 p." DocPartId="4bcd8885d7f74e13a66d9eb9fe8b1334" PartId="305a9b5c816142389c889d6aab75cb2b"/>
        <Part Type="punktas" Nr="4" Abbr="4 p." DocPartId="262d9a4a19f74d80b86a06b053564be8" PartId="a9fcc6936ac345328883bf71b04c9399"/>
        <Part Type="punktas" Nr="5" Abbr="5 p." DocPartId="38165b10b6144d2f8ba9d53b2511cab6" PartId="24383752a1bf4061a4fd2e4b405a21e2"/>
        <Part Type="punktas" Nr="6" Abbr="6 p." DocPartId="f842416b6efa41fa8620e656545469c4" PartId="3cf28bba70614bbf8b140eab1201fd91"/>
        <Part Type="punktas" Nr="7" Abbr="7 p." DocPartId="fc1c1bd4c1254f61986de52d94a88a80" PartId="56c3896119f74b16bc9227ec3f9684fa"/>
        <Part Type="punktas" Nr="8" Abbr="8 p." DocPartId="9425be0535a8423190abf5f464f9d4a8" PartId="79a50d661b7c49dda6dad5ff1dadb4d4"/>
        <Part Type="punktas" Nr="9" Abbr="9 p." DocPartId="538424ac986742b4a8bcbb150af13fb2" PartId="fc81fa8c13f54ddd88acd71be6dffb8f"/>
        <Part Type="punktas" Nr="10" Abbr="10 p." DocPartId="5954d0b2993148c1b6137a0ed6bab48f" PartId="9d98e5402be34d37b7e6073943eb69c7"/>
        <Part Type="punktas" Nr="11" Abbr="11 p." DocPartId="55a721c172ee409fbe0256db162c99e4" PartId="dbd9ab9ef2d44d4ca86b8d47572e3eb0"/>
        <Part Type="punktas" Nr="12" Abbr="12 p." DocPartId="93b3a984ab2c429d80793989d0ac435d" PartId="f02b4a09453741ceb026de036a0bcf31"/>
        <Part Type="punktas" Nr="13" Abbr="13 p." DocPartId="94ebd0eb104842188cad37ee16180dbf" PartId="5ff3b94bbc93426d94d9febce324337a"/>
        <Part Type="punktas" Nr="14" Abbr="14 p." DocPartId="3edf16c5dac74d72a632d35a60de8879" PartId="fc1f7578a56e49e6988c2e4b70769901"/>
        <Part Type="punktas" Nr="15" Abbr="15 p." DocPartId="30444c302e8040bd909c74d337332ae2" PartId="1368cef9b602438e890fb34f1a68a82b"/>
      </Part>
    </Part>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4.xml><?xml version="1.0" encoding="utf-8"?>
<ds:datastoreItem xmlns:ds="http://schemas.openxmlformats.org/officeDocument/2006/customXml" ds:itemID="{B8343AE0-E3FD-456D-943D-378F98BB6E98}">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1CBC539A-8ADD-4705-A2D5-F20377A1D85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TotalTime>
  <Pages>17</Pages>
  <Words>3314</Words>
  <Characters>22900</Characters>
  <Application>Microsoft Office Word</Application>
  <DocSecurity>0</DocSecurity>
  <Lines>190</Lines>
  <Paragraphs>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26162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DRAZDAUSKIENĖ Nijolė</lastModifiedBy>
  <lastPrinted>2010-02-18T07:54:00Z</lastPrinted>
  <dcterms:modified xsi:type="dcterms:W3CDTF">2022-11-29T11:34:00Z</dcterms:modified>
  <revision>7</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