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2023-11-09 iki 2024-02-28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59d323bebd1346a1b976839cf41e668b"/>
        <w:lock w:val="sdtLocked"/>
        <w:richText/>
      </w:sdtPr>
      <w:sdtContent>
        <w:p>
          <w:pPr>
            <w:shd w:val="clear" w:color="000000" w:fill="auto"/>
            <w:ind w:left="7088"/>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59d323bebd1346a1b976839cf41e668b"/>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031c796d14eb419a90466da94500014e"/>
            <w:lock w:val="sdtLocked"/>
            <w:richText/>
          </w:sdtPr>
          <w:sdtContent>
            <w:p>
              <w:pPr>
                <w:tabs>
                  <w:tab w:val="left" w:pos="1985"/>
                </w:tabs>
                <w:jc w:val="center"/>
                <w:rPr>
                  <w:b/>
                  <w:bCs/>
                  <w:szCs w:val="24"/>
                </w:rPr>
              </w:pPr>
              <w:sdt>
                <w:sdtPr>
                  <w:alias w:val="Numeris"/>
                  <w:tag w:val="nr_031c796d14eb419a90466da94500014e"/>
                  <w:lock w:val="sdtLocked"/>
                  <w:richText/>
                </w:sdtPr>
                <w:sdtContent>
                  <w:r>
                    <w:rPr>
                      <w:b/>
                      <w:bCs/>
                      <w:szCs w:val="24"/>
                    </w:rPr>
                    <w:t>I</w:t>
                  </w:r>
                </w:sdtContent>
              </w:sdt>
              <w:r>
                <w:rPr>
                  <w:b/>
                  <w:bCs/>
                  <w:szCs w:val="24"/>
                </w:rPr>
                <w:t xml:space="preserve"> SKYRIUS</w:t>
              </w:r>
            </w:p>
            <w:p>
              <w:pPr>
                <w:jc w:val="center"/>
                <w:rPr>
                  <w:b/>
                  <w:bCs/>
                  <w:lang w:eastAsia="lt-LT"/>
                </w:rPr>
              </w:pPr>
              <w:r>
                <w:rPr>
                  <w:b/>
                  <w:bCs/>
                  <w:lang w:eastAsia="lt-LT"/>
                </w:rPr>
                <w:t>PLĖTROS PROGRAMOS PAŽANGOS PRIEMONĖS SIEKIAMI REZULTATA</w:t>
              </w:r>
              <w:r>
                <w:t>I</w:t>
              </w:r>
            </w:p>
            <w:p>
              <w:pP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6"/>
                <w:gridCol w:w="1415"/>
                <w:gridCol w:w="2839"/>
                <w:gridCol w:w="1010"/>
                <w:gridCol w:w="1619"/>
                <w:gridCol w:w="1619"/>
                <w:gridCol w:w="1415"/>
                <w:gridCol w:w="2626"/>
              </w:tblGrid>
              <w:tr>
                <w:trPr>
                  <w:trHeight w:val="348"/>
                </w:trPr>
                <w:tc>
                  <w:tcPr>
                    <w:tcW w:w="69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Rodiklio kodas</w:t>
                    </w:r>
                  </w:p>
                </w:tc>
                <w:tc>
                  <w:tcPr>
                    <w:tcW w:w="48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Rodiklio tipas (rezultato / produkto)</w:t>
                    </w:r>
                  </w:p>
                </w:tc>
                <w:tc>
                  <w:tcPr>
                    <w:tcW w:w="97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Rodiklio pavadinimas</w:t>
                    </w:r>
                  </w:p>
                </w:tc>
                <w:tc>
                  <w:tcPr>
                    <w:tcW w:w="34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Matavimo vienetas</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Pradinė rodiklio reikšmė (metai)</w:t>
                    </w:r>
                  </w:p>
                </w:tc>
                <w:tc>
                  <w:tcPr>
                    <w:tcW w:w="1042" w:type="pct"/>
                    <w:gridSpan w:val="2"/>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Siektinos rodiklio reikšmės</w:t>
                    </w:r>
                  </w:p>
                </w:tc>
                <w:tc>
                  <w:tcPr>
                    <w:tcW w:w="90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Finansavimo šaltinis</w:t>
                    </w:r>
                  </w:p>
                </w:tc>
              </w:tr>
              <w:tr>
                <w:trPr>
                  <w:trHeight w:val="667"/>
                </w:trPr>
                <w:tc>
                  <w:tcPr>
                    <w:tcW w:w="692"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48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975"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347"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55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Tarpinė reikšmė 2025 m.</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Galutinė reikšmė</w:t>
                    </w:r>
                  </w:p>
                  <w:p>
                    <w:pPr>
                      <w:jc w:val="center"/>
                      <w:rPr>
                        <w:b/>
                        <w:sz w:val="18"/>
                        <w:szCs w:val="18"/>
                      </w:rPr>
                    </w:pPr>
                    <w:r>
                      <w:rPr>
                        <w:b/>
                        <w:sz w:val="18"/>
                        <w:szCs w:val="18"/>
                      </w:rPr>
                      <w:t xml:space="preserve">2030 m. </w:t>
                    </w:r>
                  </w:p>
                </w:tc>
                <w:tc>
                  <w:tcPr>
                    <w:tcW w:w="903"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r>
              <w:tr>
                <w:trPr>
                  <w:trHeight w:val="193"/>
                </w:trPr>
                <w:tc>
                  <w:tcPr>
                    <w:tcW w:w="692"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1</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2</w:t>
                    </w:r>
                  </w:p>
                </w:tc>
                <w:tc>
                  <w:tcPr>
                    <w:tcW w:w="975"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3</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4</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5</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6</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7</w:t>
                    </w:r>
                  </w:p>
                </w:tc>
                <w:tc>
                  <w:tcPr>
                    <w:tcW w:w="903"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8</w:t>
                    </w:r>
                  </w:p>
                </w:tc>
              </w:tr>
              <w:tr>
                <w:trPr>
                  <w:trHeight w:val="75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R-12-003-03-04-03-01</w:t>
                    </w:r>
                  </w:p>
                  <w:p>
                    <w:pPr>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color w:val="000000"/>
                        <w:sz w:val="20"/>
                      </w:rPr>
                      <w:t>Rezultato</w:t>
                    </w:r>
                    <w:r>
                      <w:rPr>
                        <w:lang w:eastAsia="lt-LT"/>
                      </w:rPr>
                      <w:t xml:space="preserve"> </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rPr>
                    </w:pPr>
                    <w:r>
                      <w:rPr>
                        <w:sz w:val="20"/>
                        <w:lang w:eastAsia="lt-LT"/>
                      </w:rPr>
                      <w:t>Nepalankias sąlygas turinčių asmenų grupių mokinių, kuriems buvo skirta parama profesinio mokymo prieinamumui gerinti, dalis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spacing w:line="276" w:lineRule="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4</w:t>
                    </w:r>
                  </w:p>
                  <w:p>
                    <w:pPr>
                      <w:spacing w:line="276" w:lineRule="auto"/>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2021–2027 m. Europos Sąjungos (toliau – ES) fondų ir bendrojo finansavimo lėšos (ESF+)</w:t>
                    </w:r>
                  </w:p>
                </w:tc>
              </w:tr>
              <w:tr>
                <w:trPr>
                  <w:trHeight w:val="1026"/>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color w:val="232323"/>
                        <w:sz w:val="20"/>
                      </w:rPr>
                      <w:t xml:space="preserve">Profesinio mokymo įstaigų, organizuojančių profesinio mokymo programas pameistrystės forma, dalis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47</w:t>
                    </w:r>
                  </w:p>
                  <w:p>
                    <w:pPr>
                      <w:spacing w:line="276" w:lineRule="auto"/>
                      <w:jc w:val="center"/>
                      <w:rPr>
                        <w:sz w:val="20"/>
                      </w:rPr>
                    </w:pPr>
                    <w:r>
                      <w:rPr>
                        <w:sz w:val="20"/>
                      </w:rPr>
                      <w:t>(2019)</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65</w:t>
                    </w:r>
                  </w:p>
                  <w:p>
                    <w:pPr>
                      <w:spacing w:line="276" w:lineRule="auto"/>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100</w:t>
                    </w:r>
                  </w:p>
                  <w:p>
                    <w:pPr>
                      <w:jc w:val="center"/>
                      <w:rPr>
                        <w:color w:val="000000"/>
                        <w:sz w:val="20"/>
                      </w:rPr>
                    </w:pPr>
                    <w:r>
                      <w:rPr>
                        <w:color w:val="000000"/>
                        <w:sz w:val="20"/>
                      </w:rPr>
                      <w:t>(2026 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R-12-003-03-04-03-03</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 xml:space="preserve">Mokinių, kurie mokosi pagal pagrindinio ir vidurinio ugdymo programas bendrojo ugdymo mokyklose ir yra baigę pirminio profesinio mokymo programos modulius, skaičiaus padidėjimas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spacing w:line="276" w:lineRule="auto"/>
                      <w:jc w:val="center"/>
                      <w:rPr>
                        <w:sz w:val="20"/>
                      </w:rPr>
                    </w:pPr>
                    <w:r>
                      <w:rPr>
                        <w:sz w:val="20"/>
                      </w:rPr>
                      <w:t>(2020)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1 500 (2024</w:t>
                    </w:r>
                  </w:p>
                  <w:p>
                    <w:pPr>
                      <w:spacing w:line="276" w:lineRule="auto"/>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 w:val="20"/>
                      </w:rPr>
                    </w:pPr>
                    <w:r>
                      <w:rPr>
                        <w:color w:val="000000"/>
                        <w:sz w:val="20"/>
                      </w:rPr>
                      <w:t>4 900</w:t>
                    </w:r>
                  </w:p>
                  <w:p>
                    <w:pPr>
                      <w:jc w:val="center"/>
                      <w:rPr>
                        <w:color w:val="000000"/>
                        <w:sz w:val="20"/>
                      </w:rPr>
                    </w:pPr>
                    <w:r>
                      <w:rPr>
                        <w:color w:val="000000"/>
                        <w:sz w:val="20"/>
                      </w:rPr>
                      <w:t xml:space="preserve">(2026 </w:t>
                    </w:r>
                  </w:p>
                  <w:p>
                    <w:pPr>
                      <w:jc w:val="center"/>
                      <w:rPr>
                        <w:color w:val="000000"/>
                        <w:sz w:val="20"/>
                      </w:rPr>
                    </w:pPr>
                    <w:r>
                      <w:rPr>
                        <w:color w:val="000000"/>
                        <w:sz w:val="20"/>
                      </w:rPr>
                      <w:t>II ketv.)</w:t>
                    </w:r>
                  </w:p>
                  <w:p>
                    <w:pPr>
                      <w:spacing w:line="276" w:lineRule="auto"/>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R-12-003-03-04-03-04</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Naujos arba modernizuotos švietimo infrastruktūros naudotojų skaičius per metus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 xml:space="preserve">0 </w:t>
                    </w:r>
                  </w:p>
                  <w:p>
                    <w:pPr>
                      <w:jc w:val="center"/>
                      <w:rPr>
                        <w:color w:val="000000"/>
                        <w:sz w:val="20"/>
                      </w:rPr>
                    </w:pPr>
                    <w:r>
                      <w:rPr>
                        <w:color w:val="000000"/>
                        <w:sz w:val="20"/>
                      </w:rPr>
                      <w:t xml:space="preserve">(2021) </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 xml:space="preserve">22 860 (2029) </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rFonts w:eastAsia="Calibri"/>
                        <w:sz w:val="20"/>
                      </w:rPr>
                      <w:t xml:space="preserve">2021–2027 m. ES fondų ir bendrojo finansavimo lėšos </w:t>
                    </w:r>
                    <w:r>
                      <w:rPr>
                        <w:sz w:val="20"/>
                      </w:rPr>
                      <w:t>(ERPF)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P-12-003-03-04-03-05</w:t>
                    </w:r>
                  </w:p>
                  <w:p>
                    <w:pPr>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lang w:eastAsia="lt-LT"/>
                      </w:rPr>
                    </w:pPr>
                    <w:r>
                      <w:rPr>
                        <w:sz w:val="20"/>
                        <w:lang w:eastAsia="lt-LT"/>
                      </w:rPr>
                      <w:t>Nepalankias sąlygas turinčių asmenų grupių mokiniai, kuriems buvo skirta parama profesinio mokymo prieinamumui gerinti</w:t>
                    </w:r>
                  </w:p>
                  <w:p>
                    <w:pPr>
                      <w:spacing w:line="276" w:lineRule="auto"/>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120 (2024)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790 </w:t>
                    </w:r>
                  </w:p>
                  <w:p>
                    <w:pPr>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sz w:val="20"/>
                      </w:rPr>
                    </w:pPr>
                    <w:r>
                      <w:rPr>
                        <w:rFonts w:eastAsia="Calibri"/>
                        <w:sz w:val="20"/>
                      </w:rPr>
                      <w:t>2021–2027 m. ES fondų ir bendrojo finansavimo lėšos (ESF+)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P-12-003-03-04-03-06</w:t>
                    </w:r>
                  </w:p>
                  <w:p>
                    <w:pPr>
                      <w:spacing w:line="276" w:lineRule="auto"/>
                      <w:rPr>
                        <w:color w:val="000000"/>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Naujos arba modernizuotos švietimo infrastruktūros mokymo klasių talpumas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56" w:lineRule="auto"/>
                      <w:jc w:val="center"/>
                      <w:rPr>
                        <w:sz w:val="20"/>
                      </w:rPr>
                    </w:pPr>
                    <w:r>
                      <w:rPr>
                        <w:sz w:val="20"/>
                      </w:rPr>
                      <w:t>0</w:t>
                    </w:r>
                  </w:p>
                  <w:p>
                    <w:pPr>
                      <w:jc w:val="center"/>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28 575</w:t>
                    </w:r>
                  </w:p>
                  <w:p>
                    <w:pPr>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rFonts w:eastAsia="Calibri"/>
                        <w:sz w:val="20"/>
                      </w:rPr>
                      <w:t xml:space="preserve">2021–2027 m. ES fondų ir bendrojo finansavimo lėšos </w:t>
                    </w:r>
                    <w:r>
                      <w:rPr>
                        <w:sz w:val="20"/>
                      </w:rPr>
                      <w:t>(ERPF)</w:t>
                    </w:r>
                  </w:p>
                </w:tc>
              </w:tr>
              <w:tr>
                <w:trPr>
                  <w:trHeight w:val="972"/>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highlight w:val="green"/>
                      </w:rPr>
                    </w:pPr>
                    <w:r>
                      <w:rPr>
                        <w:sz w:val="20"/>
                      </w:rPr>
                      <w:t>P-12-003-03-04-03-07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rPr>
                    </w:pPr>
                    <w:r>
                      <w:rPr>
                        <w:sz w:val="20"/>
                      </w:rPr>
                      <w:t>Paskelbtas teisės akto dėl Nacionalinės profesinio mokymo pažangos platformos steigimo projektas konsultacijoms su socialiniais partneriais ir suinteresuotosiomis šalimis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P-12-003-03-04-03-08</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Nacionalinės profesinio mokymo pažangos platformos sukūrimą patvirtinančių teisės aktų įsigaliojimas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P-12-003-03-04-03-09</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lang w:eastAsia="nl-BE"/>
                      </w:rPr>
                    </w:pPr>
                    <w:r>
                      <w:rPr>
                        <w:sz w:val="20"/>
                        <w:lang w:eastAsia="nl-BE"/>
                      </w:rPr>
                      <w:t>Poreikių atnaujinti arba parengti naujas mokymo programas nustatymas, konsultuojantis su socialiniais partneriais</w:t>
                    </w:r>
                  </w:p>
                  <w:p>
                    <w:pPr>
                      <w:jc w:val="both"/>
                      <w:rPr>
                        <w:sz w:val="20"/>
                        <w:lang w:eastAsia="nl-BE"/>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(2023</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P-12-003-03-04-03-10</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Užregistruotos naujos ar atnaujintos profesinio mokymo programos, kurios yra prieinamos mokymo paslaugų teikėjams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30 </w:t>
                    </w:r>
                  </w:p>
                  <w:p>
                    <w:pPr>
                      <w:jc w:val="center"/>
                      <w:rPr>
                        <w:sz w:val="20"/>
                      </w:rPr>
                    </w:pPr>
                    <w:r>
                      <w:rPr>
                        <w:sz w:val="20"/>
                      </w:rPr>
                      <w:t xml:space="preserve">(2024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95</w:t>
                    </w:r>
                  </w:p>
                  <w:p>
                    <w:pPr>
                      <w:jc w:val="center"/>
                      <w:rPr>
                        <w:sz w:val="20"/>
                      </w:rPr>
                    </w:pPr>
                    <w:r>
                      <w:rPr>
                        <w:sz w:val="20"/>
                      </w:rPr>
                      <w:t xml:space="preserve">(2026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P-12-003-03-04-03-11</w:t>
                    </w:r>
                  </w:p>
                  <w:p>
                    <w:pPr>
                      <w:spacing w:line="276" w:lineRule="auto"/>
                      <w:rPr>
                        <w:sz w:val="20"/>
                        <w:highlight w:val="cyan"/>
                      </w:rPr>
                    </w:pPr>
                    <w:r>
                      <w:rPr>
                        <w:sz w:val="20"/>
                        <w:lang w:eastAsia="lt-LT"/>
                      </w:rPr>
                      <w:t>P.S.1.</w:t>
                    </w:r>
                    <w:r>
                      <w:rPr>
                        <w:sz w:val="20"/>
                      </w:rPr>
                      <w:t>1114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Profesijos mokytojai ir (arba) meistrai, dalyvaujantys pameistrių ir praktikas atliekančių mokinių mokymo procese</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200 </w:t>
                    </w:r>
                  </w:p>
                  <w:p>
                    <w:pPr>
                      <w:jc w:val="center"/>
                      <w:rPr>
                        <w:sz w:val="20"/>
                      </w:rPr>
                    </w:pPr>
                    <w:r>
                      <w:rPr>
                        <w:sz w:val="20"/>
                      </w:rPr>
                      <w:t xml:space="preserve">(2024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1 000</w:t>
                    </w:r>
                  </w:p>
                  <w:p>
                    <w:pPr>
                      <w:jc w:val="center"/>
                      <w:rPr>
                        <w:sz w:val="20"/>
                      </w:rPr>
                    </w:pPr>
                    <w:r>
                      <w:rPr>
                        <w:sz w:val="20"/>
                      </w:rPr>
                      <w:t xml:space="preserve">(2026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P-12-003-03-04-03-12</w:t>
                    </w:r>
                  </w:p>
                  <w:p>
                    <w:pPr>
                      <w:spacing w:line="276" w:lineRule="auto"/>
                      <w:rPr>
                        <w:sz w:val="20"/>
                      </w:rPr>
                    </w:pPr>
                    <w:r>
                      <w:rPr>
                        <w:sz w:val="20"/>
                      </w:rPr>
                      <w:t>P.S.1.1115.1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lang w:eastAsia="nl-BE"/>
                      </w:rPr>
                    </w:pPr>
                    <w:r>
                      <w:rPr>
                        <w:sz w:val="20"/>
                        <w:lang w:eastAsia="nl-BE"/>
                      </w:rPr>
                      <w:t>Profesinio mokymo įstatymo dėl profesinio mokymo kompetencijų centrų profesinio švietimo ir mokymo pakeitimo projektas, kuris paskelbtas konsultacijoms su socialiniais partneriais ir suinteresuotaisiais subjektais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(2022</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P-12-003-03-04-03-13</w:t>
                    </w:r>
                  </w:p>
                  <w:p>
                    <w:pPr>
                      <w:spacing w:line="276" w:lineRule="auto"/>
                      <w:rPr>
                        <w:sz w:val="20"/>
                        <w:lang w:eastAsia="lt-LT"/>
                      </w:rPr>
                    </w:pPr>
                    <w:r>
                      <w:rPr>
                        <w:sz w:val="20"/>
                        <w:lang w:eastAsia="lt-LT"/>
                      </w:rPr>
                      <w:t>P.S.</w:t>
                    </w:r>
                    <w:r>
                      <w:rPr>
                        <w:sz w:val="20"/>
                        <w:lang w:val="en-GB" w:eastAsia="lt-LT"/>
                      </w:rPr>
                      <w:t>1.</w:t>
                    </w:r>
                    <w:r>
                      <w:rPr>
                        <w:sz w:val="20"/>
                        <w:lang w:eastAsia="lt-LT"/>
                      </w:rPr>
                      <w:t>1115</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sz w:val="20"/>
                        <w:lang w:eastAsia="lt-LT"/>
                      </w:rPr>
                      <w:t>Įsigalioję Lietuvos Respublikos profesinio mokymo įstatymo pakeitimai dėl profesinio mokymo kompetencijos centrų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w:t>
                    </w:r>
                  </w:p>
                  <w:p>
                    <w:pPr>
                      <w:jc w:val="center"/>
                      <w:rPr>
                        <w:sz w:val="20"/>
                      </w:rPr>
                    </w:pPr>
                    <w:r>
                      <w:rPr>
                        <w:sz w:val="20"/>
                      </w:rPr>
                      <w:t xml:space="preserve">(2022 </w:t>
                    </w:r>
                  </w:p>
                  <w:p>
                    <w:pPr>
                      <w:jc w:val="center"/>
                      <w:rPr>
                        <w:sz w:val="20"/>
                      </w:rPr>
                    </w:pPr>
                    <w:r>
                      <w:rPr>
                        <w:sz w:val="20"/>
                      </w:rPr>
                      <w:t>IV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P-12-003-03-04-03-14</w:t>
                    </w:r>
                  </w:p>
                  <w:p>
                    <w:pPr>
                      <w:spacing w:line="276" w:lineRule="auto"/>
                      <w:rPr>
                        <w:sz w:val="20"/>
                        <w:highlight w:val="cyan"/>
                      </w:rPr>
                    </w:pPr>
                    <w:r>
                      <w:rPr>
                        <w:sz w:val="20"/>
                        <w:lang w:eastAsia="lt-LT"/>
                      </w:rPr>
                      <w:t>P.S.</w:t>
                    </w:r>
                    <w:r>
                      <w:rPr>
                        <w:sz w:val="20"/>
                        <w:lang w:val="en-GB" w:eastAsia="lt-LT"/>
                      </w:rPr>
                      <w:t>1.</w:t>
                    </w:r>
                    <w:r>
                      <w:rPr>
                        <w:sz w:val="20"/>
                        <w:lang w:eastAsia="lt-LT"/>
                      </w:rPr>
                      <w:t>1116</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Įsigalioję teisės aktai, kuriais nustatoma Paramos pameistrystei ir mokymuisi darbo vietoje schema</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P-12-003-03-04-03-15</w:t>
                    </w:r>
                  </w:p>
                  <w:p>
                    <w:pPr>
                      <w:spacing w:line="276" w:lineRule="auto"/>
                      <w:rPr>
                        <w:sz w:val="20"/>
                        <w:highlight w:val="cyan"/>
                      </w:rPr>
                    </w:pPr>
                    <w:r>
                      <w:rPr>
                        <w:sz w:val="20"/>
                        <w:lang w:eastAsia="lt-LT"/>
                      </w:rPr>
                      <w:t>P.S.</w:t>
                    </w:r>
                    <w:r>
                      <w:rPr>
                        <w:sz w:val="20"/>
                        <w:lang w:val="en-GB" w:eastAsia="lt-LT"/>
                      </w:rPr>
                      <w:t>1.</w:t>
                    </w:r>
                    <w:r>
                      <w:rPr>
                        <w:sz w:val="20"/>
                        <w:lang w:eastAsia="lt-LT"/>
                      </w:rPr>
                      <w:t>1117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Įgyvendintos profesinio mokymo programos pameistrystės forma</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1 000 (2024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3 866 </w:t>
                    </w:r>
                  </w:p>
                  <w:p>
                    <w:pPr>
                      <w:jc w:val="center"/>
                      <w:rPr>
                        <w:sz w:val="20"/>
                      </w:rPr>
                    </w:pPr>
                    <w:r>
                      <w:rPr>
                        <w:sz w:val="20"/>
                      </w:rPr>
                      <w:t>(2026</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P-12-003-03-04-03-16</w:t>
                    </w:r>
                  </w:p>
                  <w:p>
                    <w:pPr>
                      <w:spacing w:line="276" w:lineRule="auto"/>
                      <w:rPr>
                        <w:sz w:val="20"/>
                        <w:lang w:eastAsia="lt-LT"/>
                      </w:rPr>
                    </w:pPr>
                    <w:r>
                      <w:rPr>
                        <w:sz w:val="20"/>
                        <w:lang w:eastAsia="lt-LT"/>
                      </w:rPr>
                      <w:t>P.S.</w:t>
                    </w:r>
                    <w:r>
                      <w:rPr>
                        <w:sz w:val="20"/>
                        <w:lang w:val="en-GB" w:eastAsia="lt-LT"/>
                      </w:rPr>
                      <w:t>1.</w:t>
                    </w:r>
                    <w:r>
                      <w:rPr>
                        <w:sz w:val="20"/>
                        <w:lang w:eastAsia="lt-LT"/>
                      </w:rPr>
                      <w:t>1118</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3 000 (2024</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12 394</w:t>
                    </w:r>
                  </w:p>
                  <w:p>
                    <w:pPr>
                      <w:jc w:val="center"/>
                      <w:rPr>
                        <w:sz w:val="20"/>
                      </w:rPr>
                    </w:pPr>
                    <w:r>
                      <w:rPr>
                        <w:sz w:val="20"/>
                      </w:rPr>
                      <w:t xml:space="preserve">(2026 </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P-12-003-03-04-03-17</w:t>
                    </w:r>
                  </w:p>
                  <w:p>
                    <w:pPr>
                      <w:rPr>
                        <w:sz w:val="20"/>
                        <w:highlight w:val="cyan"/>
                      </w:rPr>
                    </w:pPr>
                    <w:r>
                      <w:rPr>
                        <w:sz w:val="20"/>
                        <w:lang w:eastAsia="lt-LT"/>
                      </w:rPr>
                      <w:t>P.S.</w:t>
                    </w:r>
                    <w:r>
                      <w:rPr>
                        <w:sz w:val="20"/>
                        <w:lang w:val="en-GB" w:eastAsia="lt-LT"/>
                      </w:rPr>
                      <w:t>1.</w:t>
                    </w:r>
                    <w:r>
                      <w:rPr>
                        <w:sz w:val="20"/>
                        <w:lang w:eastAsia="lt-LT"/>
                      </w:rPr>
                      <w:t>1119</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Mokiniai, kurie mokosi pagal pagrindinio ir vidurinio ugdymo programas bendrojo ugdymo mokyklose ir yra baigę pirminio profesinio mokymo programos modulius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1 500 (2024</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4 900</w:t>
                    </w:r>
                  </w:p>
                  <w:p>
                    <w:pPr>
                      <w:jc w:val="center"/>
                      <w:rPr>
                        <w:sz w:val="20"/>
                      </w:rPr>
                    </w:pPr>
                    <w:r>
                      <w:rPr>
                        <w:sz w:val="20"/>
                      </w:rPr>
                      <w:t>(2026</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firstLine="53"/>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P-12-003-03-04-03-18</w:t>
                    </w:r>
                  </w:p>
                  <w:p>
                    <w:pPr>
                      <w:spacing w:line="276" w:lineRule="auto"/>
                      <w:rPr>
                        <w:sz w:val="20"/>
                        <w:highlight w:val="cyan"/>
                      </w:rPr>
                    </w:pPr>
                    <w:r>
                      <w:rPr>
                        <w:sz w:val="20"/>
                        <w:lang w:eastAsia="lt-LT"/>
                      </w:rPr>
                      <w:t>P.S.1.1120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Paramą gavę pagrindinio ugdymo programų mokiniai, besimokantys pagal eksperimentines profesinio mokymo programas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1 300 (2024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4 000</w:t>
                    </w:r>
                  </w:p>
                  <w:p>
                    <w:pPr>
                      <w:jc w:val="center"/>
                      <w:rPr>
                        <w:sz w:val="20"/>
                      </w:rPr>
                    </w:pPr>
                    <w:r>
                      <w:rPr>
                        <w:sz w:val="20"/>
                      </w:rPr>
                      <w:t xml:space="preserve">(2026 </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R-12-003-03-04-03-19</w:t>
                    </w:r>
                  </w:p>
                  <w:p>
                    <w:pPr>
                      <w:spacing w:line="276" w:lineRule="auto"/>
                      <w:ind w:firstLine="53"/>
                      <w:rPr>
                        <w:sz w:val="20"/>
                      </w:rPr>
                    </w:pPr>
                    <w:r>
                      <w:rPr>
                        <w:sz w:val="20"/>
                        <w:lang w:eastAsia="lt-LT"/>
                      </w:rPr>
                      <w:t>R.B.1.1010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Švietimo ar mokymo veiklos dalyvių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R-12-003-03-04-03-20</w:t>
                    </w:r>
                  </w:p>
                  <w:p>
                    <w:pPr>
                      <w:spacing w:line="276" w:lineRule="auto"/>
                      <w:ind w:firstLine="53"/>
                      <w:rPr>
                        <w:sz w:val="20"/>
                      </w:rPr>
                    </w:pPr>
                    <w:r>
                      <w:rPr>
                        <w:sz w:val="20"/>
                        <w:lang w:eastAsia="lt-LT"/>
                      </w:rPr>
                      <w:t>R.B.1.1010.1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sz w:val="20"/>
                        <w:lang w:eastAsia="lt-LT"/>
                      </w:rPr>
                      <w:t xml:space="preserve">Švietimo ar mokymo veiklos dalyvių skaičius, iš jų </w:t>
                    </w:r>
                    <w:r>
                      <w:rPr>
                        <w:szCs w:val="24"/>
                      </w:rPr>
                      <w:t>–</w:t>
                    </w:r>
                    <w:r>
                      <w:rPr>
                        <w:sz w:val="20"/>
                        <w:lang w:eastAsia="lt-LT"/>
                      </w:rPr>
                      <w:t xml:space="preserve">švietimo ir mokymo veiklos dalyvių skaičius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R-12-003-03-04-03-21</w:t>
                    </w:r>
                  </w:p>
                  <w:p>
                    <w:pPr>
                      <w:spacing w:line="276" w:lineRule="auto"/>
                      <w:ind w:firstLine="53"/>
                      <w:rPr>
                        <w:sz w:val="20"/>
                      </w:rPr>
                    </w:pPr>
                    <w:r>
                      <w:rPr>
                        <w:sz w:val="20"/>
                        <w:lang w:eastAsia="lt-LT"/>
                      </w:rPr>
                      <w:t>R.B.1.1010.2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 xml:space="preserve">Švietimo ar mokymo veiklos dalyvių skaičius, iš jų </w:t>
                    </w:r>
                    <w:r>
                      <w:rPr>
                        <w:szCs w:val="24"/>
                      </w:rPr>
                      <w:t>–</w:t>
                    </w:r>
                    <w:r>
                      <w:rPr>
                        <w:sz w:val="20"/>
                        <w:lang w:eastAsia="lt-LT"/>
                      </w:rPr>
                      <w:t>skaitmeninių įgūdžių ugdymo veiklos dalyvių skaičius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R-12-003-03-04-03-22</w:t>
                    </w:r>
                  </w:p>
                  <w:p>
                    <w:pPr>
                      <w:spacing w:line="276" w:lineRule="auto"/>
                      <w:rPr>
                        <w:sz w:val="20"/>
                      </w:rPr>
                    </w:pPr>
                    <w:r>
                      <w:rPr>
                        <w:sz w:val="20"/>
                        <w:lang w:eastAsia="lt-LT"/>
                      </w:rPr>
                      <w:t>R.B.1.1014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Paramą gaunančių 15–29 metų amžiaus jaunuolių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P-12-003-03-04-03-23</w:t>
                    </w:r>
                  </w:p>
                  <w:p>
                    <w:pPr>
                      <w:spacing w:line="276" w:lineRule="auto"/>
                      <w:rPr>
                        <w:sz w:val="20"/>
                      </w:rPr>
                    </w:pPr>
                    <w:r>
                      <w:rPr>
                        <w:color w:val="000000"/>
                        <w:sz w:val="20"/>
                      </w:rPr>
                      <w:t>P.N.2.4564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Investicijų į profesinio mokymo infrastruktūrą poreikio analizė</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(2024</w:t>
                    </w:r>
                  </w:p>
                  <w:p>
                    <w:pPr>
                      <w:jc w:val="center"/>
                      <w:rPr>
                        <w:lang w:eastAsia="lt-LT"/>
                      </w:rPr>
                    </w:pPr>
                    <w:r>
                      <w:rPr>
                        <w:sz w:val="20"/>
                      </w:rPr>
                      <w:t>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2021–2027 m. ES fondų ir bendrojo finansavimo lėšos (ERPF)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Įsigalioję Profesinio mokymo įstatymo pakeitimai dėl priėmimo į valstybės finansuojamas vietas profesiniame mokyme planavimo metodikos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pPr>
                    <w:r>
                      <w:rPr>
                        <w:color w:val="000000"/>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(2022 m. 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2021–2027 m. ES fondų ir bendrojo finansavimo lėšos (ERPF)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rPr>
                        <w:sz w:val="20"/>
                      </w:rPr>
                    </w:pPr>
                    <w:r>
                      <w:rPr>
                        <w:sz w:val="20"/>
                      </w:rPr>
                      <w:t xml:space="preserve">P-12-003-03-04-03-25  P.S.1.1120.2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sz w:val="20"/>
                        <w:lang w:eastAsia="lt-LT"/>
                      </w:rPr>
                      <w:t>Paramą gavę pagrindinio ugdymo programų mokiniai, besimokantys pagal eksperimentines profesinio mokymo programas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 w:val="20"/>
                      </w:rPr>
                    </w:pPr>
                    <w:r>
                      <w:rPr>
                        <w:color w:val="000000"/>
                        <w:sz w:val="20"/>
                      </w:rPr>
                      <w:t>0</w:t>
                    </w:r>
                  </w:p>
                  <w:p>
                    <w:pPr>
                      <w:jc w:val="center"/>
                      <w:rPr>
                        <w:color w:val="000000"/>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 xml:space="preserve">0 </w:t>
                    </w:r>
                  </w:p>
                  <w:p>
                    <w:pPr>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1 050</w:t>
                    </w:r>
                  </w:p>
                  <w:p>
                    <w:pPr>
                      <w:jc w:val="center"/>
                      <w:rPr>
                        <w:sz w:val="20"/>
                      </w:rPr>
                    </w:pPr>
                    <w:r>
                      <w:rPr>
                        <w:sz w:val="20"/>
                      </w:rPr>
                      <w:t xml:space="preserve">(2026 </w:t>
                    </w:r>
                  </w:p>
                  <w:p>
                    <w:pPr>
                      <w:jc w:val="center"/>
                      <w:rPr>
                        <w:sz w:val="20"/>
                      </w:rPr>
                    </w:pPr>
                    <w:r>
                      <w:rPr>
                        <w:sz w:val="20"/>
                      </w:rPr>
                      <w:t>III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Ekonomikos gaivinimo ir atsparumo didinimo priemonės lėšos (EGADP)</w:t>
                    </w:r>
                  </w:p>
                </w:tc>
              </w:tr>
            </w:tbl>
            <w:p>
              <w:pPr>
                <w:rPr>
                  <w:b/>
                  <w:sz w:val="18"/>
                  <w:szCs w:val="18"/>
                </w:rPr>
              </w:pPr>
            </w:p>
            <w:p>
              <w:pPr>
                <w:jc w:val="both"/>
                <w:rPr>
                  <w:sz w:val="20"/>
                </w:rPr>
              </w:pPr>
              <w:r>
                <w:rPr>
                  <w:b/>
                  <w:sz w:val="18"/>
                  <w:szCs w:val="18"/>
                </w:rPr>
                <w:t xml:space="preserve">PASTABA. </w:t>
              </w:r>
              <w:r>
                <w:rPr>
                  <w:sz w:val="20"/>
                </w:rPr>
                <w:t>Rodikliai –</w:t>
              </w:r>
              <w:r>
                <w:rPr>
                  <w:sz w:val="20"/>
                  <w:lang w:eastAsia="lt-LT"/>
                </w:rPr>
                <w:t xml:space="preserve"> Švietimo ar mokymo veiklos dalyvių skaičius, iš jų </w:t>
              </w:r>
              <w:r>
                <w:rPr>
                  <w:szCs w:val="24"/>
                </w:rPr>
                <w:t xml:space="preserve">– </w:t>
              </w:r>
              <w:r>
                <w:rPr>
                  <w:sz w:val="20"/>
                  <w:lang w:eastAsia="lt-LT"/>
                </w:rPr>
                <w:t>švietimo ir mokymo veiklos dalyvių skaičius</w:t>
              </w:r>
              <w:r>
                <w:rPr>
                  <w:sz w:val="20"/>
                </w:rPr>
                <w:t xml:space="preserve">, Švietimo ar mokymo veiklos dalyvių skaičius, </w:t>
              </w:r>
              <w:r>
                <w:rPr>
                  <w:sz w:val="20"/>
                  <w:lang w:eastAsia="lt-LT"/>
                </w:rPr>
                <w:t xml:space="preserve">švietimo ar mokymo veiklos dalyvių skaičius, iš jų </w:t>
              </w:r>
              <w:r>
                <w:rPr>
                  <w:szCs w:val="24"/>
                </w:rPr>
                <w:t xml:space="preserve">– </w:t>
              </w:r>
              <w:r>
                <w:rPr>
                  <w:sz w:val="20"/>
                  <w:lang w:eastAsia="lt-LT"/>
                </w:rPr>
                <w:t xml:space="preserve">skaitmeninių įgūdžių ugdymo veiklos dalyvių skaičius </w:t>
              </w:r>
              <w:r>
                <w:rPr>
                  <w:sz w:val="20"/>
                </w:rPr>
                <w:t xml:space="preserve">ir </w:t>
              </w:r>
              <w:r>
                <w:rPr>
                  <w:color w:val="000000"/>
                  <w:sz w:val="20"/>
                </w:rPr>
                <w:t>paramą gaunančių 15–29 metų amžiaus jaunuolių skaičius</w:t>
              </w:r>
              <w:r>
                <w:rPr>
                  <w:sz w:val="20"/>
                </w:rPr>
                <w:t xml:space="preserve"> yra Ekonomikos gaivinimo ir atsparumo didinimo plano „Naujos kartos Lietuva“ bendrieji rodikliai, kurie neturi siektinų reikšmių. Duomenys bus renkami iš susijusių reformų ir investicijų rodiklių. Ataskaitinis laikotarpis iki 2026 m. IV ketv.</w:t>
              </w:r>
            </w:p>
            <w:p>
              <w:pPr>
                <w:jc w:val="both"/>
                <w:rPr>
                  <w:b/>
                  <w:sz w:val="18"/>
                  <w:szCs w:val="18"/>
                </w:rPr>
              </w:pPr>
            </w:p>
            <w:sdt>
              <w:sdtPr>
                <w:alias w:val="poskyris"/>
                <w:tag w:val="part_39ce67fbbff342df8b0c55fae4ef0918"/>
                <w:lock w:val="sdtLocked"/>
                <w:richText/>
              </w:sdtPr>
              <w:sdtContent>
                <w:p>
                  <w:pPr>
                    <w:jc w:val="both"/>
                    <w:rPr>
                      <w:b/>
                      <w:sz w:val="18"/>
                      <w:szCs w:val="18"/>
                    </w:rPr>
                  </w:pPr>
                  <w:sdt>
                    <w:sdtPr>
                      <w:alias w:val="Pavadinimas"/>
                      <w:tag w:val="title_39ce67fbbff342df8b0c55fae4ef0918"/>
                      <w:lock w:val="sdtLocked"/>
                      <w:richText/>
                    </w:sdtPr>
                    <w:sdtContent>
                      <w:r>
                        <w:rPr>
                          <w:b/>
                          <w:sz w:val="18"/>
                          <w:szCs w:val="18"/>
                        </w:rPr>
                        <w:t>Paaiškinimai:</w:t>
                      </w:r>
                    </w:sdtContent>
                  </w:sdt>
                </w:p>
                <w:sdt>
                  <w:sdtPr>
                    <w:alias w:val="1 p."/>
                    <w:tag w:val="part_f570ada390944897978d9739fff7b095"/>
                    <w:lock w:val="sdtLocked"/>
                    <w:richText/>
                  </w:sdtPr>
                  <w:sdtContent>
                    <w:p>
                      <w:pPr>
                        <w:tabs>
                          <w:tab w:val="left" w:pos="1701"/>
                        </w:tabs>
                        <w:ind w:firstLine="993"/>
                        <w:jc w:val="both"/>
                        <w:rPr>
                          <w:sz w:val="18"/>
                          <w:szCs w:val="18"/>
                        </w:rPr>
                      </w:pPr>
                      <w:sdt>
                        <w:sdtPr>
                          <w:alias w:val="Numeris"/>
                          <w:tag w:val="nr_f570ada390944897978d9739fff7b095"/>
                          <w:lock w:val="sdtLocked"/>
                          <w:richText/>
                        </w:sdtPr>
                        <w:sdtContent>
                          <w:r>
                            <w:rPr>
                              <w:sz w:val="18"/>
                              <w:szCs w:val="18"/>
                            </w:rPr>
                            <w:t>1</w:t>
                          </w:r>
                        </w:sdtContent>
                      </w:sdt>
                      <w:r>
                        <w:rPr>
                          <w:sz w:val="18"/>
                          <w:szCs w:val="18"/>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98cc484e7114e7a98b09dc0bdbb190f"/>
                    <w:lock w:val="sdtLocked"/>
                    <w:richText/>
                  </w:sdtPr>
                  <w:sdtContent>
                    <w:p>
                      <w:pPr>
                        <w:ind w:firstLine="993"/>
                        <w:jc w:val="both"/>
                        <w:rPr>
                          <w:sz w:val="18"/>
                          <w:szCs w:val="18"/>
                        </w:rPr>
                      </w:pPr>
                      <w:sdt>
                        <w:sdtPr>
                          <w:alias w:val="Numeris"/>
                          <w:tag w:val="nr_998cc484e7114e7a98b09dc0bdbb190f"/>
                          <w:lock w:val="sdtLocked"/>
                          <w:richText/>
                        </w:sdt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rPr>
                        <w:t>1</w:t>
                      </w:r>
                      <w:r>
                        <w:rPr>
                          <w:sz w:val="18"/>
                          <w:szCs w:val="18"/>
                        </w:rPr>
                        <w:t xml:space="preserve"> straipsnio 3 dalies įgyvendinimo“ (toliau – Strateginio valdymo metodika), 9 priede nustatyta tvarka.</w:t>
                      </w:r>
                    </w:p>
                  </w:sdtContent>
                </w:sdt>
                <w:sdt>
                  <w:sdtPr>
                    <w:alias w:val="3 p."/>
                    <w:tag w:val="part_4999f4d4ce30404b99024d0276d3ba18"/>
                    <w:lock w:val="sdtLocked"/>
                    <w:richText/>
                  </w:sdtPr>
                  <w:sdtContent>
                    <w:p>
                      <w:pPr>
                        <w:ind w:firstLine="993"/>
                        <w:jc w:val="both"/>
                        <w:rPr>
                          <w:sz w:val="18"/>
                          <w:szCs w:val="18"/>
                        </w:rPr>
                      </w:pPr>
                      <w:sdt>
                        <w:sdtPr>
                          <w:alias w:val="Numeris"/>
                          <w:tag w:val="nr_4999f4d4ce30404b99024d0276d3ba18"/>
                          <w:lock w:val="sdtLocked"/>
                          <w:richText/>
                        </w:sdtPr>
                        <w:sdtContent>
                          <w:r>
                            <w:rPr>
                              <w:sz w:val="18"/>
                              <w:szCs w:val="18"/>
                            </w:rPr>
                            <w:t>3</w:t>
                          </w:r>
                        </w:sdtContent>
                      </w:sdt>
                      <w:r>
                        <w:rPr>
                          <w:sz w:val="18"/>
                          <w:szCs w:val="18"/>
                        </w:rPr>
                        <w:t xml:space="preserve">. 3 skiltyje rezultato rodikliai nurodomi tokie patys, kokie nurodyti plėtros programoje. </w:t>
                      </w:r>
                      <w:r>
                        <w:rPr>
                          <w:bCs/>
                          <w:sz w:val="18"/>
                          <w:szCs w:val="18"/>
                        </w:rPr>
                        <w:t xml:space="preserve">Išimtis taikoma </w:t>
                      </w:r>
                      <w:r>
                        <w:rPr>
                          <w:sz w:val="18"/>
                          <w:szCs w:val="18"/>
                        </w:rPr>
                        <w:t>Ekonomikos gaivinimo ir atsparumo didinimo priemonės plano „Naujos kartos Lietuva“</w:t>
                      </w:r>
                      <w:r>
                        <w:rPr>
                          <w:bCs/>
                          <w:sz w:val="18"/>
                          <w:szCs w:val="18"/>
                        </w:rPr>
                        <w:t xml:space="preserve"> bendriesiems rezultato rodikliams. Šie rodikliai nėra traukiami į plėtros programas, tačiau turi būti nurodyti prie pažangos priemonių ir jų veiklų (poveiklių). </w:t>
                      </w:r>
                      <w:r>
                        <w:rPr>
                          <w:sz w:val="18"/>
                          <w:szCs w:val="18"/>
                        </w:rPr>
                        <w:t>Ekonomikos gaivinimo ir atsparumo didinimo priemonės plano „Naujos kartos Lietuva“</w:t>
                      </w:r>
                      <w:r>
                        <w:rPr>
                          <w:bCs/>
                          <w:sz w:val="18"/>
                          <w:szCs w:val="18"/>
                        </w:rPr>
                        <w:t xml:space="preserve"> bendrieji rezultato rodikliai neturi pradinės bei siektinos reikšmių. </w:t>
                      </w:r>
                      <w:r>
                        <w:rPr>
                          <w:sz w:val="18"/>
                          <w:szCs w:val="18"/>
                        </w:rPr>
                        <w:t xml:space="preserve">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62217f55fcf24064bded30549d3241c7"/>
                    <w:lock w:val="sdtLocked"/>
                    <w:richText/>
                  </w:sdtPr>
                  <w:sdtContent>
                    <w:p>
                      <w:pPr>
                        <w:ind w:firstLine="993"/>
                        <w:jc w:val="both"/>
                        <w:rPr>
                          <w:sz w:val="18"/>
                          <w:szCs w:val="18"/>
                        </w:rPr>
                      </w:pPr>
                      <w:sdt>
                        <w:sdtPr>
                          <w:alias w:val="Numeris"/>
                          <w:tag w:val="nr_62217f55fcf24064bded30549d3241c7"/>
                          <w:lock w:val="sdtLocked"/>
                          <w:richText/>
                        </w:sdt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4e668626275445debe61b2b4567406d2"/>
                    <w:lock w:val="sdtLocked"/>
                    <w:richText/>
                  </w:sdtPr>
                  <w:sdtContent>
                    <w:p>
                      <w:pPr>
                        <w:ind w:firstLine="993"/>
                        <w:jc w:val="both"/>
                        <w:rPr>
                          <w:sz w:val="16"/>
                          <w:szCs w:val="16"/>
                        </w:rPr>
                      </w:pPr>
                      <w:sdt>
                        <w:sdtPr>
                          <w:alias w:val="Numeris"/>
                          <w:tag w:val="nr_4e668626275445debe61b2b4567406d2"/>
                          <w:lock w:val="sdtLocked"/>
                          <w:richText/>
                        </w:sdtPr>
                        <w:sdtContent>
                          <w:r>
                            <w:rPr>
                              <w:sz w:val="18"/>
                              <w:szCs w:val="18"/>
                            </w:rPr>
                            <w:t>5</w:t>
                          </w:r>
                        </w:sdtContent>
                      </w:sdt>
                      <w:r>
                        <w:rPr>
                          <w:sz w:val="18"/>
                          <w:szCs w:val="18"/>
                        </w:rPr>
                        <w:t>. 8 skiltyje nurodomas finansavimo šaltinis. Jei tas pats rodiklis priskirtas keliems finansavimo šaltiniams, jis nurodomas tiek kartų, kiek yra skirtingų finansavimo šaltinių (bendrasis finansavimas ir pridėtinės vertės mokestis atskirai neišskiriami).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skyrius"/>
            <w:tag w:val="part_052a44996adb4fdb90e514025ffa9489"/>
            <w:lock w:val="sdtLocked"/>
            <w:richText/>
          </w:sdtPr>
          <w:sdtContent>
            <w:p>
              <w:pPr>
                <w:shd w:val="clear" w:color="000000" w:fill="auto"/>
                <w:jc w:val="center"/>
                <w:rPr>
                  <w:b/>
                  <w:szCs w:val="24"/>
                </w:rPr>
              </w:pPr>
              <w:sdt>
                <w:sdtPr>
                  <w:alias w:val="Numeris"/>
                  <w:tag w:val="nr_052a44996adb4fdb90e514025ffa9489"/>
                  <w:lock w:val="sdtLocked"/>
                  <w:richText/>
                </w:sdtPr>
                <w:sdtContent>
                  <w:r>
                    <w:rPr>
                      <w:b/>
                      <w:szCs w:val="24"/>
                    </w:rPr>
                    <w:t>II</w:t>
                  </w:r>
                </w:sdtContent>
              </w:sdt>
              <w:r>
                <w:rPr>
                  <w:b/>
                  <w:szCs w:val="24"/>
                </w:rPr>
                <w:t xml:space="preserve"> SKYRIUS</w:t>
              </w:r>
            </w:p>
            <w:p>
              <w:pPr>
                <w:shd w:val="clear" w:color="000000" w:fill="auto"/>
                <w:jc w:val="center"/>
                <w:rPr>
                  <w:b/>
                  <w:szCs w:val="24"/>
                </w:rPr>
              </w:pPr>
              <w:sdt>
                <w:sdtPr>
                  <w:alias w:val="Pavadinimas"/>
                  <w:tag w:val="title_052a44996adb4fdb90e514025ffa9489"/>
                  <w:lock w:val="sdtLocked"/>
                  <w:richText/>
                </w:sdtPr>
                <w:sdtContent>
                  <w:r>
                    <w:rPr>
                      <w:b/>
                      <w:szCs w:val="24"/>
                    </w:rPr>
                    <w:t>PLĖTROS PROGRAMOS PAŽANGOS PRIEMONĖS FINANSAVIMO ŠALTINIAI</w:t>
                  </w:r>
                </w:sdtContent>
              </w:sdt>
            </w:p>
            <w:p>
              <w:pPr>
                <w:shd w:val="clear" w:color="000000" w:fill="auto"/>
                <w:jc w:val="center"/>
                <w:rPr>
                  <w:b/>
                  <w:szCs w:val="24"/>
                </w:rPr>
              </w:pPr>
            </w:p>
            <w:tbl>
              <w:tblPr>
                <w:tblW w:w="13320" w:type="dxa"/>
                <w:tblInd w:w="846" w:type="dxa"/>
                <w:tblLayout w:type="fixed"/>
                <w:tblCellMar>
                  <w:left w:w="30" w:type="dxa"/>
                  <w:right w:w="30" w:type="dxa"/>
                </w:tblCellMar>
                <w:tblLook w:val="04A0" w:firstRow="1" w:lastRow="0" w:firstColumn="1" w:lastColumn="0" w:noHBand="0" w:noVBand="1"/>
              </w:tblPr>
              <w:tblGrid>
                <w:gridCol w:w="9919"/>
                <w:gridCol w:w="3401"/>
              </w:tblGrid>
              <w:tr>
                <w:trPr>
                  <w:cantSplit/>
                  <w:trHeight w:val="414"/>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Finansavimo apimtis ir šaltiniai</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Lėšų poreikis (tūkst. eurų)</w:t>
                    </w:r>
                  </w:p>
                </w:tc>
              </w:tr>
              <w:tr>
                <w:trPr>
                  <w:cantSplit/>
                  <w:trHeight w:val="272"/>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1</w:t>
                    </w:r>
                  </w:p>
                </w:tc>
                <w:tc>
                  <w:tcPr>
                    <w:tcW w:w="3402" w:type="dxa"/>
                    <w:tcBorders>
                      <w:top w:val="single" w:sz="4" w:space="0" w:color="auto"/>
                      <w:left w:val="single" w:sz="4" w:space="0" w:color="auto"/>
                      <w:bottom w:val="nil"/>
                      <w:right w:val="single" w:sz="4" w:space="0" w:color="auto"/>
                    </w:tcBorders>
                    <w:shd w:val="clear" w:color="auto" w:fill="DEEAF6" w:themeFill="accent1" w:themeFillTint="33"/>
                    <w:hideMark/>
                  </w:tcPr>
                  <w:p>
                    <w:pPr>
                      <w:shd w:val="clear" w:color="000000" w:fill="auto"/>
                      <w:ind w:left="15" w:hanging="15"/>
                      <w:jc w:val="center"/>
                      <w:rPr>
                        <w:b/>
                        <w:sz w:val="18"/>
                        <w:szCs w:val="18"/>
                      </w:rPr>
                    </w:pPr>
                    <w:r>
                      <w:rPr>
                        <w:b/>
                        <w:sz w:val="18"/>
                        <w:szCs w:val="18"/>
                      </w:rPr>
                      <w:t>2</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1.1. Valstybės biudžeto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
                        <w:bCs/>
                        <w:sz w:val="20"/>
                      </w:rPr>
                    </w:pPr>
                    <w:r>
                      <w:rPr>
                        <w:b/>
                        <w:bCs/>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Cs/>
                        <w:sz w:val="20"/>
                        <w:highlight w:val="yellow"/>
                      </w:rPr>
                    </w:pPr>
                    <w:r>
                      <w:rPr>
                        <w:bCs/>
                        <w:sz w:val="20"/>
                      </w:rPr>
                      <w:t xml:space="preserve">1.1.1.1.2. Valstybės biudžeto lėšos, skirtos apmokėti bendrai finansuojamų iš ES fondų lėšų projektų netinkamam finansuoti iš ES fondų lėšų pirkimo ir (arba) importo PVM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rPr>
                    </w:pPr>
                    <w:r>
                      <w:rPr>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1.2. Europos Sąjungos ir kitos tarptautinės finansinės paramos bendrojo finansavimo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highlight w:val="yellow"/>
                      </w:rPr>
                    </w:pPr>
                    <w:r>
                      <w:rPr>
                        <w:b/>
                        <w:bCs/>
                        <w:color w:val="000000"/>
                        <w:sz w:val="20"/>
                      </w:rPr>
                      <w:t xml:space="preserve">7 015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1.2.2.8.1. 2021–2027 m. ES struktūrinių fondų bendrojo finansavimo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Cs/>
                        <w:sz w:val="20"/>
                      </w:rPr>
                    </w:pPr>
                    <w:r>
                      <w:rPr>
                        <w:bCs/>
                        <w:sz w:val="20"/>
                      </w:rPr>
                      <w:t>ESF+, Sostinės regionas</w:t>
                    </w:r>
                    <w:r>
                      <w:rPr>
                        <w:szCs w:val="24"/>
                        <w:lang w:eastAsia="lt-LT"/>
                      </w:rPr>
                      <w:t xml:space="preserve">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477</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 xml:space="preserve">ESF+, </w:t>
                    </w:r>
                    <w:r>
                      <w:rPr>
                        <w:sz w:val="20"/>
                        <w:lang w:eastAsia="lt-LT"/>
                      </w:rPr>
                      <w:t xml:space="preserve">Vidurio ir vakarų Lietuvos regionas (toliau – </w:t>
                    </w:r>
                    <w:r>
                      <w:rPr>
                        <w:bCs/>
                        <w:sz w:val="20"/>
                      </w:rPr>
                      <w:t>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 xml:space="preserve">709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ERPF,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5 829</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1.3. Europos Sąjungos ir kitos tarptautinės finansinės paramos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sz w:val="20"/>
                        <w:highlight w:val="yellow"/>
                      </w:rPr>
                    </w:pPr>
                    <w:r>
                      <w:rPr>
                        <w:b/>
                        <w:bCs/>
                        <w:color w:val="000000"/>
                        <w:sz w:val="20"/>
                      </w:rPr>
                      <w:t>74 530</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 xml:space="preserve">1.3.2.8.1. </w:t>
                    </w:r>
                    <w:r>
                      <w:rPr>
                        <w:rFonts w:eastAsia="Calibri"/>
                        <w:sz w:val="20"/>
                      </w:rPr>
                      <w:t xml:space="preserve">2021–2027 m. ES struktūrinių fondų </w:t>
                    </w:r>
                    <w:r>
                      <w:rPr>
                        <w:color w:val="000000"/>
                        <w:sz w:val="20"/>
                      </w:rPr>
                      <w:t>lėšos:</w:t>
                    </w:r>
                  </w:p>
                </w:tc>
                <w:tc>
                  <w:tcPr>
                    <w:tcW w:w="3402" w:type="dxa"/>
                    <w:tcBorders>
                      <w:top w:val="single" w:sz="4" w:space="0" w:color="auto"/>
                      <w:left w:val="single" w:sz="4" w:space="0" w:color="auto"/>
                      <w:bottom w:val="single" w:sz="4" w:space="0" w:color="auto"/>
                      <w:right w:val="single" w:sz="4" w:space="0" w:color="auto"/>
                    </w:tcBorders>
                    <w:vAlign w:val="center"/>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Sostinės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highlight w:val="yellow"/>
                      </w:rPr>
                    </w:pPr>
                    <w:r>
                      <w:rPr>
                        <w:bCs/>
                        <w:sz w:val="20"/>
                      </w:rPr>
                      <w:t xml:space="preserve">477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rPr>
                    </w:pPr>
                    <w:r>
                      <w:rPr>
                        <w:bCs/>
                        <w:sz w:val="20"/>
                      </w:rPr>
                      <w:t>4 020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color w:val="000000"/>
                        <w:sz w:val="20"/>
                      </w:rPr>
                      <w:t xml:space="preserve">ERPF; VVL regionas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33 033</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bCs/>
                        <w:sz w:val="20"/>
                      </w:rPr>
                      <w:t>1.3.3.1.57</w:t>
                    </w:r>
                    <w:r>
                      <w:rPr>
                        <w:bCs/>
                        <w:i/>
                        <w:iCs/>
                        <w:sz w:val="20"/>
                      </w:rPr>
                      <w:t>.</w:t>
                    </w:r>
                    <w:r>
                      <w:rPr>
                        <w:color w:val="000000"/>
                        <w:sz w:val="20"/>
                      </w:rPr>
                      <w:t xml:space="preserve"> Ekonomikos gaivinimo ir atsparumo didinimo priemonės lėšos (EGADP)</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37 000</w:t>
                    </w:r>
                  </w:p>
                </w:tc>
              </w:tr>
              <w:tr>
                <w:trPr>
                  <w:cantSplit/>
                  <w:trHeight w:val="228"/>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spacing w:line="276" w:lineRule="auto"/>
                      <w:ind w:left="1276" w:hanging="1276"/>
                      <w:jc w:val="both"/>
                      <w:rPr>
                        <w:b/>
                        <w:sz w:val="20"/>
                      </w:rPr>
                    </w:pPr>
                    <w:r>
                      <w:rPr>
                        <w:b/>
                        <w:sz w:val="20"/>
                      </w:rPr>
                      <w:t xml:space="preserve">1.4. Biudžetinių įstaigų pajamų įmokos ir kitos pajamos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2. Kitos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2.1.Savivaldybių biudžetų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2.2. Privačios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2.3. Kitos viešosios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11"/>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rPr>
                        <w:b/>
                        <w:sz w:val="20"/>
                      </w:rPr>
                    </w:pPr>
                    <w:r>
                      <w:rPr>
                        <w:b/>
                        <w:sz w:val="20"/>
                      </w:rPr>
                      <w:t>IŠ VISO</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257"/>
                      <w:rPr>
                        <w:b/>
                        <w:bCs/>
                        <w:color w:val="000000"/>
                        <w:sz w:val="20"/>
                        <w:highlight w:val="yellow"/>
                      </w:rPr>
                    </w:pPr>
                    <w:r>
                      <w:rPr>
                        <w:b/>
                        <w:bCs/>
                        <w:color w:val="000000"/>
                        <w:sz w:val="20"/>
                      </w:rPr>
                      <w:t xml:space="preserve">83 855 </w:t>
                    </w:r>
                  </w:p>
                </w:tc>
              </w:tr>
            </w:tbl>
            <w:p>
              <w:pPr>
                <w:shd w:val="clear" w:color="000000" w:fill="auto"/>
                <w:rPr>
                  <w:b/>
                  <w:sz w:val="18"/>
                  <w:szCs w:val="18"/>
                </w:rPr>
              </w:pPr>
            </w:p>
            <w:sdt>
              <w:sdtPr>
                <w:alias w:val="poskyris"/>
                <w:tag w:val="part_2e5aabde538c4a76b118e98a98e0910d"/>
                <w:lock w:val="sdtLocked"/>
                <w:richText/>
              </w:sdtPr>
              <w:sdtContent>
                <w:p>
                  <w:pPr>
                    <w:shd w:val="clear" w:color="000000" w:fill="auto"/>
                    <w:rPr>
                      <w:b/>
                      <w:sz w:val="16"/>
                      <w:szCs w:val="16"/>
                    </w:rPr>
                  </w:pPr>
                  <w:sdt>
                    <w:sdtPr>
                      <w:alias w:val="Pavadinimas"/>
                      <w:tag w:val="title_2e5aabde538c4a76b118e98a98e0910d"/>
                      <w:lock w:val="sdtLocked"/>
                      <w:richText/>
                    </w:sdtPr>
                    <w:sdtContent>
                      <w:r>
                        <w:rPr>
                          <w:b/>
                          <w:sz w:val="16"/>
                          <w:szCs w:val="16"/>
                        </w:rPr>
                        <w:t>Paaiškinimai:</w:t>
                      </w:r>
                    </w:sdtContent>
                  </w:sdt>
                </w:p>
                <w:sdt>
                  <w:sdtPr>
                    <w:alias w:val="1 p."/>
                    <w:tag w:val="part_8f5dda9ebea84270ac0b61ebe00d0685"/>
                    <w:lock w:val="sdtLocked"/>
                    <w:richText/>
                  </w:sdtPr>
                  <w:sdtContent>
                    <w:p>
                      <w:pPr>
                        <w:shd w:val="clear" w:color="000000" w:fill="auto"/>
                        <w:ind w:firstLine="993"/>
                        <w:jc w:val="both"/>
                        <w:rPr>
                          <w:sz w:val="16"/>
                          <w:szCs w:val="16"/>
                        </w:rPr>
                      </w:pPr>
                      <w:sdt>
                        <w:sdtPr>
                          <w:alias w:val="Numeris"/>
                          <w:tag w:val="nr_8f5dda9ebea84270ac0b61ebe00d0685"/>
                          <w:lock w:val="sdtLocked"/>
                          <w:richText/>
                        </w:sdtPr>
                        <w:sdtContent>
                          <w:r>
                            <w:rPr>
                              <w:sz w:val="16"/>
                              <w:szCs w:val="16"/>
                            </w:rPr>
                            <w:t>1</w:t>
                          </w:r>
                        </w:sdtContent>
                      </w:sdt>
                      <w:r>
                        <w:rPr>
                          <w:sz w:val="16"/>
                          <w:szCs w:val="16"/>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0fed8b6f34aab851a36df4d7f5a32"/>
                    <w:lock w:val="sdtLocked"/>
                    <w:richText/>
                  </w:sdtPr>
                  <w:sdtContent>
                    <w:p>
                      <w:pPr>
                        <w:shd w:val="clear" w:color="000000" w:fill="auto"/>
                        <w:ind w:firstLine="993"/>
                        <w:jc w:val="both"/>
                        <w:rPr>
                          <w:sz w:val="16"/>
                          <w:szCs w:val="16"/>
                        </w:rPr>
                      </w:pPr>
                      <w:sdt>
                        <w:sdtPr>
                          <w:alias w:val="Numeris"/>
                          <w:tag w:val="nr_86d0fed8b6f34aab851a36df4d7f5a32"/>
                          <w:lock w:val="sdtLocked"/>
                          <w:richText/>
                        </w:sdtPr>
                        <w:sdtContent>
                          <w:r>
                            <w:rPr>
                              <w:sz w:val="16"/>
                              <w:szCs w:val="16"/>
                            </w:rPr>
                            <w:t>2</w:t>
                          </w:r>
                        </w:sdtContent>
                      </w:sdt>
                      <w:r>
                        <w:rPr>
                          <w:sz w:val="16"/>
                          <w:szCs w:val="16"/>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a6ca3671466f4521be6b5c26139972b6"/>
                    <w:lock w:val="sdtLocked"/>
                    <w:richText/>
                  </w:sdtPr>
                  <w:sdtContent>
                    <w:p>
                      <w:pPr>
                        <w:shd w:val="clear" w:color="000000" w:fill="auto"/>
                        <w:ind w:firstLine="993"/>
                        <w:jc w:val="both"/>
                      </w:pPr>
                      <w:sdt>
                        <w:sdtPr>
                          <w:alias w:val="Numeris"/>
                          <w:tag w:val="nr_a6ca3671466f4521be6b5c26139972b6"/>
                          <w:lock w:val="sdtLocked"/>
                          <w:richText/>
                        </w:sdtPr>
                        <w:sdtContent>
                          <w:r>
                            <w:rPr>
                              <w:sz w:val="16"/>
                              <w:szCs w:val="16"/>
                            </w:rPr>
                            <w:t>3</w:t>
                          </w:r>
                        </w:sdtContent>
                      </w:sdt>
                      <w:r>
                        <w:rPr>
                          <w:sz w:val="16"/>
                          <w:szCs w:val="16"/>
                        </w:rPr>
                        <w:t xml:space="preserve">. 2.3 papunktyje 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shd w:val="clear" w:color="000000" w:fill="auto"/>
                        <w:sectPr>
                          <w:pgSz w:w="16838" w:h="11906" w:orient="landscape"/>
                          <w:pgMar w:top="567" w:right="1135" w:bottom="567" w:left="1134" w:header="567" w:footer="567" w:gutter="0"/>
                          <w:pgNumType w:start="1"/>
                          <w:cols w:space="1296"/>
                          <w:titlePg/>
                          <w:docGrid w:linePitch="326"/>
                        </w:sectPr>
                      </w:pPr>
                    </w:p>
                    <w:p>
                      <w:pPr>
                        <w:shd w:val="clear" w:color="000000" w:fill="auto"/>
                        <w:tabs>
                          <w:tab w:val="center" w:pos="4819"/>
                          <w:tab w:val="right" w:pos="9071"/>
                        </w:tabs>
                        <w:overflowPunct w:val="0"/>
                        <w:textAlignment w:val="baseline"/>
                        <w:rPr>
                          <w:rFonts w:ascii="HelveticaLT" w:hAnsi="HelveticaLT"/>
                          <w:sz w:val="20"/>
                          <w:lang w:val="en-GB"/>
                        </w:rPr>
                      </w:pPr>
                    </w:p>
                  </w:sdtContent>
                </w:sdt>
              </w:sdtContent>
            </w:sdt>
          </w:sdtContent>
        </w:sdt>
        <w:sdt>
          <w:sdtPr>
            <w:alias w:val="skyrius"/>
            <w:tag w:val="part_ce746023d25e40bfab4546e28da136c0"/>
            <w:lock w:val="sdtLocked"/>
            <w:richText/>
          </w:sdtPr>
          <w:sdtContent>
            <w:p>
              <w:pPr>
                <w:jc w:val="center"/>
                <w:rPr>
                  <w:b/>
                  <w:bCs/>
                </w:rPr>
              </w:pPr>
              <w:sdt>
                <w:sdtPr>
                  <w:alias w:val="Numeris"/>
                  <w:tag w:val="nr_ce746023d25e40bfab4546e28da136c0"/>
                  <w:lock w:val="sdtLocked"/>
                  <w:richText/>
                </w:sdtPr>
                <w:sdtContent>
                  <w:r>
                    <w:rPr>
                      <w:b/>
                      <w:bCs/>
                    </w:rPr>
                    <w:t>III</w:t>
                  </w:r>
                </w:sdtContent>
              </w:sdt>
              <w:r>
                <w:rPr>
                  <w:b/>
                  <w:bCs/>
                </w:rPr>
                <w:t xml:space="preserve"> SKYRIUS</w:t>
              </w:r>
            </w:p>
            <w:p>
              <w:pPr>
                <w:jc w:val="center"/>
                <w:rPr>
                  <w:b/>
                  <w:bCs/>
                </w:rPr>
              </w:pPr>
              <w:sdt>
                <w:sdtPr>
                  <w:alias w:val="Pavadinimas"/>
                  <w:tag w:val="title_ce746023d25e40bfab4546e28da136c0"/>
                  <w:lock w:val="sdtLocked"/>
                  <w:richText/>
                </w:sdtPr>
                <w:sdtContent>
                  <w:r>
                    <w:rPr>
                      <w:b/>
                      <w:bCs/>
                    </w:rPr>
                    <w:t>PLĖTROS PROGRAMOS PAŽANGOS PRIEMONĖS VEIKLŲ SUVESTINĖ</w:t>
                  </w:r>
                </w:sdtContent>
              </w:sdt>
            </w:p>
            <w:p>
              <w:pP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8"/>
                <w:gridCol w:w="1030"/>
                <w:gridCol w:w="982"/>
                <w:gridCol w:w="764"/>
                <w:gridCol w:w="1013"/>
                <w:gridCol w:w="1040"/>
                <w:gridCol w:w="1043"/>
                <w:gridCol w:w="1248"/>
                <w:gridCol w:w="1844"/>
                <w:gridCol w:w="1535"/>
                <w:gridCol w:w="1306"/>
                <w:gridCol w:w="1069"/>
              </w:tblGrid>
              <w:tr>
                <w:trPr>
                  <w:trHeight w:val="1425"/>
                </w:trPr>
                <w:tc>
                  <w:tcPr>
                    <w:tcW w:w="613" w:type="pct"/>
                    <w:shd w:val="clear" w:color="auto" w:fill="auto"/>
                  </w:tcPr>
                  <w:p>
                    <w:pPr>
                      <w:ind w:left="-57" w:right="-57"/>
                      <w:jc w:val="center"/>
                      <w:rPr>
                        <w:b/>
                        <w:sz w:val="16"/>
                        <w:szCs w:val="16"/>
                      </w:rPr>
                    </w:pPr>
                  </w:p>
                  <w:p>
                    <w:pPr>
                      <w:ind w:left="-57" w:right="-57"/>
                      <w:jc w:val="center"/>
                      <w:rPr>
                        <w:b/>
                        <w:sz w:val="16"/>
                        <w:szCs w:val="16"/>
                      </w:rPr>
                    </w:pPr>
                  </w:p>
                  <w:p>
                    <w:pPr>
                      <w:ind w:left="324" w:right="-57"/>
                      <w:jc w:val="center"/>
                      <w:rPr>
                        <w:b/>
                        <w:sz w:val="16"/>
                        <w:szCs w:val="16"/>
                      </w:rPr>
                    </w:pPr>
                    <w:r>
                      <w:rPr>
                        <w:b/>
                        <w:sz w:val="16"/>
                        <w:szCs w:val="16"/>
                      </w:rPr>
                      <w:t>Veikla</w:t>
                    </w:r>
                  </w:p>
                </w:tc>
                <w:tc>
                  <w:tcPr>
                    <w:tcW w:w="38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26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26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333"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lang w:val="en-US"/>
                      </w:rPr>
                    </w:pPr>
                    <w:r>
                      <w:rPr>
                        <w:b/>
                        <w:sz w:val="16"/>
                        <w:szCs w:val="16"/>
                      </w:rPr>
                      <w:t>Finansavimo suma (tūkst. eurų)</w:t>
                    </w:r>
                  </w:p>
                </w:tc>
                <w:tc>
                  <w:tcPr>
                    <w:tcW w:w="334"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666"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56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w:t>
                    </w:r>
                  </w:p>
                  <w:p>
                    <w:pPr>
                      <w:ind w:left="-57" w:right="-57"/>
                      <w:jc w:val="center"/>
                      <w:rPr>
                        <w:b/>
                        <w:sz w:val="16"/>
                        <w:szCs w:val="16"/>
                      </w:rPr>
                    </w:pPr>
                    <w:r>
                      <w:rPr>
                        <w:b/>
                        <w:sz w:val="16"/>
                        <w:szCs w:val="16"/>
                      </w:rPr>
                      <w:t>(ir metai)</w:t>
                    </w:r>
                  </w:p>
                </w:tc>
                <w:tc>
                  <w:tcPr>
                    <w:tcW w:w="373"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613" w:type="pct"/>
                    <w:shd w:val="clear" w:color="auto" w:fill="auto"/>
                  </w:tcPr>
                  <w:p>
                    <w:pPr>
                      <w:ind w:left="-57" w:right="-57"/>
                      <w:jc w:val="center"/>
                      <w:rPr>
                        <w:b/>
                        <w:sz w:val="16"/>
                        <w:szCs w:val="16"/>
                      </w:rPr>
                    </w:pPr>
                    <w:r>
                      <w:rPr>
                        <w:b/>
                        <w:sz w:val="16"/>
                        <w:szCs w:val="16"/>
                      </w:rPr>
                      <w:t>1</w:t>
                    </w:r>
                  </w:p>
                </w:tc>
                <w:tc>
                  <w:tcPr>
                    <w:tcW w:w="387" w:type="pct"/>
                    <w:shd w:val="clear" w:color="auto" w:fill="auto"/>
                  </w:tcPr>
                  <w:p>
                    <w:pPr>
                      <w:ind w:left="-57" w:right="-57"/>
                      <w:jc w:val="center"/>
                      <w:rPr>
                        <w:b/>
                        <w:sz w:val="16"/>
                        <w:szCs w:val="16"/>
                      </w:rPr>
                    </w:pPr>
                    <w:r>
                      <w:rPr>
                        <w:b/>
                        <w:sz w:val="16"/>
                        <w:szCs w:val="16"/>
                      </w:rPr>
                      <w:t>2</w:t>
                    </w:r>
                  </w:p>
                </w:tc>
                <w:tc>
                  <w:tcPr>
                    <w:tcW w:w="267" w:type="pct"/>
                    <w:shd w:val="clear" w:color="auto" w:fill="auto"/>
                  </w:tcPr>
                  <w:p>
                    <w:pPr>
                      <w:ind w:left="-57" w:right="-57"/>
                      <w:jc w:val="center"/>
                      <w:rPr>
                        <w:b/>
                        <w:sz w:val="16"/>
                        <w:szCs w:val="16"/>
                      </w:rPr>
                    </w:pPr>
                    <w:r>
                      <w:rPr>
                        <w:b/>
                        <w:sz w:val="16"/>
                        <w:szCs w:val="16"/>
                      </w:rPr>
                      <w:t>3</w:t>
                    </w:r>
                  </w:p>
                </w:tc>
                <w:tc>
                  <w:tcPr>
                    <w:tcW w:w="267" w:type="pct"/>
                    <w:shd w:val="clear" w:color="auto" w:fill="auto"/>
                  </w:tcPr>
                  <w:p>
                    <w:pPr>
                      <w:ind w:left="-57" w:right="-57"/>
                      <w:jc w:val="center"/>
                      <w:rPr>
                        <w:b/>
                        <w:sz w:val="16"/>
                        <w:szCs w:val="16"/>
                      </w:rPr>
                    </w:pPr>
                    <w:r>
                      <w:rPr>
                        <w:b/>
                        <w:sz w:val="16"/>
                        <w:szCs w:val="16"/>
                      </w:rPr>
                      <w:t>4</w:t>
                    </w:r>
                  </w:p>
                </w:tc>
                <w:tc>
                  <w:tcPr>
                    <w:tcW w:w="400" w:type="pct"/>
                    <w:shd w:val="clear" w:color="auto" w:fill="auto"/>
                  </w:tcPr>
                  <w:p>
                    <w:pPr>
                      <w:ind w:left="-57" w:right="-57"/>
                      <w:jc w:val="center"/>
                      <w:rPr>
                        <w:b/>
                        <w:sz w:val="16"/>
                        <w:szCs w:val="16"/>
                      </w:rPr>
                    </w:pPr>
                    <w:r>
                      <w:rPr>
                        <w:b/>
                        <w:sz w:val="16"/>
                        <w:szCs w:val="16"/>
                      </w:rPr>
                      <w:t>5</w:t>
                    </w:r>
                  </w:p>
                </w:tc>
                <w:tc>
                  <w:tcPr>
                    <w:tcW w:w="333" w:type="pct"/>
                    <w:shd w:val="clear" w:color="auto" w:fill="auto"/>
                  </w:tcPr>
                  <w:p>
                    <w:pPr>
                      <w:ind w:left="-57" w:right="-57"/>
                      <w:jc w:val="center"/>
                      <w:rPr>
                        <w:b/>
                        <w:sz w:val="16"/>
                        <w:szCs w:val="16"/>
                      </w:rPr>
                    </w:pPr>
                    <w:r>
                      <w:rPr>
                        <w:b/>
                        <w:sz w:val="16"/>
                        <w:szCs w:val="16"/>
                      </w:rPr>
                      <w:t>6</w:t>
                    </w:r>
                  </w:p>
                </w:tc>
                <w:tc>
                  <w:tcPr>
                    <w:tcW w:w="400" w:type="pct"/>
                    <w:shd w:val="clear" w:color="auto" w:fill="auto"/>
                  </w:tcPr>
                  <w:p>
                    <w:pPr>
                      <w:ind w:left="-57" w:right="-57"/>
                      <w:jc w:val="center"/>
                      <w:rPr>
                        <w:b/>
                        <w:sz w:val="16"/>
                        <w:szCs w:val="16"/>
                      </w:rPr>
                    </w:pPr>
                    <w:r>
                      <w:rPr>
                        <w:b/>
                        <w:sz w:val="16"/>
                        <w:szCs w:val="16"/>
                      </w:rPr>
                      <w:t>7</w:t>
                    </w:r>
                  </w:p>
                </w:tc>
                <w:tc>
                  <w:tcPr>
                    <w:tcW w:w="334" w:type="pct"/>
                    <w:shd w:val="clear" w:color="auto" w:fill="auto"/>
                  </w:tcPr>
                  <w:p>
                    <w:pPr>
                      <w:ind w:left="-57" w:right="-57"/>
                      <w:jc w:val="center"/>
                      <w:rPr>
                        <w:b/>
                        <w:sz w:val="16"/>
                        <w:szCs w:val="16"/>
                      </w:rPr>
                    </w:pPr>
                    <w:r>
                      <w:rPr>
                        <w:b/>
                        <w:sz w:val="16"/>
                        <w:szCs w:val="16"/>
                      </w:rPr>
                      <w:t>8</w:t>
                    </w:r>
                  </w:p>
                </w:tc>
                <w:tc>
                  <w:tcPr>
                    <w:tcW w:w="666" w:type="pct"/>
                    <w:shd w:val="clear" w:color="auto" w:fill="auto"/>
                  </w:tcPr>
                  <w:p>
                    <w:pPr>
                      <w:ind w:left="-57" w:right="-57"/>
                      <w:jc w:val="center"/>
                      <w:rPr>
                        <w:b/>
                        <w:sz w:val="16"/>
                        <w:szCs w:val="16"/>
                      </w:rPr>
                    </w:pPr>
                    <w:r>
                      <w:rPr>
                        <w:b/>
                        <w:sz w:val="16"/>
                        <w:szCs w:val="16"/>
                      </w:rPr>
                      <w:t>9</w:t>
                    </w:r>
                  </w:p>
                </w:tc>
                <w:tc>
                  <w:tcPr>
                    <w:tcW w:w="560" w:type="pct"/>
                    <w:shd w:val="clear" w:color="auto" w:fill="auto"/>
                  </w:tcPr>
                  <w:p>
                    <w:pPr>
                      <w:ind w:left="-57" w:right="-57"/>
                      <w:jc w:val="center"/>
                      <w:rPr>
                        <w:b/>
                        <w:sz w:val="16"/>
                        <w:szCs w:val="16"/>
                      </w:rPr>
                    </w:pPr>
                    <w:r>
                      <w:rPr>
                        <w:b/>
                        <w:sz w:val="16"/>
                        <w:szCs w:val="16"/>
                      </w:rPr>
                      <w:t>10</w:t>
                    </w:r>
                  </w:p>
                </w:tc>
                <w:tc>
                  <w:tcPr>
                    <w:tcW w:w="373" w:type="pct"/>
                    <w:shd w:val="clear" w:color="auto" w:fill="auto"/>
                  </w:tcPr>
                  <w:p>
                    <w:pPr>
                      <w:ind w:left="-57" w:right="-57"/>
                      <w:jc w:val="center"/>
                      <w:rPr>
                        <w:b/>
                        <w:sz w:val="16"/>
                        <w:szCs w:val="16"/>
                      </w:rPr>
                    </w:pPr>
                    <w:r>
                      <w:rPr>
                        <w:b/>
                        <w:sz w:val="16"/>
                        <w:szCs w:val="16"/>
                      </w:rPr>
                      <w:t>11</w:t>
                    </w:r>
                  </w:p>
                </w:tc>
                <w:tc>
                  <w:tcPr>
                    <w:tcW w:w="400" w:type="pct"/>
                    <w:shd w:val="clear" w:color="auto" w:fill="auto"/>
                  </w:tcPr>
                  <w:p>
                    <w:pPr>
                      <w:ind w:left="-57" w:right="-57"/>
                      <w:jc w:val="center"/>
                      <w:rPr>
                        <w:b/>
                        <w:sz w:val="16"/>
                        <w:szCs w:val="16"/>
                      </w:rPr>
                    </w:pPr>
                    <w:r>
                      <w:rPr>
                        <w:b/>
                        <w:sz w:val="16"/>
                        <w:szCs w:val="16"/>
                      </w:rPr>
                      <w:t>12</w:t>
                    </w:r>
                  </w:p>
                </w:tc>
              </w:tr>
              <w:tr>
                <w:trPr>
                  <w:trHeight w:val="458"/>
                </w:trPr>
                <w:tc>
                  <w:tcPr>
                    <w:tcW w:w="613" w:type="pct"/>
                    <w:vMerge w:val="restart"/>
                  </w:tcPr>
                  <w:p>
                    <w:pPr>
                      <w:ind w:left="-57" w:right="-57"/>
                      <w:rPr>
                        <w:iCs/>
                        <w:sz w:val="18"/>
                        <w:szCs w:val="18"/>
                      </w:rPr>
                    </w:pPr>
                    <w:r>
                      <w:rPr>
                        <w:iCs/>
                        <w:sz w:val="18"/>
                        <w:szCs w:val="18"/>
                      </w:rPr>
                      <w:t>1.</w:t>
                    </w:r>
                    <w:r>
                      <w:rPr>
                        <w:i/>
                        <w:sz w:val="18"/>
                        <w:szCs w:val="18"/>
                      </w:rPr>
                      <w:t xml:space="preserve"> </w:t>
                    </w:r>
                    <w:r>
                      <w:rPr>
                        <w:color w:val="000000"/>
                        <w:sz w:val="20"/>
                      </w:rPr>
                      <w:t>Teisės aktų, susijusių su profesinio mokymo reglamentavimu, rengimas</w:t>
                    </w:r>
                  </w:p>
                </w:tc>
                <w:tc>
                  <w:tcPr>
                    <w:tcW w:w="387" w:type="pct"/>
                    <w:vMerge w:val="restart"/>
                  </w:tcPr>
                  <w:p>
                    <w:pPr>
                      <w:ind w:left="-57" w:right="-57"/>
                      <w:rPr>
                        <w:sz w:val="18"/>
                        <w:szCs w:val="18"/>
                      </w:rPr>
                    </w:pPr>
                    <w:r>
                      <w:rPr>
                        <w:sz w:val="18"/>
                        <w:szCs w:val="18"/>
                      </w:rPr>
                      <w:t>R</w:t>
                    </w:r>
                  </w:p>
                </w:tc>
                <w:tc>
                  <w:tcPr>
                    <w:tcW w:w="267" w:type="pct"/>
                    <w:vMerge w:val="restart"/>
                  </w:tcPr>
                  <w:p>
                    <w:pPr>
                      <w:ind w:left="-57" w:right="-57"/>
                      <w:rPr>
                        <w:sz w:val="18"/>
                        <w:szCs w:val="18"/>
                      </w:rPr>
                    </w:pPr>
                    <w:r>
                      <w:rPr>
                        <w:sz w:val="18"/>
                        <w:szCs w:val="18"/>
                      </w:rPr>
                      <w:t>-</w:t>
                    </w:r>
                  </w:p>
                </w:tc>
                <w:tc>
                  <w:tcPr>
                    <w:tcW w:w="267" w:type="pct"/>
                    <w:vMerge w:val="restart"/>
                  </w:tcPr>
                  <w:p>
                    <w:pPr>
                      <w:ind w:left="-57" w:right="-57"/>
                      <w:rPr>
                        <w:sz w:val="18"/>
                        <w:szCs w:val="18"/>
                      </w:rPr>
                    </w:pPr>
                    <w:r>
                      <w:rPr>
                        <w:sz w:val="18"/>
                        <w:szCs w:val="18"/>
                      </w:rPr>
                      <w:t>-</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w:t>
                    </w:r>
                  </w:p>
                </w:tc>
                <w:tc>
                  <w:tcPr>
                    <w:tcW w:w="400" w:type="pct"/>
                    <w:vMerge w:val="restart"/>
                  </w:tcPr>
                  <w:p>
                    <w:pPr>
                      <w:ind w:left="-57" w:right="-57"/>
                      <w:rPr>
                        <w:sz w:val="18"/>
                        <w:szCs w:val="18"/>
                      </w:rPr>
                    </w:pPr>
                    <w:r>
                      <w:rPr>
                        <w:sz w:val="18"/>
                        <w:szCs w:val="18"/>
                      </w:rPr>
                      <w:t>-</w:t>
                    </w:r>
                  </w:p>
                </w:tc>
                <w:tc>
                  <w:tcPr>
                    <w:tcW w:w="334" w:type="pct"/>
                    <w:vMerge w:val="restart"/>
                  </w:tcPr>
                  <w:p>
                    <w:pPr>
                      <w:ind w:left="-57" w:right="-57"/>
                      <w:rPr>
                        <w:sz w:val="18"/>
                        <w:szCs w:val="18"/>
                      </w:rPr>
                    </w:pPr>
                    <w:r>
                      <w:rPr>
                        <w:sz w:val="18"/>
                        <w:szCs w:val="18"/>
                      </w:rPr>
                      <w:t>-</w:t>
                    </w:r>
                  </w:p>
                </w:tc>
                <w:tc>
                  <w:tcPr>
                    <w:tcW w:w="666" w:type="pct"/>
                  </w:tcPr>
                  <w:p>
                    <w:pPr>
                      <w:rPr>
                        <w:sz w:val="18"/>
                        <w:szCs w:val="18"/>
                      </w:rPr>
                    </w:pPr>
                    <w:r>
                      <w:rPr>
                        <w:color w:val="000000"/>
                        <w:sz w:val="20"/>
                      </w:rPr>
                      <w:t xml:space="preserve">P – </w:t>
                    </w:r>
                    <w:r>
                      <w:rPr>
                        <w:color w:val="000000"/>
                        <w:sz w:val="20"/>
                        <w:shd w:val="clear" w:color="auto" w:fill="FFFFFF"/>
                      </w:rPr>
                      <w:t>Paskelbtas teisės akto dėl Nacionalinės profesinio mokymo pažangos platformos steigimo projektas konsultacijoms su socialiniais partneriais ir suinteresuotosiomis šalimis </w:t>
                    </w:r>
                  </w:p>
                </w:tc>
                <w:tc>
                  <w:tcPr>
                    <w:tcW w:w="560" w:type="pct"/>
                  </w:tcPr>
                  <w:p>
                    <w:pPr>
                      <w:ind w:left="-57" w:right="-57"/>
                      <w:rPr>
                        <w:sz w:val="18"/>
                        <w:szCs w:val="18"/>
                      </w:rPr>
                    </w:pPr>
                    <w:r>
                      <w:rPr>
                        <w:sz w:val="18"/>
                        <w:szCs w:val="18"/>
                        <w:lang w:val="en-GB"/>
                      </w:rPr>
                      <w:t>1</w:t>
                    </w:r>
                    <w:r>
                      <w:rPr>
                        <w:color w:val="000000"/>
                        <w:sz w:val="20"/>
                      </w:rPr>
                      <w:t>(2022 m.)</w:t>
                    </w:r>
                  </w:p>
                </w:tc>
                <w:tc>
                  <w:tcPr>
                    <w:tcW w:w="373" w:type="pct"/>
                    <w:vMerge w:val="restart"/>
                  </w:tcPr>
                  <w:p>
                    <w:pPr>
                      <w:ind w:left="-57" w:right="-57"/>
                      <w:rPr>
                        <w:sz w:val="18"/>
                        <w:szCs w:val="18"/>
                      </w:rPr>
                    </w:pPr>
                    <w:r>
                      <w:rPr>
                        <w:color w:val="000000"/>
                        <w:sz w:val="20"/>
                      </w:rPr>
                      <w:t>ŠMSM</w:t>
                    </w:r>
                  </w:p>
                </w:tc>
                <w:tc>
                  <w:tcPr>
                    <w:tcW w:w="400" w:type="pct"/>
                    <w:vMerge w:val="restart"/>
                  </w:tcPr>
                  <w:p>
                    <w:pPr>
                      <w:ind w:left="-57" w:right="-57"/>
                      <w:rPr>
                        <w:sz w:val="18"/>
                        <w:szCs w:val="18"/>
                      </w:rPr>
                    </w:pPr>
                    <w:r>
                      <w:rPr>
                        <w:color w:val="000000"/>
                        <w:sz w:val="20"/>
                      </w:rPr>
                      <w:t>ŠMSM</w:t>
                    </w: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Nacionalinės profesinio mokymo pažangos platformos sukūrimą patvirtinančių teisės aktų įsigaliojimas</w:t>
                    </w:r>
                  </w:p>
                </w:tc>
                <w:tc>
                  <w:tcPr>
                    <w:tcW w:w="560" w:type="pct"/>
                  </w:tcPr>
                  <w:p>
                    <w:pPr>
                      <w:ind w:left="-57" w:right="-57"/>
                      <w:rPr>
                        <w:color w:val="000000"/>
                        <w:sz w:val="20"/>
                      </w:rPr>
                    </w:pPr>
                    <w:r>
                      <w:rPr>
                        <w:color w:val="000000"/>
                        <w:sz w:val="20"/>
                      </w:rPr>
                      <w:t xml:space="preserve">1 </w:t>
                    </w:r>
                  </w:p>
                  <w:p>
                    <w:pPr>
                      <w:ind w:left="-57" w:right="-57"/>
                      <w:rPr>
                        <w:sz w:val="18"/>
                        <w:szCs w:val="18"/>
                        <w:lang w:val="en-GB"/>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P – </w:t>
                    </w:r>
                    <w:r>
                      <w:rPr>
                        <w:sz w:val="20"/>
                        <w:lang w:eastAsia="lt-LT"/>
                      </w:rPr>
                      <w:t>Įsigalioję Lietuvos Respublikos profesinio mokymo įstatymo pakeitimai dėl profesinio mokymo kompetencijos centrų</w:t>
                    </w:r>
                  </w:p>
                </w:tc>
                <w:tc>
                  <w:tcPr>
                    <w:tcW w:w="560" w:type="pct"/>
                  </w:tcPr>
                  <w:p>
                    <w:pPr>
                      <w:ind w:left="-57" w:right="-57"/>
                      <w:rPr>
                        <w:color w:val="000000"/>
                        <w:sz w:val="20"/>
                      </w:rPr>
                    </w:pPr>
                    <w:r>
                      <w:rPr>
                        <w:color w:val="000000"/>
                        <w:sz w:val="20"/>
                      </w:rPr>
                      <w:t>1</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color w:val="000000"/>
                        <w:sz w:val="20"/>
                      </w:rPr>
                    </w:pPr>
                    <w:r>
                      <w:rPr>
                        <w:color w:val="000000"/>
                        <w:sz w:val="20"/>
                      </w:rPr>
                      <w:t>P – Įsigalioję teisės aktai, kuriais nustatoma Paramos pameistrystei ir mokymuisi darbo vietoje schema</w:t>
                    </w:r>
                  </w:p>
                  <w:p>
                    <w:pPr>
                      <w:rPr>
                        <w:sz w:val="18"/>
                        <w:szCs w:val="18"/>
                      </w:rPr>
                    </w:pP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Įsigalioję Profesinio mokymo įstatymo pakeitimai dėl priėmimo į valstybės finansuojamas vietas profesiniame mokyme planavimo metodikos</w:t>
                    </w: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tcPr>
                  <w:p>
                    <w:pPr>
                      <w:ind w:left="-57" w:right="-57"/>
                      <w:rPr>
                        <w:i/>
                        <w:sz w:val="18"/>
                        <w:szCs w:val="18"/>
                      </w:rPr>
                    </w:pPr>
                    <w:r>
                      <w:rPr>
                        <w:color w:val="000000"/>
                        <w:sz w:val="20"/>
                      </w:rPr>
                      <w:t>2. Priemonių profesinio mokymo programoms atnaujinti ar parengti, profesijos mokytojams ir meistrams praktikams pritraukti parengimas</w:t>
                    </w:r>
                  </w:p>
                  <w:p>
                    <w:pPr>
                      <w:ind w:left="-57" w:right="-57"/>
                      <w:rPr>
                        <w:color w:val="000000"/>
                        <w:sz w:val="20"/>
                      </w:rPr>
                    </w:pPr>
                  </w:p>
                </w:tc>
                <w:tc>
                  <w:tcPr>
                    <w:tcW w:w="387" w:type="pct"/>
                  </w:tcPr>
                  <w:p>
                    <w:pPr>
                      <w:ind w:left="-57" w:right="-57"/>
                      <w:rPr>
                        <w:sz w:val="18"/>
                        <w:szCs w:val="18"/>
                      </w:rPr>
                    </w:pPr>
                  </w:p>
                </w:tc>
                <w:tc>
                  <w:tcPr>
                    <w:tcW w:w="267" w:type="pct"/>
                  </w:tcPr>
                  <w:p>
                    <w:pPr>
                      <w:ind w:left="-57" w:right="-57"/>
                      <w:rPr>
                        <w:sz w:val="18"/>
                        <w:szCs w:val="18"/>
                      </w:rPr>
                    </w:pPr>
                  </w:p>
                </w:tc>
                <w:tc>
                  <w:tcPr>
                    <w:tcW w:w="267" w:type="pct"/>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tcPr>
                  <w:p>
                    <w:pPr>
                      <w:ind w:left="-57" w:right="-57"/>
                      <w:rPr>
                        <w:sz w:val="18"/>
                        <w:szCs w:val="18"/>
                      </w:rPr>
                    </w:pPr>
                  </w:p>
                </w:tc>
                <w:tc>
                  <w:tcPr>
                    <w:tcW w:w="334" w:type="pct"/>
                  </w:tcPr>
                  <w:p>
                    <w:pPr>
                      <w:ind w:left="-57" w:right="-57"/>
                      <w:rPr>
                        <w:sz w:val="20"/>
                        <w:highlight w:val="cyan"/>
                      </w:rPr>
                    </w:pPr>
                  </w:p>
                </w:tc>
                <w:tc>
                  <w:tcPr>
                    <w:tcW w:w="666" w:type="pct"/>
                  </w:tcPr>
                  <w:p>
                    <w:pPr>
                      <w:rPr>
                        <w:color w:val="000000"/>
                        <w:sz w:val="20"/>
                        <w:highlight w:val="cyan"/>
                      </w:rPr>
                    </w:pPr>
                  </w:p>
                </w:tc>
                <w:tc>
                  <w:tcPr>
                    <w:tcW w:w="560" w:type="pct"/>
                  </w:tcPr>
                  <w:p>
                    <w:pPr>
                      <w:ind w:left="-57" w:right="-57"/>
                      <w:rPr>
                        <w:sz w:val="18"/>
                        <w:szCs w:val="18"/>
                      </w:rPr>
                    </w:pPr>
                  </w:p>
                </w:tc>
                <w:tc>
                  <w:tcPr>
                    <w:tcW w:w="373" w:type="pct"/>
                  </w:tcPr>
                  <w:p>
                    <w:pPr>
                      <w:ind w:left="-57" w:right="-57"/>
                      <w:rPr>
                        <w:sz w:val="18"/>
                        <w:szCs w:val="18"/>
                      </w:rPr>
                    </w:pPr>
                  </w:p>
                </w:tc>
                <w:tc>
                  <w:tcPr>
                    <w:tcW w:w="400" w:type="pct"/>
                  </w:tcPr>
                  <w:p>
                    <w:pPr>
                      <w:ind w:left="-57" w:right="-57"/>
                      <w:rPr>
                        <w:sz w:val="18"/>
                        <w:szCs w:val="18"/>
                      </w:rPr>
                    </w:pPr>
                  </w:p>
                </w:tc>
              </w:tr>
              <w:tr>
                <w:trPr>
                  <w:trHeight w:val="458"/>
                </w:trPr>
                <w:tc>
                  <w:tcPr>
                    <w:tcW w:w="613" w:type="pct"/>
                    <w:vMerge w:val="restart"/>
                  </w:tcPr>
                  <w:p>
                    <w:pPr>
                      <w:ind w:left="-57" w:right="-57"/>
                      <w:rPr>
                        <w:i/>
                        <w:sz w:val="18"/>
                        <w:szCs w:val="18"/>
                      </w:rPr>
                    </w:pPr>
                    <w:r>
                      <w:rPr>
                        <w:color w:val="000000"/>
                        <w:sz w:val="20"/>
                        <w:lang w:val="es-ES"/>
                      </w:rPr>
                      <w:t xml:space="preserve">2.1. </w:t>
                    </w:r>
                    <w:r>
                      <w:rPr>
                        <w:sz w:val="20"/>
                      </w:rPr>
                      <w:t>Formaliojo profesinio mokymo programų atnaujinimas ir (ar) parengimas</w:t>
                    </w:r>
                  </w:p>
                </w:tc>
                <w:tc>
                  <w:tcPr>
                    <w:tcW w:w="387" w:type="pct"/>
                    <w:vMerge w:val="restart"/>
                  </w:tcPr>
                  <w:p>
                    <w:pPr>
                      <w:ind w:left="-57" w:right="-57"/>
                      <w:rPr>
                        <w:sz w:val="18"/>
                        <w:szCs w:val="18"/>
                      </w:rPr>
                    </w:pPr>
                    <w:r>
                      <w:rPr>
                        <w:sz w:val="18"/>
                        <w:szCs w:val="18"/>
                      </w:rPr>
                      <w:t>M</w:t>
                    </w:r>
                  </w:p>
                </w:tc>
                <w:tc>
                  <w:tcPr>
                    <w:tcW w:w="267" w:type="pct"/>
                    <w:vMerge w:val="restart"/>
                  </w:tcPr>
                  <w:p>
                    <w:pPr>
                      <w:ind w:left="-57" w:right="-57"/>
                      <w:rPr>
                        <w:sz w:val="18"/>
                        <w:szCs w:val="18"/>
                      </w:rPr>
                    </w:pPr>
                    <w:r>
                      <w:rPr>
                        <w:sz w:val="18"/>
                        <w:szCs w:val="18"/>
                      </w:rPr>
                      <w:t>ESFA</w:t>
                    </w:r>
                  </w:p>
                </w:tc>
                <w:tc>
                  <w:tcPr>
                    <w:tcW w:w="267" w:type="pct"/>
                    <w:vMerge w:val="restart"/>
                  </w:tcPr>
                  <w:p>
                    <w:pPr>
                      <w:ind w:left="-57" w:right="-57"/>
                      <w:rPr>
                        <w:sz w:val="18"/>
                        <w:szCs w:val="18"/>
                      </w:rPr>
                    </w:pPr>
                    <w:r>
                      <w:rPr>
                        <w:sz w:val="18"/>
                        <w:szCs w:val="18"/>
                      </w:rPr>
                      <w:t>P</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sz w:val="18"/>
                        <w:szCs w:val="18"/>
                      </w:rPr>
                      <w:t xml:space="preserve">1 900 </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color w:val="000000"/>
                        <w:sz w:val="20"/>
                      </w:rPr>
                      <w:t xml:space="preserve">399 </w:t>
                    </w:r>
                  </w:p>
                  <w:p>
                    <w:pPr>
                      <w:ind w:left="-57" w:right="-57"/>
                      <w:rPr>
                        <w:sz w:val="18"/>
                        <w:szCs w:val="18"/>
                      </w:rPr>
                    </w:pPr>
                  </w:p>
                </w:tc>
                <w:tc>
                  <w:tcPr>
                    <w:tcW w:w="334" w:type="pct"/>
                    <w:vMerge w:val="restart"/>
                  </w:tcPr>
                  <w:p>
                    <w:pPr>
                      <w:ind w:left="-57" w:right="-57"/>
                      <w:rPr>
                        <w:bCs/>
                        <w:sz w:val="20"/>
                      </w:rPr>
                    </w:pPr>
                    <w:r>
                      <w:rPr>
                        <w:sz w:val="20"/>
                      </w:rPr>
                      <w:t>Ekonomikos gaivinimo ir atsparumo didinimo priemonės lėšos (EGADP)</w:t>
                    </w:r>
                  </w:p>
                  <w:p>
                    <w:pPr>
                      <w:ind w:left="-57" w:right="-57"/>
                      <w:rPr>
                        <w:sz w:val="20"/>
                        <w:highlight w:val="cyan"/>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pPr>
                      <w:rPr>
                        <w:sz w:val="18"/>
                        <w:szCs w:val="18"/>
                      </w:rPr>
                    </w:pPr>
                  </w:p>
                </w:tc>
                <w:tc>
                  <w:tcPr>
                    <w:tcW w:w="560" w:type="pct"/>
                  </w:tcPr>
                  <w:p>
                    <w:pPr>
                      <w:ind w:left="-57" w:right="-57"/>
                      <w:rPr>
                        <w:sz w:val="18"/>
                        <w:szCs w:val="18"/>
                      </w:rPr>
                    </w:pPr>
                    <w:r>
                      <w:rPr>
                        <w:sz w:val="18"/>
                        <w:szCs w:val="18"/>
                      </w:rPr>
                      <w:t xml:space="preserve">1 </w:t>
                    </w:r>
                  </w:p>
                  <w:p>
                    <w:pPr>
                      <w:ind w:left="-57" w:right="-57"/>
                      <w:rPr>
                        <w:sz w:val="18"/>
                        <w:szCs w:val="18"/>
                      </w:rPr>
                    </w:pPr>
                    <w:r>
                      <w:rPr>
                        <w:sz w:val="18"/>
                        <w:szCs w:val="18"/>
                      </w:rPr>
                      <w:t>(202</w:t>
                    </w:r>
                    <w:r>
                      <w:rPr>
                        <w:sz w:val="18"/>
                        <w:szCs w:val="18"/>
                        <w:lang w:val="en-GB"/>
                      </w:rPr>
                      <w:t>3</w:t>
                    </w:r>
                    <w:r>
                      <w:rPr>
                        <w:sz w:val="18"/>
                        <w:szCs w:val="18"/>
                      </w:rPr>
                      <w:t xml:space="preserve">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w:t>
                    </w: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Užregistruotos naujos ar atnaujintos profesinio mokymo programos, kurios yra prieinamos mokymo paslaugų teikėjams</w:t>
                    </w:r>
                  </w:p>
                </w:tc>
                <w:tc>
                  <w:tcPr>
                    <w:tcW w:w="560" w:type="pct"/>
                  </w:tcPr>
                  <w:p>
                    <w:pPr>
                      <w:ind w:left="-57" w:right="-57"/>
                      <w:rPr>
                        <w:color w:val="000000"/>
                        <w:sz w:val="20"/>
                      </w:rPr>
                    </w:pPr>
                    <w:r>
                      <w:rPr>
                        <w:color w:val="000000"/>
                        <w:sz w:val="20"/>
                      </w:rPr>
                      <w:t xml:space="preserve">95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Profesijos mokytojai ir (arba) meistrai, dalyvaujantys pameistrių ir praktikas atliekančių mokinių mokymo procese</w:t>
                    </w:r>
                  </w:p>
                </w:tc>
                <w:tc>
                  <w:tcPr>
                    <w:tcW w:w="560" w:type="pct"/>
                  </w:tcPr>
                  <w:p>
                    <w:pPr>
                      <w:ind w:left="-57" w:right="-57"/>
                      <w:rPr>
                        <w:color w:val="000000"/>
                        <w:sz w:val="20"/>
                      </w:rPr>
                    </w:pPr>
                    <w:r>
                      <w:rPr>
                        <w:color w:val="000000"/>
                        <w:sz w:val="20"/>
                      </w:rPr>
                      <w:t xml:space="preserve">1 000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val="restart"/>
                  </w:tcPr>
                  <w:p>
                    <w:pPr>
                      <w:ind w:left="-57" w:right="-57"/>
                      <w:rPr>
                        <w:color w:val="000000"/>
                        <w:sz w:val="20"/>
                        <w:lang w:val="es-ES"/>
                      </w:rPr>
                    </w:pPr>
                    <w:r>
                      <w:rPr>
                        <w:sz w:val="20"/>
                      </w:rPr>
                      <w:t>2.2. Profesijos mokytojų ir (arba) meistrų kompetencijų tobulinimas</w:t>
                    </w:r>
                  </w:p>
                </w:tc>
                <w:tc>
                  <w:tcPr>
                    <w:tcW w:w="387" w:type="pct"/>
                    <w:vMerge w:val="restart"/>
                  </w:tcPr>
                  <w:p>
                    <w:pPr>
                      <w:ind w:left="-57" w:right="-57"/>
                      <w:rPr>
                        <w:sz w:val="18"/>
                        <w:szCs w:val="18"/>
                      </w:rPr>
                    </w:pPr>
                    <w:r>
                      <w:rPr>
                        <w:sz w:val="18"/>
                        <w:szCs w:val="18"/>
                      </w:rPr>
                      <w:t>M</w:t>
                    </w:r>
                  </w:p>
                </w:tc>
                <w:tc>
                  <w:tcPr>
                    <w:tcW w:w="267" w:type="pct"/>
                    <w:vMerge w:val="restart"/>
                  </w:tcPr>
                  <w:p>
                    <w:pPr>
                      <w:ind w:left="-57" w:right="-57"/>
                      <w:rPr>
                        <w:sz w:val="18"/>
                        <w:szCs w:val="18"/>
                      </w:rPr>
                    </w:pPr>
                    <w:r>
                      <w:rPr>
                        <w:sz w:val="18"/>
                        <w:szCs w:val="18"/>
                      </w:rPr>
                      <w:t>ESFA</w:t>
                    </w:r>
                  </w:p>
                </w:tc>
                <w:tc>
                  <w:tcPr>
                    <w:tcW w:w="267" w:type="pct"/>
                    <w:vMerge w:val="restart"/>
                  </w:tcPr>
                  <w:p>
                    <w:pPr>
                      <w:ind w:left="-57" w:right="-57"/>
                      <w:rPr>
                        <w:sz w:val="18"/>
                        <w:szCs w:val="18"/>
                      </w:rPr>
                    </w:pPr>
                    <w:r>
                      <w:rPr>
                        <w:sz w:val="18"/>
                        <w:szCs w:val="18"/>
                      </w:rPr>
                      <w:t>P</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sz w:val="18"/>
                        <w:szCs w:val="18"/>
                      </w:rPr>
                      <w:t>3 100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651</w:t>
                    </w:r>
                  </w:p>
                </w:tc>
                <w:tc>
                  <w:tcPr>
                    <w:tcW w:w="334" w:type="pct"/>
                    <w:vMerge w:val="restart"/>
                  </w:tcPr>
                  <w:p>
                    <w:pPr>
                      <w:ind w:left="-57" w:right="-57"/>
                      <w:rPr>
                        <w:bCs/>
                        <w:sz w:val="20"/>
                      </w:rPr>
                    </w:pPr>
                    <w:r>
                      <w:rPr>
                        <w:sz w:val="20"/>
                      </w:rPr>
                      <w:t>Ekonomikos gaivinimo ir atsparumo didinimo priemonės lėšos (EGADP)</w:t>
                    </w:r>
                  </w:p>
                  <w:p>
                    <w:pPr>
                      <w:ind w:left="-57" w:right="-57"/>
                      <w:rPr>
                        <w:bCs/>
                        <w:sz w:val="20"/>
                        <w:highlight w:val="cyan"/>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pPr>
                      <w:rPr>
                        <w:sz w:val="18"/>
                        <w:szCs w:val="18"/>
                      </w:rPr>
                    </w:pPr>
                  </w:p>
                </w:tc>
                <w:tc>
                  <w:tcPr>
                    <w:tcW w:w="560" w:type="pct"/>
                  </w:tcPr>
                  <w:p>
                    <w:pPr>
                      <w:ind w:left="-57" w:right="-57"/>
                      <w:rPr>
                        <w:sz w:val="18"/>
                        <w:szCs w:val="18"/>
                      </w:rPr>
                    </w:pPr>
                    <w:r>
                      <w:rPr>
                        <w:sz w:val="18"/>
                        <w:szCs w:val="18"/>
                      </w:rPr>
                      <w:t xml:space="preserve">1 </w:t>
                    </w:r>
                  </w:p>
                  <w:p>
                    <w:pPr>
                      <w:ind w:left="-57" w:right="-57"/>
                      <w:rPr>
                        <w:sz w:val="18"/>
                        <w:szCs w:val="18"/>
                      </w:rPr>
                    </w:pPr>
                    <w:r>
                      <w:rPr>
                        <w:sz w:val="18"/>
                        <w:szCs w:val="18"/>
                      </w:rPr>
                      <w:t>(202</w:t>
                    </w:r>
                    <w:r>
                      <w:rPr>
                        <w:sz w:val="18"/>
                        <w:szCs w:val="18"/>
                        <w:lang w:val="en-GB"/>
                      </w:rPr>
                      <w:t>3</w:t>
                    </w:r>
                    <w:r>
                      <w:rPr>
                        <w:sz w:val="18"/>
                        <w:szCs w:val="18"/>
                      </w:rPr>
                      <w:t xml:space="preserve">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w:t>
                    </w: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Užregistruotos naujos ar atnaujintos profesinio mokymo programos, kurios yra prieinamos mokymo paslaugų teikėjams</w:t>
                    </w:r>
                  </w:p>
                </w:tc>
                <w:tc>
                  <w:tcPr>
                    <w:tcW w:w="560" w:type="pct"/>
                  </w:tcPr>
                  <w:p>
                    <w:pPr>
                      <w:ind w:left="-57" w:right="-57"/>
                      <w:rPr>
                        <w:color w:val="000000"/>
                        <w:sz w:val="20"/>
                      </w:rPr>
                    </w:pPr>
                    <w:r>
                      <w:rPr>
                        <w:color w:val="000000"/>
                        <w:sz w:val="20"/>
                      </w:rPr>
                      <w:t xml:space="preserve">95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Profesijos mokytojai ir (arba) meistrai, dalyvaujantys pameistrių ir praktikas atliekančių mokinių mokymo procese</w:t>
                    </w:r>
                  </w:p>
                </w:tc>
                <w:tc>
                  <w:tcPr>
                    <w:tcW w:w="560" w:type="pct"/>
                  </w:tcPr>
                  <w:p>
                    <w:pPr>
                      <w:ind w:right="-57"/>
                      <w:rPr>
                        <w:color w:val="000000"/>
                        <w:sz w:val="20"/>
                      </w:rPr>
                    </w:pPr>
                    <w:r>
                      <w:rPr>
                        <w:color w:val="000000"/>
                        <w:sz w:val="20"/>
                      </w:rPr>
                      <w:t xml:space="preserve">1 000 </w:t>
                    </w:r>
                  </w:p>
                  <w:p>
                    <w:pPr>
                      <w:ind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tcPr>
                  <w:p>
                    <w:pPr>
                      <w:ind w:left="-57" w:right="-57"/>
                      <w:rPr>
                        <w:sz w:val="18"/>
                        <w:szCs w:val="18"/>
                      </w:rPr>
                    </w:pPr>
                    <w:r>
                      <w:rPr>
                        <w:color w:val="000000"/>
                        <w:sz w:val="20"/>
                      </w:rPr>
                      <w:t>3. Priemonių bendrajam ugdymui ir profesiniam mokymui suartinti parengimas:</w:t>
                    </w:r>
                  </w:p>
                </w:tc>
                <w:tc>
                  <w:tcPr>
                    <w:tcW w:w="387" w:type="pct"/>
                  </w:tcPr>
                  <w:p>
                    <w:pPr>
                      <w:ind w:left="-57" w:right="-57"/>
                      <w:rPr>
                        <w:sz w:val="18"/>
                        <w:szCs w:val="18"/>
                      </w:rPr>
                    </w:pPr>
                  </w:p>
                </w:tc>
                <w:tc>
                  <w:tcPr>
                    <w:tcW w:w="267" w:type="pct"/>
                  </w:tcPr>
                  <w:p>
                    <w:pPr>
                      <w:ind w:left="-57" w:right="-57"/>
                      <w:rPr>
                        <w:sz w:val="18"/>
                        <w:szCs w:val="18"/>
                      </w:rPr>
                    </w:pPr>
                  </w:p>
                </w:tc>
                <w:tc>
                  <w:tcPr>
                    <w:tcW w:w="267" w:type="pct"/>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tcPr>
                  <w:p>
                    <w:pPr>
                      <w:ind w:left="-57" w:right="-57"/>
                      <w:rPr>
                        <w:sz w:val="18"/>
                        <w:szCs w:val="18"/>
                      </w:rPr>
                    </w:pPr>
                  </w:p>
                </w:tc>
                <w:tc>
                  <w:tcPr>
                    <w:tcW w:w="334" w:type="pct"/>
                  </w:tcPr>
                  <w:p>
                    <w:pPr>
                      <w:ind w:left="-57" w:right="-57"/>
                      <w:rPr>
                        <w:sz w:val="18"/>
                        <w:szCs w:val="18"/>
                      </w:rPr>
                    </w:pPr>
                  </w:p>
                </w:tc>
                <w:tc>
                  <w:tcPr>
                    <w:tcW w:w="666" w:type="pct"/>
                  </w:tcPr>
                  <w:p>
                    <w:pPr>
                      <w:rPr>
                        <w:sz w:val="18"/>
                        <w:szCs w:val="18"/>
                      </w:rPr>
                    </w:pPr>
                  </w:p>
                </w:tc>
                <w:tc>
                  <w:tcPr>
                    <w:tcW w:w="560" w:type="pct"/>
                  </w:tcPr>
                  <w:p>
                    <w:pPr>
                      <w:ind w:left="-57" w:right="-57"/>
                      <w:rPr>
                        <w:sz w:val="18"/>
                        <w:szCs w:val="18"/>
                      </w:rPr>
                    </w:pPr>
                  </w:p>
                </w:tc>
                <w:tc>
                  <w:tcPr>
                    <w:tcW w:w="373" w:type="pct"/>
                  </w:tcPr>
                  <w:p>
                    <w:pPr>
                      <w:ind w:left="-57" w:right="-57"/>
                      <w:rPr>
                        <w:sz w:val="18"/>
                        <w:szCs w:val="18"/>
                      </w:rPr>
                    </w:pPr>
                  </w:p>
                </w:tc>
                <w:tc>
                  <w:tcPr>
                    <w:tcW w:w="400" w:type="pct"/>
                  </w:tcPr>
                  <w:p>
                    <w:pPr>
                      <w:ind w:left="-57" w:right="-57"/>
                      <w:rPr>
                        <w:sz w:val="18"/>
                        <w:szCs w:val="18"/>
                      </w:rPr>
                    </w:pPr>
                  </w:p>
                </w:tc>
              </w:tr>
              <w:tr>
                <w:trPr>
                  <w:trHeight w:val="233"/>
                </w:trPr>
                <w:tc>
                  <w:tcPr>
                    <w:tcW w:w="613" w:type="pct"/>
                    <w:vMerge w:val="restart"/>
                  </w:tcPr>
                  <w:p>
                    <w:pPr>
                      <w:ind w:left="-57" w:right="-57"/>
                      <w:rPr>
                        <w:color w:val="000000"/>
                        <w:sz w:val="20"/>
                      </w:rPr>
                    </w:pPr>
                    <w:r>
                      <w:rPr>
                        <w:color w:val="000000"/>
                        <w:sz w:val="20"/>
                      </w:rPr>
                      <w:t>3.1. Galimybių mokytis profesinio mokymo programų modulius sudarymas</w:t>
                    </w:r>
                  </w:p>
                  <w:p>
                    <w:pPr>
                      <w:ind w:left="-57" w:right="-57"/>
                      <w:rPr>
                        <w:sz w:val="18"/>
                        <w:szCs w:val="18"/>
                      </w:rPr>
                    </w:pP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Profesinio mokymo įstaigos</w:t>
                    </w:r>
                  </w:p>
                </w:tc>
                <w:tc>
                  <w:tcPr>
                    <w:tcW w:w="267" w:type="pct"/>
                    <w:vMerge w:val="restart"/>
                  </w:tcPr>
                  <w:p>
                    <w:pPr>
                      <w:ind w:left="-57" w:right="-57"/>
                      <w:rPr>
                        <w:sz w:val="18"/>
                        <w:szCs w:val="18"/>
                      </w:rPr>
                    </w:pPr>
                    <w:r>
                      <w:rPr>
                        <w:color w:val="000000"/>
                        <w:sz w:val="20"/>
                      </w:rPr>
                      <w:t>TA</w:t>
                    </w:r>
                    <w:r>
                      <w:rPr>
                        <w:color w:val="000000"/>
                        <w:sz w:val="20"/>
                        <w:vertAlign w:val="superscript"/>
                      </w:rPr>
                      <w:footnoteReference w:id="1"/>
                    </w:r>
                    <w:r>
                      <w:rPr>
                        <w:color w:val="000000"/>
                        <w:sz w:val="20"/>
                      </w:rPr>
                      <w:t xml:space="preserve"> </w:t>
                    </w:r>
                  </w:p>
                </w:tc>
                <w:tc>
                  <w:tcPr>
                    <w:tcW w:w="400" w:type="pct"/>
                    <w:vMerge w:val="restart"/>
                  </w:tcPr>
                  <w:p>
                    <w:pPr>
                      <w:rPr>
                        <w:sz w:val="18"/>
                        <w:szCs w:val="18"/>
                      </w:rPr>
                    </w:pPr>
                    <w:r>
                      <w:rPr>
                        <w:color w:val="000000"/>
                        <w:sz w:val="20"/>
                      </w:rPr>
                      <w:t>Taip</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color w:val="000000"/>
                        <w:sz w:val="20"/>
                      </w:rPr>
                      <w:t>1 960</w:t>
                    </w:r>
                  </w:p>
                </w:tc>
                <w:tc>
                  <w:tcPr>
                    <w:tcW w:w="334" w:type="pct"/>
                    <w:vMerge w:val="restart"/>
                  </w:tcPr>
                  <w:p>
                    <w:pPr>
                      <w:ind w:left="-57" w:right="-57"/>
                      <w:rPr>
                        <w:sz w:val="18"/>
                        <w:szCs w:val="18"/>
                      </w:rPr>
                    </w:pPr>
                    <w:r>
                      <w:rPr>
                        <w:sz w:val="20"/>
                      </w:rPr>
                      <w:t>Ekonomikos gaivinimo ir atsparumo didinimo priemonės lėšos (EGADP)</w:t>
                    </w:r>
                  </w:p>
                </w:tc>
                <w:tc>
                  <w:tcPr>
                    <w:tcW w:w="666" w:type="pct"/>
                  </w:tcPr>
                  <w:p>
                    <w:pPr>
                      <w:rPr>
                        <w:sz w:val="18"/>
                        <w:szCs w:val="18"/>
                      </w:rPr>
                    </w:pPr>
                    <w:r>
                      <w:rPr>
                        <w:color w:val="000000"/>
                        <w:sz w:val="20"/>
                      </w:rPr>
                      <w:t>R – Mokinių, kurie mokosi pagal pagrindinio ir vidurinio ugdymo programas bendrojo ugdymo mokyklose ir yra baigę pirminio profesinio mokymo programos modulius, skaičiaus padidėjimas</w:t>
                    </w:r>
                  </w:p>
                </w:tc>
                <w:tc>
                  <w:tcPr>
                    <w:tcW w:w="560" w:type="pct"/>
                  </w:tcPr>
                  <w:p>
                    <w:pPr>
                      <w:ind w:left="-57" w:right="-57"/>
                      <w:rPr>
                        <w:color w:val="000000"/>
                        <w:sz w:val="20"/>
                      </w:rPr>
                    </w:pPr>
                    <w:r>
                      <w:rPr>
                        <w:color w:val="000000"/>
                        <w:sz w:val="20"/>
                      </w:rPr>
                      <w:t xml:space="preserve">4 900 </w:t>
                    </w:r>
                  </w:p>
                  <w:p>
                    <w:pPr>
                      <w:ind w:left="-57" w:right="-57"/>
                      <w:rPr>
                        <w:sz w:val="18"/>
                        <w:szCs w:val="18"/>
                        <w:lang w:val="en-GB"/>
                      </w:rPr>
                    </w:pPr>
                    <w:r>
                      <w:rPr>
                        <w:color w:val="000000"/>
                        <w:sz w:val="20"/>
                      </w:rPr>
                      <w:t>(</w:t>
                    </w:r>
                    <w:r>
                      <w:rPr>
                        <w:color w:val="000000"/>
                        <w:sz w:val="20"/>
                        <w:lang w:val="en-GB"/>
                      </w:rPr>
                      <w:t>2026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 SADM, EIM, ŽŪM</w:t>
                    </w: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Pagal pagrindinio ir vidurinio ugdymo programas bendrojo ugdymo mokyklose besimokantys mokiniai, baigę pirminio profesinio mokymo programos modulius</w:t>
                    </w:r>
                  </w:p>
                </w:tc>
                <w:tc>
                  <w:tcPr>
                    <w:tcW w:w="560" w:type="pct"/>
                  </w:tcPr>
                  <w:p>
                    <w:pPr>
                      <w:ind w:left="-57" w:right="-57"/>
                      <w:rPr>
                        <w:color w:val="000000"/>
                        <w:sz w:val="20"/>
                      </w:rPr>
                    </w:pPr>
                    <w:r>
                      <w:rPr>
                        <w:color w:val="000000"/>
                        <w:sz w:val="20"/>
                      </w:rPr>
                      <w:t xml:space="preserve">4 900 </w:t>
                    </w:r>
                  </w:p>
                  <w:p>
                    <w:pPr>
                      <w:ind w:left="-57" w:right="-57"/>
                      <w:rPr>
                        <w:sz w:val="18"/>
                        <w:szCs w:val="18"/>
                      </w:rPr>
                    </w:pPr>
                    <w:r>
                      <w:rPr>
                        <w:color w:val="000000"/>
                        <w:sz w:val="20"/>
                      </w:rPr>
                      <w:t>(</w:t>
                    </w:r>
                    <w:r>
                      <w:rPr>
                        <w:color w:val="000000"/>
                        <w:sz w:val="20"/>
                        <w:lang w:val="en-GB"/>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 xml:space="preserve">n/a </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 xml:space="preserve">3.2. Eksperimentinių profesinio mokymo programų plėtojimas </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Profesinio mokymo įstaigos</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color w:val="000000"/>
                        <w:sz w:val="20"/>
                      </w:rPr>
                      <w:t>4 040</w:t>
                    </w:r>
                  </w:p>
                </w:tc>
                <w:tc>
                  <w:tcPr>
                    <w:tcW w:w="334" w:type="pct"/>
                    <w:vMerge w:val="restart"/>
                  </w:tcPr>
                  <w:p>
                    <w:pPr>
                      <w:ind w:left="-57" w:right="-57"/>
                      <w:rPr>
                        <w:sz w:val="18"/>
                        <w:szCs w:val="18"/>
                      </w:rPr>
                    </w:pPr>
                    <w:r>
                      <w:rPr>
                        <w:sz w:val="20"/>
                      </w:rPr>
                      <w:t>Ekonomikos gaivinimo ir atsparumo didinimo priemonės lėšos (EGADP)</w:t>
                    </w:r>
                  </w:p>
                </w:tc>
                <w:tc>
                  <w:tcPr>
                    <w:tcW w:w="666" w:type="pct"/>
                  </w:tcPr>
                  <w:p>
                    <w:pPr>
                      <w:rPr>
                        <w:sz w:val="20"/>
                        <w:lang w:eastAsia="lt-LT"/>
                      </w:rPr>
                    </w:pPr>
                    <w:r>
                      <w:rPr>
                        <w:color w:val="000000"/>
                        <w:sz w:val="20"/>
                      </w:rPr>
                      <w:t xml:space="preserve">P – </w:t>
                    </w:r>
                    <w:r>
                      <w:rPr>
                        <w:sz w:val="20"/>
                        <w:lang w:eastAsia="lt-LT"/>
                      </w:rPr>
                      <w:t>Paramą gavę pagrindinio ugdymo programų mokiniai, besimokantys pagal eksperimentines profesinio mokymo programas</w:t>
                    </w:r>
                  </w:p>
                  <w:p>
                    <w:pPr>
                      <w:rPr>
                        <w:color w:val="000000"/>
                        <w:sz w:val="20"/>
                      </w:rPr>
                    </w:pPr>
                  </w:p>
                  <w:p>
                    <w:pPr>
                      <w:rPr>
                        <w:sz w:val="18"/>
                        <w:szCs w:val="18"/>
                      </w:rPr>
                    </w:pPr>
                  </w:p>
                </w:tc>
                <w:tc>
                  <w:tcPr>
                    <w:tcW w:w="560" w:type="pct"/>
                  </w:tcPr>
                  <w:p>
                    <w:pPr>
                      <w:ind w:right="-57"/>
                      <w:rPr>
                        <w:color w:val="000000"/>
                        <w:sz w:val="20"/>
                      </w:rPr>
                    </w:pPr>
                    <w:r>
                      <w:rPr>
                        <w:color w:val="000000"/>
                        <w:sz w:val="20"/>
                      </w:rPr>
                      <w:t xml:space="preserve">4 000 </w:t>
                    </w:r>
                  </w:p>
                  <w:p>
                    <w:pPr>
                      <w:ind w:right="-57"/>
                      <w:rPr>
                        <w:sz w:val="18"/>
                        <w:szCs w:val="18"/>
                      </w:rPr>
                    </w:pPr>
                    <w:r>
                      <w:rPr>
                        <w:color w:val="000000"/>
                        <w:sz w:val="20"/>
                      </w:rPr>
                      <w:t>(2026 m.)</w:t>
                    </w:r>
                  </w:p>
                </w:tc>
                <w:tc>
                  <w:tcPr>
                    <w:tcW w:w="373" w:type="pct"/>
                    <w:vMerge w:val="restart"/>
                  </w:tcPr>
                  <w:p>
                    <w:pPr>
                      <w:ind w:right="-57"/>
                      <w:rPr>
                        <w:sz w:val="18"/>
                        <w:szCs w:val="18"/>
                      </w:rPr>
                    </w:pPr>
                    <w:r>
                      <w:rPr>
                        <w:color w:val="000000"/>
                        <w:sz w:val="20"/>
                      </w:rPr>
                      <w:t>CPVA</w:t>
                    </w:r>
                  </w:p>
                </w:tc>
                <w:tc>
                  <w:tcPr>
                    <w:tcW w:w="400" w:type="pct"/>
                    <w:vMerge w:val="restart"/>
                  </w:tcPr>
                  <w:p>
                    <w:pPr>
                      <w:ind w:right="-57"/>
                      <w:rPr>
                        <w:sz w:val="18"/>
                        <w:szCs w:val="18"/>
                      </w:rPr>
                    </w:pPr>
                    <w:r>
                      <w:rPr>
                        <w:color w:val="000000"/>
                        <w:sz w:val="20"/>
                      </w:rPr>
                      <w:t>ŠMSM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color w:val="000000"/>
                        <w:sz w:val="20"/>
                      </w:rPr>
                    </w:pPr>
                    <w:r>
                      <w:rPr>
                        <w:sz w:val="20"/>
                        <w:lang w:eastAsia="lt-LT"/>
                      </w:rPr>
                      <w:t>Paramą gavę pagrindinio ugdymo programų mokiniai, besimokantys pagal eksperimentines profesinio mokymo programas</w:t>
                    </w:r>
                  </w:p>
                </w:tc>
                <w:tc>
                  <w:tcPr>
                    <w:tcW w:w="560" w:type="pct"/>
                  </w:tcPr>
                  <w:p>
                    <w:pPr>
                      <w:ind w:left="-57" w:right="-57"/>
                      <w:rPr>
                        <w:sz w:val="20"/>
                        <w:lang w:val="en-GB"/>
                      </w:rPr>
                    </w:pPr>
                    <w:r>
                      <w:rPr>
                        <w:sz w:val="20"/>
                        <w:lang w:val="en-GB"/>
                      </w:rPr>
                      <w:t xml:space="preserve">1050 </w:t>
                    </w:r>
                  </w:p>
                  <w:p>
                    <w:pPr>
                      <w:ind w:left="-57" w:right="-57"/>
                      <w:rPr>
                        <w:color w:val="000000"/>
                        <w:sz w:val="20"/>
                      </w:rPr>
                    </w:pPr>
                    <w:r>
                      <w:rPr>
                        <w:sz w:val="20"/>
                        <w:lang w:val="en-GB"/>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 xml:space="preserve">švietimo ir mokymo veiklos dalyvių skaičius </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 xml:space="preserve">4. </w:t>
                    </w:r>
                    <w:r>
                      <w:rPr>
                        <w:sz w:val="20"/>
                      </w:rPr>
                      <w:t>Priemonių, skirtų profesiniam mokymui pameistrystės forma organizuoti ir skatinti, sukūrimas ir įgyvendinimas</w:t>
                    </w:r>
                  </w:p>
                </w:tc>
                <w:tc>
                  <w:tcPr>
                    <w:tcW w:w="387" w:type="pct"/>
                    <w:vMerge w:val="restart"/>
                  </w:tcPr>
                  <w:p>
                    <w:pPr>
                      <w:ind w:left="-57" w:right="-57"/>
                      <w:rPr>
                        <w:sz w:val="18"/>
                        <w:szCs w:val="18"/>
                      </w:rPr>
                    </w:pPr>
                    <w:r>
                      <w:rPr>
                        <w:color w:val="000000"/>
                        <w:sz w:val="20"/>
                      </w:rPr>
                      <w:t>M</w:t>
                    </w:r>
                  </w:p>
                </w:tc>
                <w:tc>
                  <w:tcPr>
                    <w:tcW w:w="267" w:type="pct"/>
                    <w:vMerge w:val="restart"/>
                  </w:tcPr>
                  <w:p>
                    <w:pPr>
                      <w:ind w:left="-57" w:right="-57"/>
                      <w:rPr>
                        <w:sz w:val="18"/>
                        <w:szCs w:val="18"/>
                      </w:rPr>
                    </w:pPr>
                    <w:r>
                      <w:rPr>
                        <w:color w:val="000000"/>
                        <w:sz w:val="20"/>
                      </w:rPr>
                      <w:t>ESFA ir profesinio mokymo įstaigos</w:t>
                    </w:r>
                  </w:p>
                </w:tc>
                <w:tc>
                  <w:tcPr>
                    <w:tcW w:w="267" w:type="pct"/>
                    <w:vMerge w:val="restart"/>
                  </w:tcPr>
                  <w:p>
                    <w:pPr>
                      <w:ind w:right="-57"/>
                      <w:rPr>
                        <w:sz w:val="18"/>
                        <w:szCs w:val="18"/>
                      </w:rPr>
                    </w:pPr>
                    <w:r>
                      <w:rPr>
                        <w:color w:val="000000"/>
                        <w:sz w:val="20"/>
                      </w:rPr>
                      <w:t>Pj</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color w:val="000000"/>
                        <w:sz w:val="20"/>
                      </w:rPr>
                    </w:pPr>
                    <w:r>
                      <w:rPr>
                        <w:color w:val="000000"/>
                        <w:sz w:val="20"/>
                      </w:rPr>
                      <w:t>19 000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105</w:t>
                    </w:r>
                  </w:p>
                </w:tc>
                <w:tc>
                  <w:tcPr>
                    <w:tcW w:w="334" w:type="pct"/>
                    <w:vMerge w:val="restart"/>
                  </w:tcPr>
                  <w:p>
                    <w:pPr>
                      <w:ind w:left="-57" w:right="-57"/>
                      <w:rPr>
                        <w:sz w:val="20"/>
                      </w:rPr>
                    </w:pPr>
                    <w:r>
                      <w:rPr>
                        <w:sz w:val="20"/>
                      </w:rPr>
                      <w:t>Ekonomikos gaivinimo ir atsparumo didinimo priemonės lėšos (EGADP)</w:t>
                    </w:r>
                  </w:p>
                  <w:p>
                    <w:pPr>
                      <w:ind w:left="-57" w:right="-57"/>
                      <w:rPr>
                        <w:sz w:val="18"/>
                        <w:szCs w:val="18"/>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R – Profesinio mokymo įstaigų, organizuojančių profesinio mokymo programas pameistrystės forma, dalis (proc.)</w:t>
                    </w:r>
                  </w:p>
                </w:tc>
                <w:tc>
                  <w:tcPr>
                    <w:tcW w:w="560" w:type="pct"/>
                  </w:tcPr>
                  <w:p>
                    <w:pPr>
                      <w:ind w:left="-57" w:right="-57"/>
                      <w:rPr>
                        <w:color w:val="000000"/>
                        <w:sz w:val="20"/>
                      </w:rPr>
                    </w:pPr>
                    <w:r>
                      <w:rPr>
                        <w:color w:val="000000"/>
                        <w:sz w:val="20"/>
                      </w:rPr>
                      <w:t xml:space="preserve">100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P – </w:t>
                    </w:r>
                    <w:r>
                      <w:rPr>
                        <w:sz w:val="20"/>
                        <w:lang w:eastAsia="lt-LT"/>
                      </w:rPr>
                      <w:t>Įgyvendintos profesinio mokymo programos pameistrystės forma</w:t>
                    </w:r>
                  </w:p>
                  <w:p>
                    <w:pPr>
                      <w:rPr>
                        <w:sz w:val="18"/>
                        <w:szCs w:val="18"/>
                      </w:rPr>
                    </w:pPr>
                  </w:p>
                </w:tc>
                <w:tc>
                  <w:tcPr>
                    <w:tcW w:w="560" w:type="pct"/>
                  </w:tcPr>
                  <w:p>
                    <w:pPr>
                      <w:ind w:left="-57" w:right="-57"/>
                      <w:rPr>
                        <w:color w:val="000000"/>
                        <w:sz w:val="20"/>
                      </w:rPr>
                    </w:pPr>
                    <w:r>
                      <w:rPr>
                        <w:color w:val="000000"/>
                        <w:sz w:val="20"/>
                      </w:rPr>
                      <w:t xml:space="preserve">3 866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jc w:val="center"/>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Švietimo ar mokymo veiklos dalyvių skaičius, iš jų 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right="-57"/>
                      <w:rPr>
                        <w:b/>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5. Įveiklinti sektorinių praktinio mokymo centrų sistemą įgyvendinant nacionalinio mobilumo programą</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Pj</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6 000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1 260</w:t>
                    </w:r>
                  </w:p>
                </w:tc>
                <w:tc>
                  <w:tcPr>
                    <w:tcW w:w="334" w:type="pct"/>
                    <w:vMerge w:val="restart"/>
                  </w:tcPr>
                  <w:p>
                    <w:pPr>
                      <w:ind w:left="-57" w:right="-57"/>
                      <w:rPr>
                        <w:sz w:val="20"/>
                      </w:rPr>
                    </w:pPr>
                    <w:r>
                      <w:rPr>
                        <w:sz w:val="20"/>
                      </w:rPr>
                      <w:t>Ekonomikos gaivinimo ir atsparumo didinimo priemonės lėšos (EGADP)</w:t>
                    </w:r>
                  </w:p>
                  <w:p>
                    <w:pPr>
                      <w:ind w:left="-57" w:right="-57"/>
                      <w:rPr>
                        <w:sz w:val="18"/>
                        <w:szCs w:val="18"/>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P – 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560" w:type="pct"/>
                  </w:tcPr>
                  <w:p>
                    <w:pPr>
                      <w:ind w:left="-57" w:right="-57"/>
                      <w:rPr>
                        <w:color w:val="000000"/>
                        <w:sz w:val="20"/>
                      </w:rPr>
                    </w:pPr>
                    <w:r>
                      <w:rPr>
                        <w:color w:val="000000"/>
                        <w:sz w:val="20"/>
                      </w:rPr>
                      <w:t xml:space="preserve">12 394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rPr>
                    </w:pPr>
                    <w:r>
                      <w:rPr>
                        <w:color w:val="000000"/>
                        <w:sz w:val="20"/>
                      </w:rPr>
                      <w:t xml:space="preserve">R – </w:t>
                    </w:r>
                    <w:r>
                      <w:rPr>
                        <w:sz w:val="20"/>
                      </w:rPr>
                      <w:t>Švietimo ar mokymo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Align w:val="center"/>
                  </w:tcPr>
                  <w:p>
                    <w:pPr>
                      <w:ind w:left="-57" w:right="-57"/>
                      <w:rPr>
                        <w:sz w:val="18"/>
                        <w:szCs w:val="18"/>
                      </w:rPr>
                    </w:pPr>
                    <w:r>
                      <w:rPr>
                        <w:color w:val="000000"/>
                        <w:sz w:val="20"/>
                      </w:rPr>
                      <w:t>6. Profesinio mokymo prieinamumo gerinimo parama mokiniams iš nepalankias sąlygas turinčių asmenų grupių</w:t>
                    </w:r>
                  </w:p>
                </w:tc>
                <w:tc>
                  <w:tcPr>
                    <w:tcW w:w="387" w:type="pct"/>
                    <w:vAlign w:val="center"/>
                  </w:tcPr>
                  <w:p>
                    <w:pPr>
                      <w:ind w:left="-57" w:right="-57"/>
                      <w:rPr>
                        <w:sz w:val="18"/>
                        <w:szCs w:val="18"/>
                      </w:rPr>
                    </w:pPr>
                  </w:p>
                </w:tc>
                <w:tc>
                  <w:tcPr>
                    <w:tcW w:w="267" w:type="pct"/>
                    <w:vAlign w:val="center"/>
                  </w:tcPr>
                  <w:p>
                    <w:pPr>
                      <w:ind w:left="-57" w:right="-57"/>
                      <w:rPr>
                        <w:sz w:val="18"/>
                        <w:szCs w:val="18"/>
                      </w:rPr>
                    </w:pPr>
                  </w:p>
                </w:tc>
                <w:tc>
                  <w:tcPr>
                    <w:tcW w:w="267" w:type="pct"/>
                    <w:vAlign w:val="center"/>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vAlign w:val="center"/>
                  </w:tcPr>
                  <w:p>
                    <w:pPr>
                      <w:ind w:left="-57" w:right="-57"/>
                      <w:rPr>
                        <w:sz w:val="18"/>
                        <w:szCs w:val="18"/>
                      </w:rPr>
                    </w:pPr>
                  </w:p>
                </w:tc>
                <w:tc>
                  <w:tcPr>
                    <w:tcW w:w="334" w:type="pct"/>
                    <w:vAlign w:val="center"/>
                  </w:tcPr>
                  <w:p>
                    <w:pPr>
                      <w:ind w:left="-57" w:right="-57"/>
                      <w:rPr>
                        <w:sz w:val="18"/>
                        <w:szCs w:val="18"/>
                      </w:rPr>
                    </w:pPr>
                  </w:p>
                </w:tc>
                <w:tc>
                  <w:tcPr>
                    <w:tcW w:w="666" w:type="pct"/>
                  </w:tcPr>
                  <w:p>
                    <w:pPr>
                      <w:rPr>
                        <w:sz w:val="18"/>
                        <w:szCs w:val="18"/>
                      </w:rPr>
                    </w:pPr>
                  </w:p>
                </w:tc>
                <w:tc>
                  <w:tcPr>
                    <w:tcW w:w="560" w:type="pct"/>
                  </w:tcPr>
                  <w:p>
                    <w:pPr>
                      <w:ind w:left="-57" w:right="-57"/>
                      <w:rPr>
                        <w:sz w:val="18"/>
                        <w:szCs w:val="18"/>
                      </w:rPr>
                    </w:pPr>
                  </w:p>
                </w:tc>
                <w:tc>
                  <w:tcPr>
                    <w:tcW w:w="373" w:type="pct"/>
                    <w:vAlign w:val="center"/>
                  </w:tcPr>
                  <w:p>
                    <w:pPr>
                      <w:ind w:left="-57" w:right="-57"/>
                      <w:rPr>
                        <w:sz w:val="18"/>
                        <w:szCs w:val="18"/>
                      </w:rPr>
                    </w:pPr>
                  </w:p>
                </w:tc>
                <w:tc>
                  <w:tcPr>
                    <w:tcW w:w="400" w:type="pct"/>
                    <w:vAlign w:val="center"/>
                  </w:tcPr>
                  <w:p>
                    <w:pPr>
                      <w:ind w:left="-57" w:right="-57"/>
                      <w:rPr>
                        <w:sz w:val="18"/>
                        <w:szCs w:val="18"/>
                      </w:rPr>
                    </w:pPr>
                  </w:p>
                </w:tc>
              </w:tr>
              <w:tr>
                <w:trPr>
                  <w:trHeight w:val="233"/>
                </w:trPr>
                <w:tc>
                  <w:tcPr>
                    <w:tcW w:w="613" w:type="pct"/>
                    <w:vMerge w:val="restart"/>
                  </w:tcPr>
                  <w:p>
                    <w:pPr>
                      <w:ind w:left="-57" w:right="-57"/>
                      <w:jc w:val="center"/>
                      <w:rPr>
                        <w:sz w:val="18"/>
                        <w:szCs w:val="18"/>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477</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477</w:t>
                    </w:r>
                  </w:p>
                </w:tc>
                <w:tc>
                  <w:tcPr>
                    <w:tcW w:w="334" w:type="pct"/>
                    <w:vMerge w:val="restart"/>
                  </w:tcPr>
                  <w:p>
                    <w:pPr>
                      <w:ind w:left="-57" w:right="-57"/>
                      <w:rPr>
                        <w:color w:val="000000"/>
                        <w:sz w:val="20"/>
                      </w:rPr>
                    </w:pPr>
                    <w:r>
                      <w:rPr>
                        <w:rFonts w:eastAsia="Calibri"/>
                        <w:sz w:val="20"/>
                      </w:rPr>
                      <w:t xml:space="preserve">2021–2027 m. ES fondų </w:t>
                    </w:r>
                    <w:r>
                      <w:rPr>
                        <w:color w:val="000000"/>
                        <w:sz w:val="20"/>
                      </w:rPr>
                      <w:t xml:space="preserve"> lėšos (ESF +, Sostinės regionas)</w:t>
                    </w:r>
                  </w:p>
                  <w:p>
                    <w:pPr>
                      <w:ind w:left="-57" w:right="-57"/>
                      <w:rPr>
                        <w:color w:val="000000"/>
                        <w:sz w:val="20"/>
                      </w:rPr>
                    </w:pPr>
                  </w:p>
                  <w:p>
                    <w:pPr>
                      <w:ind w:left="-57" w:right="-57"/>
                      <w:rPr>
                        <w:sz w:val="18"/>
                        <w:szCs w:val="18"/>
                      </w:rPr>
                    </w:pPr>
                    <w:r>
                      <w:rPr>
                        <w:bCs/>
                        <w:sz w:val="20"/>
                      </w:rPr>
                      <w:t>2021–2027 m. ES fondų bendrojo finansavimo lėšos (Sostinės regionas)</w:t>
                    </w:r>
                  </w:p>
                </w:tc>
                <w:tc>
                  <w:tcPr>
                    <w:tcW w:w="666" w:type="pct"/>
                  </w:tcPr>
                  <w:p>
                    <w:pPr>
                      <w:rPr>
                        <w:sz w:val="20"/>
                        <w:lang w:eastAsia="lt-LT"/>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p>
                    <w:pPr>
                      <w:rPr>
                        <w:sz w:val="18"/>
                        <w:szCs w:val="18"/>
                      </w:rPr>
                    </w:pPr>
                  </w:p>
                </w:tc>
                <w:tc>
                  <w:tcPr>
                    <w:tcW w:w="560" w:type="pct"/>
                  </w:tcPr>
                  <w:p>
                    <w:pPr>
                      <w:ind w:left="-57" w:right="-57"/>
                      <w:rPr>
                        <w:color w:val="000000"/>
                        <w:sz w:val="20"/>
                      </w:rPr>
                    </w:pPr>
                    <w:r>
                      <w:rPr>
                        <w:color w:val="000000"/>
                        <w:sz w:val="20"/>
                      </w:rPr>
                      <w:t xml:space="preserve">4  </w:t>
                    </w:r>
                  </w:p>
                  <w:p>
                    <w:pPr>
                      <w:ind w:left="-57" w:right="-57"/>
                      <w:rPr>
                        <w:sz w:val="18"/>
                        <w:szCs w:val="18"/>
                      </w:rPr>
                    </w:pPr>
                    <w:r>
                      <w:rPr>
                        <w:color w:val="000000"/>
                        <w:sz w:val="20"/>
                      </w:rPr>
                      <w:t>(2029 m.)</w:t>
                    </w:r>
                  </w:p>
                </w:tc>
                <w:tc>
                  <w:tcPr>
                    <w:tcW w:w="373" w:type="pct"/>
                    <w:vMerge w:val="restart"/>
                  </w:tcPr>
                  <w:p>
                    <w:pPr>
                      <w:ind w:left="-57" w:right="-57"/>
                      <w:jc w:val="center"/>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560" w:type="pct"/>
                  </w:tcPr>
                  <w:p>
                    <w:pPr>
                      <w:ind w:left="-57" w:right="-57"/>
                      <w:rPr>
                        <w:color w:val="000000"/>
                        <w:sz w:val="20"/>
                      </w:rPr>
                    </w:pPr>
                    <w:r>
                      <w:rPr>
                        <w:color w:val="000000"/>
                        <w:sz w:val="20"/>
                      </w:rPr>
                      <w:t xml:space="preserve">130 </w:t>
                    </w:r>
                  </w:p>
                  <w:p>
                    <w:pPr>
                      <w:ind w:left="-57" w:right="-57"/>
                      <w:rPr>
                        <w:sz w:val="18"/>
                        <w:szCs w:val="18"/>
                      </w:rPr>
                    </w:pPr>
                    <w:r>
                      <w:rPr>
                        <w:color w:val="000000"/>
                        <w:sz w:val="20"/>
                      </w:rPr>
                      <w:t>(202</w:t>
                    </w:r>
                    <w:r>
                      <w:rPr>
                        <w:color w:val="000000"/>
                        <w:sz w:val="20"/>
                        <w:lang w:val="en-GB"/>
                      </w:rPr>
                      <w:t>9</w:t>
                    </w:r>
                    <w:r>
                      <w:rPr>
                        <w:color w:val="000000"/>
                        <w:sz w:val="20"/>
                      </w:rPr>
                      <w:t xml:space="preserve">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4 020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709</w:t>
                    </w:r>
                  </w:p>
                </w:tc>
                <w:tc>
                  <w:tcPr>
                    <w:tcW w:w="334" w:type="pct"/>
                    <w:vMerge w:val="restart"/>
                  </w:tcPr>
                  <w:p>
                    <w:pPr>
                      <w:rPr>
                        <w:color w:val="000000"/>
                        <w:sz w:val="20"/>
                      </w:rPr>
                    </w:pPr>
                    <w:r>
                      <w:rPr>
                        <w:rFonts w:eastAsia="Calibri"/>
                        <w:sz w:val="20"/>
                      </w:rPr>
                      <w:t xml:space="preserve">2021–2027 m. ES fondų </w:t>
                    </w:r>
                    <w:r>
                      <w:rPr>
                        <w:color w:val="000000"/>
                        <w:sz w:val="20"/>
                      </w:rPr>
                      <w:t>lėšos (ESF +, VVL regionas)</w:t>
                    </w:r>
                  </w:p>
                  <w:p>
                    <w:pPr>
                      <w:rPr>
                        <w:color w:val="000000"/>
                        <w:sz w:val="20"/>
                        <w:highlight w:val="yellow"/>
                      </w:rPr>
                    </w:pPr>
                  </w:p>
                  <w:p>
                    <w:pPr>
                      <w:ind w:left="-57" w:right="-57"/>
                      <w:rPr>
                        <w:sz w:val="18"/>
                        <w:szCs w:val="18"/>
                      </w:rPr>
                    </w:pPr>
                    <w:r>
                      <w:rPr>
                        <w:bCs/>
                        <w:sz w:val="20"/>
                      </w:rPr>
                      <w:t>2021–2027 m. ES fondų bendrojo finansavimo lėšos (</w:t>
                    </w:r>
                    <w:r>
                      <w:rPr>
                        <w:color w:val="000000"/>
                        <w:sz w:val="20"/>
                      </w:rPr>
                      <w:t>VVL</w:t>
                    </w:r>
                    <w:r>
                      <w:rPr>
                        <w:bCs/>
                        <w:sz w:val="20"/>
                      </w:rPr>
                      <w:t xml:space="preserve"> regionas)</w:t>
                    </w:r>
                  </w:p>
                </w:tc>
                <w:tc>
                  <w:tcPr>
                    <w:tcW w:w="666" w:type="pct"/>
                  </w:tcPr>
                  <w:p>
                    <w:pPr>
                      <w:rPr>
                        <w:sz w:val="18"/>
                        <w:szCs w:val="18"/>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tc>
                <w:tc>
                  <w:tcPr>
                    <w:tcW w:w="560" w:type="pct"/>
                  </w:tcPr>
                  <w:p>
                    <w:pPr>
                      <w:ind w:left="-57" w:right="-57"/>
                      <w:rPr>
                        <w:color w:val="000000"/>
                        <w:sz w:val="20"/>
                      </w:rPr>
                    </w:pPr>
                    <w:r>
                      <w:rPr>
                        <w:color w:val="000000"/>
                        <w:sz w:val="20"/>
                      </w:rPr>
                      <w:t xml:space="preserve">4 </w:t>
                    </w:r>
                  </w:p>
                  <w:p>
                    <w:pPr>
                      <w:ind w:left="-57" w:right="-57"/>
                      <w:rPr>
                        <w:sz w:val="18"/>
                        <w:szCs w:val="18"/>
                      </w:rPr>
                    </w:pPr>
                    <w:r>
                      <w:rPr>
                        <w:color w:val="000000"/>
                        <w:sz w:val="20"/>
                      </w:rPr>
                      <w:t>(2029 m.)</w:t>
                    </w:r>
                  </w:p>
                </w:tc>
                <w:tc>
                  <w:tcPr>
                    <w:tcW w:w="373" w:type="pct"/>
                    <w:vMerge w:val="restart"/>
                  </w:tcPr>
                  <w:p>
                    <w:pPr>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560" w:type="pct"/>
                  </w:tcPr>
                  <w:p>
                    <w:pPr>
                      <w:ind w:left="-57" w:right="-57"/>
                      <w:rPr>
                        <w:color w:val="000000"/>
                        <w:sz w:val="20"/>
                      </w:rPr>
                    </w:pPr>
                    <w:r>
                      <w:rPr>
                        <w:color w:val="000000"/>
                        <w:sz w:val="20"/>
                      </w:rPr>
                      <w:t xml:space="preserve">660 </w:t>
                    </w:r>
                  </w:p>
                  <w:p>
                    <w:pPr>
                      <w:ind w:left="-57" w:right="-57"/>
                      <w:rPr>
                        <w:sz w:val="18"/>
                        <w:szCs w:val="18"/>
                      </w:rPr>
                    </w:pPr>
                    <w:r>
                      <w:rPr>
                        <w:color w:val="000000"/>
                        <w:sz w:val="20"/>
                      </w:rPr>
                      <w:t>(2029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color w:val="000000"/>
                        <w:sz w:val="20"/>
                      </w:rPr>
                    </w:pPr>
                    <w:r>
                      <w:rPr>
                        <w:color w:val="000000"/>
                        <w:sz w:val="20"/>
                      </w:rPr>
                      <w:t>7. Investicijos į profesinio mokymo infrastruktūrą</w:t>
                    </w:r>
                  </w:p>
                  <w:p>
                    <w:pPr>
                      <w:ind w:left="-57" w:right="-57"/>
                      <w:rPr>
                        <w:sz w:val="18"/>
                        <w:szCs w:val="18"/>
                      </w:rPr>
                    </w:pPr>
                    <w:r>
                      <w:rPr>
                        <w:sz w:val="20"/>
                        <w:lang w:eastAsia="lt-LT"/>
                      </w:rPr>
                      <w:t>Vidurio ir vakarų Lietuvos regione</w:t>
                    </w:r>
                    <w:r>
                      <w:rPr>
                        <w:color w:val="000000"/>
                        <w:sz w:val="20"/>
                      </w:rPr>
                      <w:t xml:space="preserve">  </w:t>
                    </w:r>
                  </w:p>
                </w:tc>
                <w:tc>
                  <w:tcPr>
                    <w:tcW w:w="387" w:type="pct"/>
                    <w:vMerge w:val="restart"/>
                  </w:tcPr>
                  <w:p>
                    <w:pPr>
                      <w:ind w:left="-57" w:right="-57"/>
                      <w:rPr>
                        <w:sz w:val="18"/>
                        <w:szCs w:val="18"/>
                      </w:rPr>
                    </w:pPr>
                    <w:r>
                      <w:rPr>
                        <w:color w:val="000000"/>
                        <w:sz w:val="20"/>
                      </w:rPr>
                      <w:t>A, 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33 033</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5 829</w:t>
                    </w:r>
                  </w:p>
                </w:tc>
                <w:tc>
                  <w:tcPr>
                    <w:tcW w:w="334" w:type="pct"/>
                    <w:vMerge w:val="restart"/>
                  </w:tcPr>
                  <w:p>
                    <w:pPr>
                      <w:ind w:left="-57" w:right="-57"/>
                      <w:rPr>
                        <w:color w:val="000000"/>
                        <w:sz w:val="20"/>
                      </w:rPr>
                    </w:pPr>
                    <w:r>
                      <w:rPr>
                        <w:rFonts w:eastAsia="Calibri"/>
                        <w:sz w:val="20"/>
                      </w:rPr>
                      <w:t xml:space="preserve">2021–2027 m. ES fondų </w:t>
                    </w:r>
                    <w:r>
                      <w:rPr>
                        <w:color w:val="000000"/>
                        <w:sz w:val="20"/>
                      </w:rPr>
                      <w:t>lėšos (ERPF; VVL regionas)</w:t>
                    </w:r>
                  </w:p>
                  <w:p>
                    <w:pPr>
                      <w:ind w:left="-57" w:right="-57"/>
                      <w:rPr>
                        <w:color w:val="000000"/>
                        <w:sz w:val="20"/>
                      </w:rPr>
                    </w:pPr>
                  </w:p>
                  <w:p>
                    <w:pPr>
                      <w:ind w:left="-57" w:right="-57"/>
                      <w:rPr>
                        <w:sz w:val="18"/>
                        <w:szCs w:val="18"/>
                      </w:rPr>
                    </w:pPr>
                    <w:r>
                      <w:rPr>
                        <w:bCs/>
                        <w:sz w:val="20"/>
                      </w:rPr>
                      <w:t>2021–2027 m. ES fondų bendrojo finansavimo lėšos (VVL regionas)</w:t>
                    </w:r>
                  </w:p>
                </w:tc>
                <w:tc>
                  <w:tcPr>
                    <w:tcW w:w="666" w:type="pct"/>
                  </w:tcPr>
                  <w:p>
                    <w:pPr>
                      <w:rPr>
                        <w:sz w:val="18"/>
                        <w:szCs w:val="18"/>
                      </w:rPr>
                    </w:pPr>
                    <w:r>
                      <w:rPr>
                        <w:color w:val="000000"/>
                        <w:sz w:val="20"/>
                      </w:rPr>
                      <w:t>R – Naujos arba modernizuotos švietimo infrastruktūros naudotojų skaičius per metus</w:t>
                    </w:r>
                  </w:p>
                </w:tc>
                <w:tc>
                  <w:tcPr>
                    <w:tcW w:w="560" w:type="pct"/>
                  </w:tcPr>
                  <w:p>
                    <w:pPr>
                      <w:ind w:left="-57" w:right="-57"/>
                      <w:rPr>
                        <w:color w:val="000000"/>
                        <w:sz w:val="20"/>
                      </w:rPr>
                    </w:pPr>
                    <w:r>
                      <w:rPr>
                        <w:color w:val="000000"/>
                        <w:sz w:val="20"/>
                      </w:rPr>
                      <w:t>22 860</w:t>
                    </w:r>
                  </w:p>
                  <w:p>
                    <w:pPr>
                      <w:ind w:left="-57" w:right="-57"/>
                      <w:rPr>
                        <w:sz w:val="18"/>
                        <w:szCs w:val="18"/>
                      </w:rPr>
                    </w:pPr>
                    <w:r>
                      <w:rPr>
                        <w:color w:val="000000"/>
                        <w:sz w:val="20"/>
                      </w:rPr>
                      <w:t>(2029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jc w:val="center"/>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shd w:val="clear" w:color="auto" w:fill="FFFFFF"/>
                      </w:rPr>
                      <w:t>P – Naujos arba modernizuotos švietimo infrastruktūros mokymo klasių talpumas </w:t>
                    </w:r>
                  </w:p>
                </w:tc>
                <w:tc>
                  <w:tcPr>
                    <w:tcW w:w="560" w:type="pct"/>
                  </w:tcPr>
                  <w:p>
                    <w:pPr>
                      <w:ind w:left="-57" w:right="-57"/>
                      <w:rPr>
                        <w:color w:val="000000"/>
                        <w:sz w:val="20"/>
                        <w:bdr w:val="none" w:sz="0" w:space="0" w:color="auto" w:frame="1"/>
                      </w:rPr>
                    </w:pPr>
                    <w:r>
                      <w:rPr>
                        <w:color w:val="000000"/>
                        <w:sz w:val="20"/>
                        <w:bdr w:val="none" w:sz="0" w:space="0" w:color="auto" w:frame="1"/>
                      </w:rPr>
                      <w:t>28 575</w:t>
                    </w:r>
                  </w:p>
                  <w:p>
                    <w:pPr>
                      <w:ind w:left="-57" w:right="-57"/>
                      <w:rPr>
                        <w:sz w:val="18"/>
                        <w:szCs w:val="18"/>
                      </w:rPr>
                    </w:pPr>
                    <w:r>
                      <w:rPr>
                        <w:color w:val="000000"/>
                        <w:sz w:val="20"/>
                      </w:rPr>
                      <w:t>(2029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Investicijų į profesinio mokymo infrastruktūrą poreikio analizė</w:t>
                    </w: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(2024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tcPr>
                  <w:p>
                    <w:pPr>
                      <w:ind w:left="-57" w:right="-57"/>
                      <w:rPr>
                        <w:sz w:val="18"/>
                        <w:szCs w:val="18"/>
                      </w:rPr>
                    </w:pPr>
                    <w:r>
                      <w:rPr>
                        <w:color w:val="000000"/>
                        <w:sz w:val="20"/>
                      </w:rPr>
                      <w:t xml:space="preserve">8. </w:t>
                    </w:r>
                    <w:r>
                      <w:rPr>
                        <w:sz w:val="20"/>
                      </w:rPr>
                      <w:t>Profesinio mokymo, organizuojamo pameistrystės mokymo forma, veiklos viešinimo priemonių sukūrimas ir įgyvendinimas</w:t>
                    </w:r>
                  </w:p>
                </w:tc>
                <w:tc>
                  <w:tcPr>
                    <w:tcW w:w="387" w:type="pct"/>
                  </w:tcPr>
                  <w:p>
                    <w:pPr>
                      <w:ind w:left="-57" w:right="-57"/>
                      <w:rPr>
                        <w:sz w:val="18"/>
                        <w:szCs w:val="18"/>
                      </w:rPr>
                    </w:pPr>
                    <w:r>
                      <w:rPr>
                        <w:color w:val="000000"/>
                        <w:sz w:val="20"/>
                      </w:rPr>
                      <w:t>K</w:t>
                    </w:r>
                  </w:p>
                </w:tc>
                <w:tc>
                  <w:tcPr>
                    <w:tcW w:w="267" w:type="pct"/>
                  </w:tcPr>
                  <w:p>
                    <w:pPr>
                      <w:ind w:left="-57" w:right="-57"/>
                      <w:rPr>
                        <w:sz w:val="18"/>
                        <w:szCs w:val="18"/>
                      </w:rPr>
                    </w:pPr>
                    <w:r>
                      <w:rPr>
                        <w:color w:val="000000"/>
                        <w:sz w:val="20"/>
                      </w:rPr>
                      <w:t xml:space="preserve">ESFA </w:t>
                    </w:r>
                  </w:p>
                </w:tc>
                <w:tc>
                  <w:tcPr>
                    <w:tcW w:w="267" w:type="pct"/>
                  </w:tcPr>
                  <w:p>
                    <w:pPr>
                      <w:ind w:left="-57" w:right="-57"/>
                      <w:rPr>
                        <w:color w:val="000000"/>
                        <w:sz w:val="20"/>
                      </w:rPr>
                    </w:pPr>
                    <w:r>
                      <w:rPr>
                        <w:color w:val="000000"/>
                        <w:sz w:val="20"/>
                      </w:rPr>
                      <w:t>P</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p>
                </w:tc>
                <w:tc>
                  <w:tcPr>
                    <w:tcW w:w="400" w:type="pct"/>
                  </w:tcPr>
                  <w:p>
                    <w:pPr>
                      <w:ind w:left="-57" w:right="-57"/>
                      <w:rPr>
                        <w:sz w:val="18"/>
                        <w:szCs w:val="18"/>
                      </w:rPr>
                    </w:pPr>
                    <w:r>
                      <w:rPr>
                        <w:sz w:val="18"/>
                        <w:szCs w:val="18"/>
                      </w:rPr>
                      <w:t>Taip</w:t>
                    </w:r>
                  </w:p>
                </w:tc>
                <w:tc>
                  <w:tcPr>
                    <w:tcW w:w="333" w:type="pct"/>
                  </w:tcPr>
                  <w:p>
                    <w:pPr>
                      <w:ind w:left="-57" w:right="-57"/>
                      <w:rPr>
                        <w:sz w:val="18"/>
                        <w:szCs w:val="18"/>
                      </w:rPr>
                    </w:pPr>
                    <w:r>
                      <w:rPr>
                        <w:sz w:val="18"/>
                        <w:szCs w:val="18"/>
                      </w:rPr>
                      <w:t>D</w:t>
                    </w:r>
                  </w:p>
                </w:tc>
                <w:tc>
                  <w:tcPr>
                    <w:tcW w:w="400" w:type="pct"/>
                  </w:tcPr>
                  <w:p>
                    <w:pPr>
                      <w:rPr>
                        <w:color w:val="000000"/>
                        <w:sz w:val="20"/>
                      </w:rPr>
                    </w:pPr>
                    <w:r>
                      <w:rPr>
                        <w:color w:val="000000"/>
                        <w:sz w:val="20"/>
                      </w:rPr>
                      <w:t>1 000</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sz w:val="18"/>
                        <w:szCs w:val="18"/>
                      </w:rPr>
                    </w:pPr>
                    <w:r>
                      <w:rPr>
                        <w:color w:val="000000"/>
                        <w:sz w:val="20"/>
                      </w:rPr>
                      <w:t>210</w:t>
                    </w:r>
                  </w:p>
                </w:tc>
                <w:tc>
                  <w:tcPr>
                    <w:tcW w:w="334" w:type="pct"/>
                  </w:tcPr>
                  <w:p>
                    <w:pPr>
                      <w:ind w:left="-57" w:right="-57"/>
                      <w:rPr>
                        <w:sz w:val="20"/>
                      </w:rPr>
                    </w:pPr>
                    <w:r>
                      <w:rPr>
                        <w:sz w:val="20"/>
                      </w:rPr>
                      <w:t>Ekonomikos gaivinimo ir atsparumo didinimo priemonės lėšos (EGADP)</w:t>
                    </w:r>
                  </w:p>
                  <w:p>
                    <w:pPr>
                      <w:ind w:left="-57" w:right="-57"/>
                      <w:rPr>
                        <w:sz w:val="20"/>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 xml:space="preserve">R – Profesinio mokymo įstaigų, organizuojančių profesinio mokymo programas pameistrystės forma, dalis </w:t>
                    </w:r>
                  </w:p>
                </w:tc>
                <w:tc>
                  <w:tcPr>
                    <w:tcW w:w="560" w:type="pct"/>
                  </w:tcPr>
                  <w:p>
                    <w:pPr>
                      <w:ind w:left="-57" w:right="-57"/>
                      <w:rPr>
                        <w:color w:val="000000"/>
                        <w:sz w:val="20"/>
                      </w:rPr>
                    </w:pPr>
                    <w:r>
                      <w:rPr>
                        <w:color w:val="000000"/>
                        <w:sz w:val="20"/>
                      </w:rPr>
                      <w:t xml:space="preserve">100 </w:t>
                    </w:r>
                  </w:p>
                  <w:p>
                    <w:pPr>
                      <w:ind w:left="-57" w:right="-57"/>
                      <w:rPr>
                        <w:sz w:val="18"/>
                        <w:szCs w:val="18"/>
                      </w:rPr>
                    </w:pPr>
                    <w:r>
                      <w:rPr>
                        <w:color w:val="000000"/>
                        <w:sz w:val="20"/>
                      </w:rPr>
                      <w:t>(2026 m.)</w:t>
                    </w:r>
                  </w:p>
                </w:tc>
                <w:tc>
                  <w:tcPr>
                    <w:tcW w:w="373" w:type="pct"/>
                  </w:tcPr>
                  <w:p>
                    <w:pPr>
                      <w:ind w:left="-57" w:right="-57"/>
                      <w:rPr>
                        <w:sz w:val="18"/>
                        <w:szCs w:val="18"/>
                      </w:rPr>
                    </w:pPr>
                    <w:r>
                      <w:rPr>
                        <w:color w:val="000000"/>
                        <w:sz w:val="20"/>
                      </w:rPr>
                      <w:t>CPVA</w:t>
                    </w:r>
                  </w:p>
                </w:tc>
                <w:tc>
                  <w:tcPr>
                    <w:tcW w:w="400" w:type="pct"/>
                  </w:tcPr>
                  <w:p>
                    <w:pPr>
                      <w:ind w:left="-57" w:right="-57"/>
                      <w:rPr>
                        <w:sz w:val="18"/>
                        <w:szCs w:val="18"/>
                      </w:rPr>
                    </w:pPr>
                    <w:r>
                      <w:rPr>
                        <w:color w:val="000000"/>
                        <w:sz w:val="20"/>
                      </w:rPr>
                      <w:t>ŠMSM, SADM, EIM, ŽŪM</w:t>
                    </w:r>
                  </w:p>
                </w:tc>
              </w:tr>
            </w:tbl>
            <w:p>
              <w:pPr>
                <w:ind w:firstLine="567"/>
                <w:rPr>
                  <w:b/>
                  <w:sz w:val="18"/>
                  <w:szCs w:val="18"/>
                </w:rPr>
              </w:pPr>
            </w:p>
            <w:sdt>
              <w:sdtPr>
                <w:alias w:val="poskyris"/>
                <w:tag w:val="part_3db68d6960144d7faecdc8357322b61e"/>
                <w:lock w:val="sdtLocked"/>
                <w:richText/>
              </w:sdtPr>
              <w:sdtContent>
                <w:p>
                  <w:pPr>
                    <w:ind w:left="142" w:firstLine="567"/>
                    <w:jc w:val="both"/>
                    <w:rPr>
                      <w:b/>
                      <w:sz w:val="18"/>
                      <w:szCs w:val="18"/>
                    </w:rPr>
                  </w:pPr>
                  <w:sdt>
                    <w:sdtPr>
                      <w:alias w:val="Pavadinimas"/>
                      <w:tag w:val="title_3db68d6960144d7faecdc8357322b61e"/>
                      <w:lock w:val="sdtLocked"/>
                      <w:richText/>
                    </w:sdtPr>
                    <w:sdtContent>
                      <w:r>
                        <w:rPr>
                          <w:b/>
                          <w:sz w:val="18"/>
                          <w:szCs w:val="18"/>
                        </w:rPr>
                        <w:t>Paaiškinimai:</w:t>
                      </w:r>
                    </w:sdtContent>
                  </w:sdt>
                </w:p>
                <w:sdt>
                  <w:sdtPr>
                    <w:alias w:val="1 p."/>
                    <w:tag w:val="part_074c6e92a8774ba3a40003ff08ae504b"/>
                    <w:lock w:val="sdtLocked"/>
                    <w:richText/>
                  </w:sdtPr>
                  <w:sdtContent>
                    <w:p>
                      <w:pPr>
                        <w:ind w:left="142" w:firstLine="567"/>
                        <w:jc w:val="both"/>
                        <w:rPr>
                          <w:sz w:val="18"/>
                          <w:szCs w:val="18"/>
                        </w:rPr>
                      </w:pPr>
                      <w:sdt>
                        <w:sdtPr>
                          <w:alias w:val="Numeris"/>
                          <w:tag w:val="nr_074c6e92a8774ba3a40003ff08ae504b"/>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d1314700d40e47788284c5e1b8787ee8"/>
                    <w:lock w:val="sdtLocked"/>
                    <w:richText/>
                  </w:sdtPr>
                  <w:sdtContent>
                    <w:p>
                      <w:pPr>
                        <w:ind w:left="142" w:firstLine="567"/>
                        <w:jc w:val="both"/>
                        <w:rPr>
                          <w:sz w:val="18"/>
                          <w:szCs w:val="18"/>
                        </w:rPr>
                      </w:pPr>
                      <w:sdt>
                        <w:sdtPr>
                          <w:alias w:val="Numeris"/>
                          <w:tag w:val="nr_d1314700d40e47788284c5e1b8787ee8"/>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e87d874d950f418d9a181b48c0ae12ce"/>
                    <w:lock w:val="sdtLocked"/>
                    <w:richText/>
                  </w:sdtPr>
                  <w:sdtContent>
                    <w:p>
                      <w:pPr>
                        <w:ind w:left="142" w:firstLine="567"/>
                        <w:jc w:val="both"/>
                        <w:rPr>
                          <w:sz w:val="18"/>
                          <w:szCs w:val="18"/>
                        </w:rPr>
                      </w:pPr>
                      <w:sdt>
                        <w:sdtPr>
                          <w:alias w:val="Numeris"/>
                          <w:tag w:val="nr_e87d874d950f418d9a181b48c0ae12ce"/>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84f93e0861ae44458712df0465c957b2"/>
                    <w:lock w:val="sdtLocked"/>
                    <w:richText/>
                  </w:sdtPr>
                  <w:sdtContent>
                    <w:p>
                      <w:pPr>
                        <w:ind w:left="142" w:firstLine="567"/>
                        <w:jc w:val="both"/>
                        <w:rPr>
                          <w:sz w:val="18"/>
                          <w:szCs w:val="18"/>
                        </w:rPr>
                      </w:pPr>
                      <w:sdt>
                        <w:sdtPr>
                          <w:alias w:val="Numeris"/>
                          <w:tag w:val="nr_84f93e0861ae44458712df0465c957b2"/>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dc599ebc27874e34abe561f29ee00e69"/>
                    <w:lock w:val="sdtLocked"/>
                    <w:richText/>
                  </w:sdtPr>
                  <w:sdtContent>
                    <w:p>
                      <w:pPr>
                        <w:ind w:left="142" w:firstLine="567"/>
                        <w:jc w:val="both"/>
                        <w:rPr>
                          <w:sz w:val="18"/>
                          <w:szCs w:val="18"/>
                        </w:rPr>
                      </w:pPr>
                      <w:sdt>
                        <w:sdtPr>
                          <w:alias w:val="Numeris"/>
                          <w:tag w:val="nr_dc599ebc27874e34abe561f29ee00e69"/>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2748e42c80464409b39fbc32ddcf11f6"/>
                    <w:lock w:val="sdtLocked"/>
                    <w:richText/>
                  </w:sdtPr>
                  <w:sdtContent>
                    <w:p>
                      <w:pPr>
                        <w:ind w:left="142" w:firstLine="567"/>
                        <w:jc w:val="both"/>
                        <w:rPr>
                          <w:sz w:val="18"/>
                          <w:szCs w:val="18"/>
                        </w:rPr>
                      </w:pPr>
                      <w:sdt>
                        <w:sdtPr>
                          <w:alias w:val="Numeris"/>
                          <w:tag w:val="nr_2748e42c80464409b39fbc32ddcf11f6"/>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748b22bd580b438cb2180d289e93fc3b"/>
                    <w:lock w:val="sdtLocked"/>
                    <w:richText/>
                  </w:sdtPr>
                  <w:sdtContent>
                    <w:p>
                      <w:pPr>
                        <w:ind w:left="142" w:firstLine="567"/>
                        <w:jc w:val="both"/>
                        <w:rPr>
                          <w:sz w:val="18"/>
                          <w:szCs w:val="18"/>
                        </w:rPr>
                      </w:pPr>
                      <w:sdt>
                        <w:sdtPr>
                          <w:alias w:val="Numeris"/>
                          <w:tag w:val="nr_748b22bd580b438cb2180d289e93fc3b"/>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9f3b6f92d90c4594ae02b2fa7ce20429"/>
                    <w:lock w:val="sdtLocked"/>
                    <w:richText/>
                  </w:sdtPr>
                  <w:sdtContent>
                    <w:p>
                      <w:pPr>
                        <w:ind w:left="142" w:firstLine="567"/>
                        <w:jc w:val="both"/>
                        <w:rPr>
                          <w:iCs/>
                          <w:sz w:val="18"/>
                          <w:szCs w:val="18"/>
                        </w:rPr>
                      </w:pPr>
                      <w:sdt>
                        <w:sdtPr>
                          <w:alias w:val="Numeris"/>
                          <w:tag w:val="nr_9f3b6f92d90c4594ae02b2fa7ce20429"/>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b38c060ba6724edc94d76ba272f365f5"/>
                    <w:lock w:val="sdtLocked"/>
                    <w:richText/>
                  </w:sdtPr>
                  <w:sdtContent>
                    <w:p>
                      <w:pPr>
                        <w:ind w:left="142" w:firstLine="284"/>
                        <w:jc w:val="both"/>
                        <w:rPr>
                          <w:sz w:val="18"/>
                          <w:szCs w:val="18"/>
                        </w:rPr>
                      </w:pPr>
                      <w:sdt>
                        <w:sdtPr>
                          <w:alias w:val="Numeris"/>
                          <w:tag w:val="nr_b38c060ba6724edc94d76ba272f365f5"/>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6e679f308bc1426a8267a37c5303d637"/>
                    <w:lock w:val="sdtLocked"/>
                    <w:richText/>
                  </w:sdtPr>
                  <w:sdtContent>
                    <w:p>
                      <w:pPr>
                        <w:ind w:left="142" w:firstLine="567"/>
                        <w:jc w:val="both"/>
                        <w:rPr>
                          <w:sz w:val="18"/>
                          <w:szCs w:val="18"/>
                        </w:rPr>
                      </w:pPr>
                      <w:sdt>
                        <w:sdtPr>
                          <w:alias w:val="Numeris"/>
                          <w:tag w:val="nr_6e679f308bc1426a8267a37c5303d637"/>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54bf7bdb9eec4606ace7d20eaf99a0f4"/>
                    <w:lock w:val="sdtLocked"/>
                    <w:richText/>
                  </w:sdtPr>
                  <w:sdtContent>
                    <w:p>
                      <w:pPr>
                        <w:ind w:left="142" w:firstLine="567"/>
                        <w:jc w:val="both"/>
                        <w:rPr>
                          <w:sz w:val="18"/>
                          <w:szCs w:val="18"/>
                        </w:rPr>
                      </w:pPr>
                      <w:sdt>
                        <w:sdtPr>
                          <w:alias w:val="Numeris"/>
                          <w:tag w:val="nr_54bf7bdb9eec4606ace7d20eaf99a0f4"/>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0f7fe7cab64945d0af0b2efe22b25ee9"/>
                    <w:lock w:val="sdtLocked"/>
                    <w:richText/>
                  </w:sdtPr>
                  <w:sdtContent>
                    <w:p>
                      <w:pPr>
                        <w:ind w:left="142" w:firstLine="567"/>
                        <w:jc w:val="both"/>
                        <w:rPr>
                          <w:sz w:val="18"/>
                          <w:szCs w:val="18"/>
                        </w:rPr>
                      </w:pPr>
                      <w:sdt>
                        <w:sdtPr>
                          <w:alias w:val="Numeris"/>
                          <w:tag w:val="nr_0f7fe7cab64945d0af0b2efe22b25ee9"/>
                          <w:lock w:val="sdtLocked"/>
                          <w:richText/>
                        </w:sdtPr>
                        <w:sdtContent>
                          <w:r>
                            <w:rPr>
                              <w:sz w:val="18"/>
                              <w:szCs w:val="18"/>
                            </w:rPr>
                            <w:t>12</w:t>
                          </w:r>
                        </w:sdtContent>
                      </w:sdt>
                      <w:r>
                        <w:rPr>
                          <w:sz w:val="18"/>
                          <w:szCs w:val="18"/>
                        </w:rPr>
                        <w:t>.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1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3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4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5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V-1441)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
          <w:pPr>
            <w:pStyle w:val="PlainText"/>
            <w:rPr>
              <w:rFonts w:ascii="Times New Roman" w:eastAsia="MS Mincho" w:hAnsi="Times New Roman"/>
              <w:sz w:val="20"/>
              <w:iCs/>
            </w:rPr>
          </w:pPr>
          <w:r>
            <w:rPr>
              <w:rFonts w:ascii="Times New Roman" w:eastAsia="MS Mincho" w:hAnsi="Times New Roman"/>
              <w:sz w:val="20"/>
              <w:iCs/>
            </w:rPr>
            <w:t>3 priedo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4 priedas (pagal V-1441)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
          <w:pPr>
            <w:pStyle w:val="PlainText"/>
            <w:rPr>
              <w:rFonts w:ascii="Times New Roman" w:eastAsia="MS Mincho" w:hAnsi="Times New Roman"/>
              <w:sz w:val="20"/>
              <w:iCs/>
            </w:rPr>
          </w:pPr>
          <w:r>
            <w:rPr>
              <w:rFonts w:ascii="Times New Roman" w:eastAsia="MS Mincho" w:hAnsi="Times New Roman"/>
              <w:sz w:val="20"/>
              <w:iCs/>
            </w:rPr>
            <w:t>4 priedo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pStyle w:val="PlainText"/>
            <w:rPr>
              <w:rFonts w:ascii="Times New Roman" w:eastAsia="MS Mincho" w:hAnsi="Times New Roman"/>
              <w:sz w:val="20"/>
              <w:iCs/>
            </w:rPr>
          </w:pPr>
          <w:r>
            <w:rPr>
              <w:rFonts w:ascii="Times New Roman" w:eastAsia="MS Mincho" w:hAnsi="Times New Roman"/>
              <w:sz w:val="20"/>
              <w:iCs/>
            </w:rPr>
            <w:t>1 priedo 6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5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5 priedo 1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5 priedo 2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id="1">
    <w:p>
      <w:pPr>
        <w:rPr>
          <w:sz w:val="20"/>
        </w:rPr>
      </w:pPr>
      <w:r>
        <w:rPr>
          <w:sz w:val="20"/>
          <w:vertAlign w:val="superscript"/>
        </w:rPr>
        <w:footnoteRef/>
      </w:r>
      <w:r>
        <w:rPr>
          <w:sz w:val="20"/>
        </w:rPr>
        <w:t xml:space="preserve"> TA – tęstinė atranka.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7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4096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34.xml"/>
  <Relationship Id="rId2" Type="http://schemas.openxmlformats.org/officeDocument/2006/relationships/header" Target="header11.xml"/>
  <Relationship Id="rId20" Type="http://schemas.openxmlformats.org/officeDocument/2006/relationships/header" Target="header35.xml"/>
  <Relationship Id="rId21" Type="http://schemas.openxmlformats.org/officeDocument/2006/relationships/footer" Target="footer34.xml"/>
  <Relationship Id="rId22" Type="http://schemas.openxmlformats.org/officeDocument/2006/relationships/footer" Target="footer35.xml"/>
  <Relationship Id="rId23" Type="http://schemas.openxmlformats.org/officeDocument/2006/relationships/header" Target="header36.xml"/>
  <Relationship Id="rId24" Type="http://schemas.openxmlformats.org/officeDocument/2006/relationships/footer" Target="footer36.xml"/>
  <Relationship Id="rId25" Type="http://schemas.openxmlformats.org/officeDocument/2006/relationships/customXml" Target="../customXml/item4.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fd4aacb01454f39903998fc5ef8452f" PartId="05164fa85fe0449caf5cb2eb01a6a2e3">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59d323bebd1346a1b976839cf41e668b">
    <Part Type="skyrius" Nr="1" DocPartId="48d6ae0a714a4c43b646ee2ae1401245" PartId="031c796d14eb419a90466da94500014e">
      <Part Type="poskyris" Title="Paaiškinimai:" DocPartId="3ee8d94c84f04d1f994d22dd59e3896a" PartId="39ce67fbbff342df8b0c55fae4ef0918">
        <Part Type="punktas" Nr="1" Abbr="1 p." DocPartId="c54c3593f1b644ee9d18f36089ee9c07" PartId="f570ada390944897978d9739fff7b095"/>
        <Part Type="punktas" Nr="2" Abbr="2 p." DocPartId="1b303fd1fede4181a579675b44e1656c" PartId="998cc484e7114e7a98b09dc0bdbb190f"/>
        <Part Type="punktas" Nr="3" Abbr="3 p." DocPartId="becd5a4bad1d499ba797cb0d0a0d1e37" PartId="4999f4d4ce30404b99024d0276d3ba18"/>
        <Part Type="punktas" Nr="4" Abbr="4 p." DocPartId="559ba412620a407e9bda63fc3a692cc4" PartId="62217f55fcf24064bded30549d3241c7"/>
        <Part Type="punktas" Nr="5" Abbr="5 p." DocPartId="7865924d6e5343d18dd6a2a4c13de2f4" PartId="4e668626275445debe61b2b4567406d2"/>
      </Part>
    </Part>
    <Part Type="skyrius" Nr="2" Title="PLĖTROS PROGRAMOS PAŽANGOS PRIEMONĖS FINANSAVIMO ŠALTINIAI" DocPartId="a0355a005a7e4a72a0dbc7d66836bca8" PartId="052a44996adb4fdb90e514025ffa9489">
      <Part Type="poskyris" Title="Paaiškinimai:" DocPartId="e0110f00a05346daa709efe19213ea37" PartId="2e5aabde538c4a76b118e98a98e0910d">
        <Part Type="punktas" Nr="1" Abbr="1 p." DocPartId="9b9f43a0d4424b9481c89652a13b4759" PartId="8f5dda9ebea84270ac0b61ebe00d0685"/>
        <Part Type="punktas" Nr="2" Abbr="2 p." DocPartId="13658a8298264a48b9b32672d52d891b" PartId="86d0fed8b6f34aab851a36df4d7f5a32"/>
        <Part Type="punktas" Nr="3" Abbr="3 p." DocPartId="b5c4eed4866d4f97b0faad7db0950fec" PartId="a6ca3671466f4521be6b5c26139972b6"/>
      </Part>
    </Part>
    <Part Type="skyrius" Nr="3" Title="PLĖTROS PROGRAMOS PAŽANGOS PRIEMONĖS VEIKLŲ SUVESTINĖ" DocPartId="6d47f64dbc8943e18de9f70910bdf082" PartId="ce746023d25e40bfab4546e28da136c0">
      <Part Type="poskyris" Title="Paaiškinimai:" DocPartId="31d9a954f361493da2acd26e5319f8b1" PartId="3db68d6960144d7faecdc8357322b61e">
        <Part Type="punktas" Nr="1" Abbr="1 p." DocPartId="4d6da245e4fe4aac8dc8a06ada2de966" PartId="074c6e92a8774ba3a40003ff08ae504b"/>
        <Part Type="punktas" Nr="2" Abbr="2 p." DocPartId="fc0b5b3002694851af4fd7ec7668569a" PartId="d1314700d40e47788284c5e1b8787ee8"/>
        <Part Type="punktas" Nr="3" Abbr="3 p." DocPartId="aad48cff74224bf9bdd005508c710e3f" PartId="e87d874d950f418d9a181b48c0ae12ce"/>
        <Part Type="punktas" Nr="4" Abbr="4 p." DocPartId="9cbda802c94644c6af516b016dfc5db9" PartId="84f93e0861ae44458712df0465c957b2"/>
        <Part Type="punktas" Nr="5" Abbr="5 p." DocPartId="509e81bc45844a618aad4cc674b26553" PartId="dc599ebc27874e34abe561f29ee00e69"/>
        <Part Type="punktas" Nr="6" Abbr="6 p." DocPartId="d61554d1147c40c89673bd76084f82f3" PartId="2748e42c80464409b39fbc32ddcf11f6"/>
        <Part Type="punktas" Nr="7" Abbr="7 p." DocPartId="0f747f04792c487cacaf9e13bc609ba8" PartId="748b22bd580b438cb2180d289e93fc3b"/>
        <Part Type="punktas" Nr="8" Abbr="8 p." DocPartId="4c0606007e7042f184e8dba9c6cba0f4" PartId="9f3b6f92d90c4594ae02b2fa7ce20429"/>
        <Part Type="punktas" Nr="9" Abbr="9 p." DocPartId="60ea83e2175943ca915d93ea62e0570d" PartId="b38c060ba6724edc94d76ba272f365f5"/>
        <Part Type="punktas" Nr="10" Abbr="10 p." DocPartId="7e881ba8cc324e19819b4c4c8e50b667" PartId="6e679f308bc1426a8267a37c5303d637"/>
        <Part Type="punktas" Nr="11" Abbr="11 p." DocPartId="e6cd0a467b20453e8475b49a2531c128" PartId="54bf7bdb9eec4606ace7d20eaf99a0f4"/>
        <Part Type="punktas" Nr="12" Abbr="12 p." DocPartId="0bcbb4df03d241e49598a93445d05cb5" PartId="0f7fe7cab64945d0af0b2efe22b25ee9"/>
      </Part>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4.xml><?xml version="1.0" encoding="utf-8"?>
<ds:datastoreItem xmlns:ds="http://schemas.openxmlformats.org/officeDocument/2006/customXml" ds:itemID="{15F9FB2A-66C5-457D-8A29-4B37638FBF6F}">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0E6E432C-F4ED-4AA7-9B5B-CE2B3C38582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18</Pages>
  <Words>19021</Words>
  <Characters>10842</Characters>
  <Application>Microsoft Office Word</Application>
  <DocSecurity>0</DocSecurity>
  <Lines>90</Lines>
  <Paragraphs>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29804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DINDIENĖ Laura</lastModifiedBy>
  <lastPrinted>2010-02-18T07:54:00Z</lastPrinted>
  <dcterms:modified xsi:type="dcterms:W3CDTF">2023-11-09T11:10:00Z</dcterms:modified>
  <revision>13</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