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2024-06-04 iki 2024-09-04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9d323bebd1346a1b976839cf41e668b"/>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9d323bebd1346a1b976839cf41e668b"/>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b0d842a98355490f98498f539b68e17e"/>
            <w:lock w:val="sdtLocked"/>
            <w:richText/>
          </w:sdtPr>
          <w:sdtContent>
            <w:p>
              <w:pPr>
                <w:jc w:val="center"/>
                <w:rPr>
                  <w:b/>
                  <w:bCs/>
                </w:rPr>
              </w:pPr>
              <w:sdt>
                <w:sdtPr>
                  <w:alias w:val="Numeris"/>
                  <w:tag w:val="nr_b0d842a98355490f98498f539b68e17e"/>
                  <w:lock w:val="sdtLocked"/>
                  <w:richText/>
                </w:sdtPr>
                <w:sdtContent>
                  <w:r>
                    <w:rPr>
                      <w:b/>
                      <w:bCs/>
                    </w:rPr>
                    <w:t>III</w:t>
                  </w:r>
                </w:sdtContent>
              </w:sdt>
              <w:r>
                <w:rPr>
                  <w:b/>
                  <w:bCs/>
                </w:rPr>
                <w:t xml:space="preserve"> SKYRIUS</w:t>
              </w:r>
            </w:p>
            <w:p>
              <w:pPr>
                <w:jc w:val="center"/>
                <w:rPr>
                  <w:b/>
                  <w:bCs/>
                </w:rPr>
              </w:pPr>
              <w:sdt>
                <w:sdtPr>
                  <w:alias w:val="Pavadinimas"/>
                  <w:tag w:val="title_b0d842a98355490f98498f539b68e17e"/>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1027"/>
                <w:gridCol w:w="1064"/>
                <w:gridCol w:w="883"/>
                <w:gridCol w:w="1180"/>
                <w:gridCol w:w="1213"/>
                <w:gridCol w:w="1213"/>
                <w:gridCol w:w="1213"/>
                <w:gridCol w:w="1733"/>
                <w:gridCol w:w="831"/>
                <w:gridCol w:w="1531"/>
                <w:gridCol w:w="1223"/>
              </w:tblGrid>
              <w:tr>
                <w:trPr>
                  <w:trHeight w:val="1425"/>
                </w:trPr>
                <w:tc>
                  <w:tcPr>
                    <w:tcW w:w="449" w:type="pct"/>
                    <w:shd w:val="clear" w:color="auto" w:fill="auto"/>
                  </w:tcPr>
                  <w:p>
                    <w:pPr>
                      <w:ind w:left="324" w:right="-57"/>
                      <w:jc w:val="center"/>
                      <w:rPr>
                        <w:b/>
                        <w:sz w:val="20"/>
                      </w:rPr>
                    </w:pPr>
                    <w:r>
                      <w:rPr>
                        <w:b/>
                        <w:sz w:val="20"/>
                      </w:rPr>
                      <w:t>Veikla</w:t>
                    </w:r>
                  </w:p>
                </w:tc>
                <w:tc>
                  <w:tcPr>
                    <w:tcW w:w="346" w:type="pct"/>
                    <w:shd w:val="clear" w:color="auto" w:fill="auto"/>
                  </w:tcPr>
                  <w:p>
                    <w:pPr>
                      <w:ind w:left="-57" w:right="-57"/>
                      <w:jc w:val="center"/>
                      <w:rPr>
                        <w:b/>
                        <w:sz w:val="20"/>
                      </w:rPr>
                    </w:pPr>
                    <w:r>
                      <w:rPr>
                        <w:b/>
                        <w:sz w:val="20"/>
                      </w:rPr>
                      <w:t>Veiklos (poveiklės, projekto) tipas</w:t>
                    </w:r>
                  </w:p>
                </w:tc>
                <w:tc>
                  <w:tcPr>
                    <w:tcW w:w="386" w:type="pct"/>
                    <w:shd w:val="clear" w:color="auto" w:fill="auto"/>
                  </w:tcPr>
                  <w:p>
                    <w:pPr>
                      <w:ind w:left="-57" w:right="-57"/>
                      <w:jc w:val="center"/>
                      <w:rPr>
                        <w:b/>
                        <w:sz w:val="20"/>
                      </w:rPr>
                    </w:pPr>
                    <w:r>
                      <w:rPr>
                        <w:b/>
                        <w:sz w:val="20"/>
                      </w:rPr>
                      <w:t>Galimi pareiškėjai</w:t>
                    </w:r>
                  </w:p>
                </w:tc>
                <w:tc>
                  <w:tcPr>
                    <w:tcW w:w="259" w:type="pct"/>
                    <w:shd w:val="clear" w:color="auto" w:fill="auto"/>
                  </w:tcPr>
                  <w:p>
                    <w:pPr>
                      <w:ind w:left="-57" w:right="-57"/>
                      <w:jc w:val="center"/>
                      <w:rPr>
                        <w:b/>
                        <w:sz w:val="20"/>
                      </w:rPr>
                    </w:pPr>
                    <w:r>
                      <w:rPr>
                        <w:b/>
                        <w:sz w:val="20"/>
                      </w:rPr>
                      <w:t xml:space="preserve">Projektų </w:t>
                    </w:r>
                  </w:p>
                  <w:p>
                    <w:pPr>
                      <w:ind w:left="-57" w:right="-57"/>
                      <w:jc w:val="center"/>
                      <w:rPr>
                        <w:b/>
                        <w:sz w:val="20"/>
                      </w:rPr>
                    </w:pPr>
                    <w:r>
                      <w:rPr>
                        <w:b/>
                        <w:sz w:val="20"/>
                      </w:rPr>
                      <w:t>atrankos būdas</w:t>
                    </w:r>
                  </w:p>
                </w:tc>
                <w:tc>
                  <w:tcPr>
                    <w:tcW w:w="386" w:type="pct"/>
                    <w:shd w:val="clear" w:color="auto" w:fill="auto"/>
                  </w:tcPr>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449" w:type="pct"/>
                    <w:shd w:val="clear" w:color="auto" w:fill="auto"/>
                  </w:tcPr>
                  <w:p>
                    <w:pPr>
                      <w:ind w:left="-57" w:right="-57"/>
                      <w:jc w:val="center"/>
                      <w:rPr>
                        <w:b/>
                        <w:sz w:val="20"/>
                      </w:rPr>
                    </w:pPr>
                    <w:r>
                      <w:rPr>
                        <w:b/>
                        <w:sz w:val="20"/>
                      </w:rPr>
                      <w:t>Finansavimo forma</w:t>
                    </w:r>
                  </w:p>
                </w:tc>
                <w:tc>
                  <w:tcPr>
                    <w:tcW w:w="360" w:type="pct"/>
                    <w:shd w:val="clear" w:color="auto" w:fill="auto"/>
                  </w:tcPr>
                  <w:p>
                    <w:pPr>
                      <w:ind w:left="-57" w:right="-57"/>
                      <w:jc w:val="center"/>
                      <w:rPr>
                        <w:b/>
                        <w:sz w:val="20"/>
                      </w:rPr>
                    </w:pPr>
                    <w:r>
                      <w:rPr>
                        <w:b/>
                        <w:sz w:val="20"/>
                      </w:rPr>
                      <w:t>Finansavimo suma (tūkst. eurų)</w:t>
                    </w:r>
                  </w:p>
                </w:tc>
                <w:tc>
                  <w:tcPr>
                    <w:tcW w:w="383" w:type="pct"/>
                    <w:shd w:val="clear" w:color="auto" w:fill="auto"/>
                  </w:tcPr>
                  <w:p>
                    <w:pPr>
                      <w:ind w:left="-57" w:right="-57"/>
                      <w:jc w:val="center"/>
                      <w:rPr>
                        <w:b/>
                        <w:sz w:val="20"/>
                        <w:vertAlign w:val="superscript"/>
                      </w:rPr>
                    </w:pPr>
                    <w:r>
                      <w:rPr>
                        <w:b/>
                        <w:sz w:val="20"/>
                      </w:rPr>
                      <w:t>Finansavimo šaltinis</w:t>
                    </w:r>
                    <w:r>
                      <w:rPr>
                        <w:b/>
                        <w:sz w:val="20"/>
                        <w:vertAlign w:val="superscript"/>
                      </w:rPr>
                      <w:t xml:space="preserve"> </w:t>
                    </w:r>
                    <w:r>
                      <w:rPr>
                        <w:b/>
                        <w:sz w:val="20"/>
                      </w:rPr>
                      <w:t>(-iai)</w:t>
                    </w:r>
                  </w:p>
                </w:tc>
                <w:tc>
                  <w:tcPr>
                    <w:tcW w:w="638" w:type="pct"/>
                    <w:shd w:val="clear" w:color="auto" w:fill="auto"/>
                  </w:tcPr>
                  <w:p>
                    <w:pPr>
                      <w:ind w:left="-57" w:right="-57"/>
                      <w:jc w:val="center"/>
                      <w:rPr>
                        <w:b/>
                        <w:sz w:val="20"/>
                      </w:rPr>
                    </w:pPr>
                    <w:r>
                      <w:rPr>
                        <w:b/>
                        <w:sz w:val="20"/>
                      </w:rPr>
                      <w:t>Rodiklio pavadinimas ir tipas</w:t>
                    </w:r>
                  </w:p>
                </w:tc>
                <w:tc>
                  <w:tcPr>
                    <w:tcW w:w="448" w:type="pct"/>
                    <w:shd w:val="clear" w:color="auto" w:fill="auto"/>
                  </w:tcPr>
                  <w:p>
                    <w:pPr>
                      <w:ind w:left="-57" w:right="-57"/>
                      <w:jc w:val="center"/>
                      <w:rPr>
                        <w:b/>
                        <w:sz w:val="20"/>
                      </w:rPr>
                    </w:pPr>
                    <w:r>
                      <w:rPr>
                        <w:b/>
                        <w:sz w:val="20"/>
                      </w:rPr>
                      <w:t>Siektina galutinė rodiklio reikšmė</w:t>
                    </w:r>
                  </w:p>
                  <w:p>
                    <w:pPr>
                      <w:ind w:left="-57" w:right="-57"/>
                      <w:jc w:val="center"/>
                      <w:rPr>
                        <w:b/>
                        <w:sz w:val="20"/>
                      </w:rPr>
                    </w:pPr>
                    <w:r>
                      <w:rPr>
                        <w:b/>
                        <w:sz w:val="20"/>
                      </w:rPr>
                      <w:t>(ir metai)</w:t>
                    </w:r>
                  </w:p>
                </w:tc>
                <w:tc>
                  <w:tcPr>
                    <w:tcW w:w="447" w:type="pct"/>
                    <w:shd w:val="clear" w:color="auto" w:fill="auto"/>
                  </w:tcPr>
                  <w:p>
                    <w:pPr>
                      <w:ind w:left="-57" w:right="-57"/>
                      <w:jc w:val="center"/>
                      <w:rPr>
                        <w:b/>
                        <w:strike/>
                        <w:sz w:val="20"/>
                      </w:rPr>
                    </w:pPr>
                    <w:r>
                      <w:rPr>
                        <w:b/>
                        <w:sz w:val="20"/>
                      </w:rPr>
                      <w:t>Administruojan-čioji institucija</w:t>
                    </w:r>
                  </w:p>
                </w:tc>
                <w:tc>
                  <w:tcPr>
                    <w:tcW w:w="449" w:type="pct"/>
                    <w:shd w:val="clear" w:color="auto" w:fill="auto"/>
                  </w:tcPr>
                  <w:p>
                    <w:pPr>
                      <w:ind w:left="-57" w:right="-57"/>
                      <w:jc w:val="center"/>
                      <w:rPr>
                        <w:b/>
                        <w:sz w:val="20"/>
                      </w:rPr>
                    </w:pPr>
                    <w:r>
                      <w:rPr>
                        <w:b/>
                        <w:sz w:val="20"/>
                      </w:rPr>
                      <w:t>Dalyvaujanti institucija</w:t>
                    </w:r>
                  </w:p>
                </w:tc>
              </w:tr>
              <w:tr>
                <w:trPr>
                  <w:trHeight w:val="279"/>
                </w:trPr>
                <w:tc>
                  <w:tcPr>
                    <w:tcW w:w="449" w:type="pct"/>
                    <w:shd w:val="clear" w:color="auto" w:fill="auto"/>
                  </w:tcPr>
                  <w:p>
                    <w:pPr>
                      <w:ind w:left="-57" w:right="-57"/>
                      <w:jc w:val="center"/>
                      <w:rPr>
                        <w:b/>
                        <w:sz w:val="16"/>
                        <w:szCs w:val="16"/>
                      </w:rPr>
                    </w:pPr>
                    <w:r>
                      <w:rPr>
                        <w:b/>
                        <w:sz w:val="16"/>
                        <w:szCs w:val="16"/>
                      </w:rPr>
                      <w:t>1</w:t>
                    </w:r>
                  </w:p>
                </w:tc>
                <w:tc>
                  <w:tcPr>
                    <w:tcW w:w="346" w:type="pct"/>
                    <w:shd w:val="clear" w:color="auto" w:fill="auto"/>
                  </w:tcPr>
                  <w:p>
                    <w:pPr>
                      <w:ind w:left="-57" w:right="-57"/>
                      <w:jc w:val="center"/>
                      <w:rPr>
                        <w:b/>
                        <w:sz w:val="16"/>
                        <w:szCs w:val="16"/>
                      </w:rPr>
                    </w:pPr>
                    <w:r>
                      <w:rPr>
                        <w:b/>
                        <w:sz w:val="16"/>
                        <w:szCs w:val="16"/>
                      </w:rPr>
                      <w:t>2</w:t>
                    </w:r>
                  </w:p>
                </w:tc>
                <w:tc>
                  <w:tcPr>
                    <w:tcW w:w="386" w:type="pct"/>
                    <w:shd w:val="clear" w:color="auto" w:fill="auto"/>
                  </w:tcPr>
                  <w:p>
                    <w:pPr>
                      <w:ind w:left="-57" w:right="-57"/>
                      <w:jc w:val="center"/>
                      <w:rPr>
                        <w:b/>
                        <w:sz w:val="16"/>
                        <w:szCs w:val="16"/>
                      </w:rPr>
                    </w:pPr>
                    <w:r>
                      <w:rPr>
                        <w:b/>
                        <w:sz w:val="16"/>
                        <w:szCs w:val="16"/>
                      </w:rPr>
                      <w:t>3</w:t>
                    </w:r>
                  </w:p>
                </w:tc>
                <w:tc>
                  <w:tcPr>
                    <w:tcW w:w="259" w:type="pct"/>
                    <w:shd w:val="clear" w:color="auto" w:fill="auto"/>
                  </w:tcPr>
                  <w:p>
                    <w:pPr>
                      <w:ind w:left="-57" w:right="-57"/>
                      <w:jc w:val="center"/>
                      <w:rPr>
                        <w:b/>
                        <w:sz w:val="16"/>
                        <w:szCs w:val="16"/>
                      </w:rPr>
                    </w:pPr>
                    <w:r>
                      <w:rPr>
                        <w:b/>
                        <w:sz w:val="16"/>
                        <w:szCs w:val="16"/>
                      </w:rPr>
                      <w:t>4</w:t>
                    </w:r>
                  </w:p>
                </w:tc>
                <w:tc>
                  <w:tcPr>
                    <w:tcW w:w="386" w:type="pct"/>
                    <w:shd w:val="clear" w:color="auto" w:fill="auto"/>
                  </w:tcPr>
                  <w:p>
                    <w:pPr>
                      <w:ind w:left="-57" w:right="-57"/>
                      <w:jc w:val="center"/>
                      <w:rPr>
                        <w:b/>
                        <w:sz w:val="16"/>
                        <w:szCs w:val="16"/>
                      </w:rPr>
                    </w:pPr>
                    <w:r>
                      <w:rPr>
                        <w:b/>
                        <w:sz w:val="16"/>
                        <w:szCs w:val="16"/>
                      </w:rPr>
                      <w:t>5</w:t>
                    </w:r>
                  </w:p>
                </w:tc>
                <w:tc>
                  <w:tcPr>
                    <w:tcW w:w="449" w:type="pct"/>
                    <w:shd w:val="clear" w:color="auto" w:fill="auto"/>
                  </w:tcPr>
                  <w:p>
                    <w:pPr>
                      <w:ind w:left="-57" w:right="-57"/>
                      <w:jc w:val="center"/>
                      <w:rPr>
                        <w:b/>
                        <w:sz w:val="16"/>
                        <w:szCs w:val="16"/>
                      </w:rPr>
                    </w:pPr>
                    <w:r>
                      <w:rPr>
                        <w:b/>
                        <w:sz w:val="16"/>
                        <w:szCs w:val="16"/>
                      </w:rPr>
                      <w:t>6</w:t>
                    </w:r>
                  </w:p>
                </w:tc>
                <w:tc>
                  <w:tcPr>
                    <w:tcW w:w="360" w:type="pct"/>
                    <w:shd w:val="clear" w:color="auto" w:fill="auto"/>
                  </w:tcPr>
                  <w:p>
                    <w:pPr>
                      <w:ind w:left="-57" w:right="-57"/>
                      <w:jc w:val="center"/>
                      <w:rPr>
                        <w:b/>
                        <w:sz w:val="16"/>
                        <w:szCs w:val="16"/>
                      </w:rPr>
                    </w:pPr>
                    <w:r>
                      <w:rPr>
                        <w:b/>
                        <w:sz w:val="16"/>
                        <w:szCs w:val="16"/>
                      </w:rPr>
                      <w:t>7</w:t>
                    </w:r>
                  </w:p>
                </w:tc>
                <w:tc>
                  <w:tcPr>
                    <w:tcW w:w="383" w:type="pct"/>
                    <w:shd w:val="clear" w:color="auto" w:fill="auto"/>
                  </w:tcPr>
                  <w:p>
                    <w:pPr>
                      <w:ind w:left="-57" w:right="-57"/>
                      <w:jc w:val="center"/>
                      <w:rPr>
                        <w:b/>
                        <w:sz w:val="16"/>
                        <w:szCs w:val="16"/>
                      </w:rPr>
                    </w:pPr>
                    <w:r>
                      <w:rPr>
                        <w:b/>
                        <w:sz w:val="16"/>
                        <w:szCs w:val="16"/>
                      </w:rPr>
                      <w:t>8</w:t>
                    </w:r>
                  </w:p>
                </w:tc>
                <w:tc>
                  <w:tcPr>
                    <w:tcW w:w="638" w:type="pct"/>
                    <w:shd w:val="clear" w:color="auto" w:fill="auto"/>
                  </w:tcPr>
                  <w:p>
                    <w:pPr>
                      <w:ind w:left="-57" w:right="-57"/>
                      <w:jc w:val="center"/>
                      <w:rPr>
                        <w:b/>
                        <w:sz w:val="16"/>
                        <w:szCs w:val="16"/>
                      </w:rPr>
                    </w:pPr>
                    <w:r>
                      <w:rPr>
                        <w:b/>
                        <w:sz w:val="16"/>
                        <w:szCs w:val="16"/>
                      </w:rPr>
                      <w:t>9</w:t>
                    </w:r>
                  </w:p>
                </w:tc>
                <w:tc>
                  <w:tcPr>
                    <w:tcW w:w="448" w:type="pct"/>
                    <w:shd w:val="clear" w:color="auto" w:fill="auto"/>
                  </w:tcPr>
                  <w:p>
                    <w:pPr>
                      <w:ind w:left="-57" w:right="-57"/>
                      <w:jc w:val="center"/>
                      <w:rPr>
                        <w:b/>
                        <w:sz w:val="16"/>
                        <w:szCs w:val="16"/>
                      </w:rPr>
                    </w:pPr>
                    <w:r>
                      <w:rPr>
                        <w:b/>
                        <w:sz w:val="16"/>
                        <w:szCs w:val="16"/>
                      </w:rPr>
                      <w:t>10</w:t>
                    </w:r>
                  </w:p>
                </w:tc>
                <w:tc>
                  <w:tcPr>
                    <w:tcW w:w="447" w:type="pct"/>
                    <w:shd w:val="clear" w:color="auto" w:fill="auto"/>
                  </w:tcPr>
                  <w:p>
                    <w:pPr>
                      <w:ind w:left="-57" w:right="-57"/>
                      <w:jc w:val="center"/>
                      <w:rPr>
                        <w:b/>
                        <w:sz w:val="16"/>
                        <w:szCs w:val="16"/>
                      </w:rPr>
                    </w:pPr>
                    <w:r>
                      <w:rPr>
                        <w:b/>
                        <w:sz w:val="16"/>
                        <w:szCs w:val="16"/>
                      </w:rPr>
                      <w:t>11</w:t>
                    </w:r>
                  </w:p>
                </w:tc>
                <w:tc>
                  <w:tcPr>
                    <w:tcW w:w="449" w:type="pct"/>
                    <w:shd w:val="clear" w:color="auto" w:fill="auto"/>
                  </w:tcPr>
                  <w:p>
                    <w:pPr>
                      <w:ind w:left="-57" w:right="-57"/>
                      <w:jc w:val="center"/>
                      <w:rPr>
                        <w:b/>
                        <w:sz w:val="16"/>
                        <w:szCs w:val="16"/>
                      </w:rPr>
                    </w:pPr>
                    <w:r>
                      <w:rPr>
                        <w:b/>
                        <w:sz w:val="16"/>
                        <w:szCs w:val="16"/>
                      </w:rPr>
                      <w:t>12</w:t>
                    </w:r>
                  </w:p>
                </w:tc>
              </w:tr>
              <w:tr>
                <w:trPr>
                  <w:trHeight w:val="458"/>
                </w:trPr>
                <w:tc>
                  <w:tcPr>
                    <w:tcW w:w="449"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46" w:type="pct"/>
                    <w:vMerge w:val="restart"/>
                  </w:tcPr>
                  <w:p>
                    <w:pPr>
                      <w:ind w:left="-57" w:right="-57"/>
                      <w:jc w:val="center"/>
                      <w:rPr>
                        <w:sz w:val="18"/>
                        <w:szCs w:val="18"/>
                      </w:rPr>
                    </w:pPr>
                    <w:r>
                      <w:rPr>
                        <w:sz w:val="18"/>
                        <w:szCs w:val="18"/>
                      </w:rPr>
                      <w:t>R</w:t>
                    </w:r>
                  </w:p>
                </w:tc>
                <w:tc>
                  <w:tcPr>
                    <w:tcW w:w="386" w:type="pct"/>
                    <w:vMerge w:val="restart"/>
                  </w:tcPr>
                  <w:p>
                    <w:pPr>
                      <w:ind w:left="-57" w:right="-57"/>
                      <w:jc w:val="center"/>
                      <w:rPr>
                        <w:sz w:val="18"/>
                        <w:szCs w:val="18"/>
                      </w:rPr>
                    </w:pPr>
                    <w:r>
                      <w:rPr>
                        <w:sz w:val="18"/>
                        <w:szCs w:val="18"/>
                      </w:rPr>
                      <w:t>-</w:t>
                    </w:r>
                  </w:p>
                </w:tc>
                <w:tc>
                  <w:tcPr>
                    <w:tcW w:w="259" w:type="pct"/>
                    <w:vMerge w:val="restart"/>
                  </w:tcPr>
                  <w:p>
                    <w:pPr>
                      <w:ind w:left="-57" w:right="-57"/>
                      <w:jc w:val="center"/>
                      <w:rPr>
                        <w:sz w:val="18"/>
                        <w:szCs w:val="18"/>
                      </w:rPr>
                    </w:pPr>
                    <w:r>
                      <w:rPr>
                        <w:sz w:val="18"/>
                        <w:szCs w:val="18"/>
                      </w:rPr>
                      <w:t>-</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w:t>
                    </w:r>
                  </w:p>
                </w:tc>
                <w:tc>
                  <w:tcPr>
                    <w:tcW w:w="360" w:type="pct"/>
                    <w:vMerge w:val="restart"/>
                  </w:tcPr>
                  <w:p>
                    <w:pPr>
                      <w:ind w:left="-57" w:right="-57"/>
                      <w:jc w:val="center"/>
                      <w:rPr>
                        <w:sz w:val="18"/>
                        <w:szCs w:val="18"/>
                      </w:rPr>
                    </w:pPr>
                    <w:r>
                      <w:rPr>
                        <w:sz w:val="18"/>
                        <w:szCs w:val="18"/>
                      </w:rPr>
                      <w:t>-</w:t>
                    </w:r>
                  </w:p>
                </w:tc>
                <w:tc>
                  <w:tcPr>
                    <w:tcW w:w="383" w:type="pct"/>
                    <w:vMerge w:val="restart"/>
                  </w:tcPr>
                  <w:p>
                    <w:pPr>
                      <w:ind w:left="-57" w:right="-57"/>
                      <w:jc w:val="center"/>
                      <w:rPr>
                        <w:sz w:val="18"/>
                        <w:szCs w:val="18"/>
                      </w:rPr>
                    </w:pPr>
                    <w:r>
                      <w:rPr>
                        <w:sz w:val="18"/>
                        <w:szCs w:val="18"/>
                      </w:rPr>
                      <w:t>-</w:t>
                    </w:r>
                  </w:p>
                </w:tc>
                <w:tc>
                  <w:tcPr>
                    <w:tcW w:w="638"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448" w:type="pct"/>
                  </w:tcPr>
                  <w:p>
                    <w:pPr>
                      <w:ind w:left="-57" w:right="-57"/>
                      <w:jc w:val="center"/>
                      <w:rPr>
                        <w:sz w:val="18"/>
                        <w:szCs w:val="18"/>
                      </w:rPr>
                    </w:pPr>
                    <w:r>
                      <w:rPr>
                        <w:sz w:val="18"/>
                        <w:szCs w:val="18"/>
                      </w:rPr>
                      <w:t>1</w:t>
                    </w:r>
                  </w:p>
                  <w:p>
                    <w:pPr>
                      <w:ind w:left="-57" w:right="-57"/>
                      <w:jc w:val="center"/>
                      <w:rPr>
                        <w:sz w:val="18"/>
                        <w:szCs w:val="18"/>
                      </w:rPr>
                    </w:pPr>
                    <w:r>
                      <w:rPr>
                        <w:color w:val="000000"/>
                        <w:sz w:val="20"/>
                      </w:rPr>
                      <w:t>(2022 m.)</w:t>
                    </w:r>
                  </w:p>
                </w:tc>
                <w:tc>
                  <w:tcPr>
                    <w:tcW w:w="447" w:type="pct"/>
                    <w:vMerge w:val="restart"/>
                  </w:tcPr>
                  <w:p>
                    <w:pPr>
                      <w:ind w:left="-57" w:right="-57"/>
                      <w:jc w:val="center"/>
                      <w:rPr>
                        <w:sz w:val="18"/>
                        <w:szCs w:val="18"/>
                      </w:rPr>
                    </w:pPr>
                    <w:r>
                      <w:rPr>
                        <w:color w:val="000000"/>
                        <w:sz w:val="20"/>
                      </w:rPr>
                      <w:t>ŠMSM</w:t>
                    </w:r>
                  </w:p>
                </w:tc>
                <w:tc>
                  <w:tcPr>
                    <w:tcW w:w="449" w:type="pct"/>
                    <w:vMerge w:val="restart"/>
                  </w:tcPr>
                  <w:p>
                    <w:pPr>
                      <w:ind w:left="-57" w:right="-57"/>
                      <w:jc w:val="center"/>
                      <w:rPr>
                        <w:sz w:val="18"/>
                        <w:szCs w:val="18"/>
                      </w:rPr>
                    </w:pPr>
                    <w:r>
                      <w:rPr>
                        <w:color w:val="000000"/>
                        <w:sz w:val="20"/>
                      </w:rPr>
                      <w:t>ŠMSM</w:t>
                    </w: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Nacionalinės profesinio mokymo pažangos platformos sukūrimą patvirtinančių teisės aktų įsigaliojimas</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P – Įsigalioję teisės aktai, kuriais nustatoma Paramos pameistrystei ir mokymuisi darbo vietoje schema </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46" w:type="pct"/>
                  </w:tcPr>
                  <w:p>
                    <w:pPr>
                      <w:ind w:left="-57" w:right="-57"/>
                      <w:rPr>
                        <w:sz w:val="18"/>
                        <w:szCs w:val="18"/>
                      </w:rPr>
                    </w:pPr>
                  </w:p>
                </w:tc>
                <w:tc>
                  <w:tcPr>
                    <w:tcW w:w="386" w:type="pct"/>
                  </w:tcPr>
                  <w:p>
                    <w:pPr>
                      <w:ind w:left="-57" w:right="-57"/>
                      <w:rPr>
                        <w:sz w:val="18"/>
                        <w:szCs w:val="18"/>
                      </w:rPr>
                    </w:pPr>
                  </w:p>
                </w:tc>
                <w:tc>
                  <w:tcPr>
                    <w:tcW w:w="259" w:type="pct"/>
                  </w:tcPr>
                  <w:p>
                    <w:pPr>
                      <w:ind w:left="-57" w:right="-57"/>
                      <w:rPr>
                        <w:sz w:val="18"/>
                        <w:szCs w:val="18"/>
                      </w:rPr>
                    </w:pPr>
                  </w:p>
                </w:tc>
                <w:tc>
                  <w:tcPr>
                    <w:tcW w:w="386" w:type="pct"/>
                  </w:tcPr>
                  <w:p>
                    <w:pPr>
                      <w:ind w:left="-57" w:right="-57"/>
                      <w:rPr>
                        <w:sz w:val="18"/>
                        <w:szCs w:val="18"/>
                      </w:rPr>
                    </w:pPr>
                  </w:p>
                </w:tc>
                <w:tc>
                  <w:tcPr>
                    <w:tcW w:w="449" w:type="pct"/>
                  </w:tcPr>
                  <w:p>
                    <w:pPr>
                      <w:ind w:left="-57" w:right="-57"/>
                      <w:rPr>
                        <w:sz w:val="18"/>
                        <w:szCs w:val="18"/>
                      </w:rPr>
                    </w:pPr>
                  </w:p>
                </w:tc>
                <w:tc>
                  <w:tcPr>
                    <w:tcW w:w="360" w:type="pct"/>
                  </w:tcPr>
                  <w:p>
                    <w:pPr>
                      <w:ind w:left="-57" w:right="-57"/>
                      <w:jc w:val="center"/>
                      <w:rPr>
                        <w:sz w:val="18"/>
                        <w:szCs w:val="18"/>
                      </w:rPr>
                    </w:pPr>
                  </w:p>
                </w:tc>
                <w:tc>
                  <w:tcPr>
                    <w:tcW w:w="383" w:type="pct"/>
                  </w:tcPr>
                  <w:p>
                    <w:pPr>
                      <w:ind w:left="-57" w:right="-57"/>
                      <w:rPr>
                        <w:sz w:val="20"/>
                        <w:highlight w:val="cyan"/>
                      </w:rPr>
                    </w:pPr>
                  </w:p>
                </w:tc>
                <w:tc>
                  <w:tcPr>
                    <w:tcW w:w="638" w:type="pct"/>
                  </w:tcPr>
                  <w:p>
                    <w:pPr>
                      <w:rPr>
                        <w:color w:val="000000"/>
                        <w:sz w:val="20"/>
                        <w:highlight w:val="cyan"/>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458"/>
                </w:trPr>
                <w:tc>
                  <w:tcPr>
                    <w:tcW w:w="449" w:type="pct"/>
                    <w:vMerge w:val="restart"/>
                  </w:tcPr>
                  <w:p>
                    <w:pPr>
                      <w:ind w:left="-57" w:right="-57"/>
                      <w:rPr>
                        <w:i/>
                        <w:sz w:val="18"/>
                        <w:szCs w:val="18"/>
                      </w:rPr>
                    </w:pPr>
                    <w:r>
                      <w:rPr>
                        <w:color w:val="000000"/>
                        <w:sz w:val="20"/>
                      </w:rPr>
                      <w:t xml:space="preserve">2.1. </w:t>
                    </w:r>
                    <w:r>
                      <w:rPr>
                        <w:sz w:val="20"/>
                      </w:rPr>
                      <w:t>Formaliojo profesinio mokymo programų atnaujinimas ir (ar) parengimas</w:t>
                    </w:r>
                  </w:p>
                </w:tc>
                <w:tc>
                  <w:tcPr>
                    <w:tcW w:w="346" w:type="pct"/>
                    <w:vMerge w:val="restart"/>
                  </w:tcPr>
                  <w:p>
                    <w:pPr>
                      <w:ind w:left="-57" w:right="-57"/>
                      <w:jc w:val="center"/>
                      <w:rPr>
                        <w:sz w:val="18"/>
                        <w:szCs w:val="18"/>
                      </w:rPr>
                    </w:pPr>
                    <w:r>
                      <w:rPr>
                        <w:sz w:val="18"/>
                        <w:szCs w:val="18"/>
                      </w:rPr>
                      <w:t>M</w:t>
                    </w:r>
                  </w:p>
                </w:tc>
                <w:tc>
                  <w:tcPr>
                    <w:tcW w:w="386" w:type="pct"/>
                    <w:vMerge w:val="restart"/>
                  </w:tcPr>
                  <w:p>
                    <w:pPr>
                      <w:ind w:left="-57" w:right="-57"/>
                      <w:jc w:val="center"/>
                      <w:rPr>
                        <w:sz w:val="18"/>
                        <w:szCs w:val="18"/>
                      </w:rPr>
                    </w:pPr>
                    <w:r>
                      <w:rPr>
                        <w:sz w:val="18"/>
                        <w:szCs w:val="18"/>
                      </w:rPr>
                      <w:t>ESFA</w:t>
                    </w:r>
                  </w:p>
                </w:tc>
                <w:tc>
                  <w:tcPr>
                    <w:tcW w:w="259" w:type="pct"/>
                    <w:vMerge w:val="restart"/>
                  </w:tcPr>
                  <w:p>
                    <w:pPr>
                      <w:ind w:left="-57" w:right="-57"/>
                      <w:jc w:val="center"/>
                      <w:rPr>
                        <w:sz w:val="18"/>
                        <w:szCs w:val="18"/>
                      </w:rPr>
                    </w:pPr>
                    <w:r>
                      <w:rPr>
                        <w:sz w:val="18"/>
                        <w:szCs w:val="18"/>
                      </w:rPr>
                      <w:t>P</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20"/>
                      </w:rPr>
                    </w:pPr>
                    <w:r>
                      <w:rPr>
                        <w:sz w:val="20"/>
                      </w:rPr>
                      <w:t>2 299:</w:t>
                    </w:r>
                  </w:p>
                  <w:p>
                    <w:pPr>
                      <w:ind w:left="-57" w:right="-57"/>
                      <w:jc w:val="center"/>
                      <w:rPr>
                        <w:sz w:val="20"/>
                      </w:rPr>
                    </w:pPr>
                    <w:r>
                      <w:rPr>
                        <w:sz w:val="20"/>
                      </w:rPr>
                      <w:t>1 900</w:t>
                    </w: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p>
                  <w:p>
                    <w:pPr>
                      <w:ind w:left="-57" w:right="-57"/>
                      <w:jc w:val="center"/>
                      <w:rPr>
                        <w:sz w:val="20"/>
                      </w:rPr>
                    </w:pPr>
                    <w:r>
                      <w:rPr>
                        <w:color w:val="000000"/>
                        <w:sz w:val="20"/>
                      </w:rPr>
                      <w:t>399</w:t>
                    </w:r>
                  </w:p>
                </w:tc>
                <w:tc>
                  <w:tcPr>
                    <w:tcW w:w="383" w:type="pct"/>
                    <w:vMerge w:val="restart"/>
                  </w:tcPr>
                  <w:p>
                    <w:pPr>
                      <w:ind w:left="-57" w:right="-57"/>
                      <w:rPr>
                        <w:bCs/>
                        <w:sz w:val="20"/>
                      </w:rPr>
                    </w:pPr>
                    <w:r>
                      <w:rPr>
                        <w:sz w:val="20"/>
                      </w:rPr>
                      <w:t xml:space="preserve">Ekonomikos gaivinimo ir atsparumo didinimo priemonės (toliau </w:t>
                    </w:r>
                    <w:r>
                      <w:rPr>
                        <w:rFonts w:eastAsia="Calibri"/>
                        <w:sz w:val="20"/>
                      </w:rPr>
                      <w:t>–</w:t>
                    </w:r>
                    <w:r>
                      <w:rPr>
                        <w:sz w:val="20"/>
                      </w:rPr>
                      <w:t xml:space="preserve"> EGADP) lėšos </w:t>
                    </w:r>
                  </w:p>
                  <w:p>
                    <w:pPr>
                      <w:ind w:left="-57" w:right="-57"/>
                      <w:rPr>
                        <w:sz w:val="20"/>
                        <w:highlight w:val="cyan"/>
                      </w:rPr>
                    </w:pPr>
                  </w:p>
                  <w:p>
                    <w:pPr>
                      <w:ind w:left="-57" w:right="-57"/>
                      <w:rPr>
                        <w:sz w:val="18"/>
                        <w:szCs w:val="18"/>
                      </w:rPr>
                    </w:pPr>
                    <w:r>
                      <w:rPr>
                        <w:bCs/>
                        <w:sz w:val="20"/>
                      </w:rPr>
                      <w:t>Valstybės biudžeto lėšos, skirtos 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lėšos</w:t>
                    </w:r>
                    <w:r>
                      <w:rPr>
                        <w:bCs/>
                        <w:sz w:val="20"/>
                      </w:rPr>
                      <w:t xml:space="preserve"> fondų lėšų projektų netinkamam finansuoti iš ES fondų lėšų pirkimo ir (arba) importo PVM</w:t>
                    </w:r>
                  </w:p>
                </w:tc>
                <w:tc>
                  <w:tcPr>
                    <w:tcW w:w="638" w:type="pct"/>
                  </w:tcPr>
                  <w:p>
                    <w:pPr>
                      <w:rPr>
                        <w:sz w:val="18"/>
                        <w:szCs w:val="18"/>
                      </w:rPr>
                    </w:pPr>
                    <w:r>
                      <w:rPr>
                        <w:color w:val="000000"/>
                        <w:sz w:val="20"/>
                      </w:rPr>
                      <w:t xml:space="preserve">P – </w:t>
                    </w:r>
                    <w:r>
                      <w:rPr>
                        <w:sz w:val="20"/>
                        <w:lang w:eastAsia="nl-BE"/>
                      </w:rPr>
                      <w:t xml:space="preserve">Poreikių atnaujinti arba parengti naujas mokymo programas nustatymas, konsultuojantis su socialiniais partneriais </w:t>
                    </w:r>
                  </w:p>
                </w:tc>
                <w:tc>
                  <w:tcPr>
                    <w:tcW w:w="448" w:type="pct"/>
                  </w:tcPr>
                  <w:p>
                    <w:pPr>
                      <w:ind w:left="-57" w:right="-57"/>
                      <w:jc w:val="center"/>
                      <w:rPr>
                        <w:sz w:val="18"/>
                        <w:szCs w:val="18"/>
                      </w:rPr>
                    </w:pPr>
                    <w:r>
                      <w:rPr>
                        <w:sz w:val="18"/>
                        <w:szCs w:val="18"/>
                      </w:rPr>
                      <w:t>1</w:t>
                    </w:r>
                  </w:p>
                  <w:p>
                    <w:pPr>
                      <w:ind w:left="-57" w:right="-57"/>
                      <w:jc w:val="center"/>
                      <w:rPr>
                        <w:sz w:val="18"/>
                        <w:szCs w:val="18"/>
                      </w:rPr>
                    </w:pPr>
                    <w:r>
                      <w:rPr>
                        <w:sz w:val="18"/>
                        <w:szCs w:val="18"/>
                      </w:rPr>
                      <w:t>(2023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w:t>
                    </w: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Užregistruotos naujos ar atnaujintos profesinio mokymo programos, kurios yra prieinamos mokymo paslaugų teikėjams</w:t>
                    </w:r>
                  </w:p>
                </w:tc>
                <w:tc>
                  <w:tcPr>
                    <w:tcW w:w="448" w:type="pct"/>
                  </w:tcPr>
                  <w:p>
                    <w:pPr>
                      <w:ind w:left="-57" w:right="-57"/>
                      <w:jc w:val="center"/>
                      <w:rPr>
                        <w:color w:val="000000"/>
                        <w:sz w:val="20"/>
                      </w:rPr>
                    </w:pPr>
                    <w:r>
                      <w:rPr>
                        <w:color w:val="000000"/>
                        <w:sz w:val="20"/>
                      </w:rPr>
                      <w:t>95</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Profesijos mokytojai ir (arba) meistrai, dalyvaujantys pameistrių ir praktikas atliekančių mokinių mokymo procese</w:t>
                    </w:r>
                  </w:p>
                </w:tc>
                <w:tc>
                  <w:tcPr>
                    <w:tcW w:w="448" w:type="pct"/>
                  </w:tcPr>
                  <w:p>
                    <w:pPr>
                      <w:ind w:left="-57" w:right="-57"/>
                      <w:jc w:val="center"/>
                      <w:rPr>
                        <w:color w:val="000000"/>
                        <w:sz w:val="20"/>
                      </w:rPr>
                    </w:pPr>
                    <w:r>
                      <w:rPr>
                        <w:color w:val="000000"/>
                        <w:sz w:val="20"/>
                      </w:rPr>
                      <w:t>1 000</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Švietimo ar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val="restart"/>
                  </w:tcPr>
                  <w:p>
                    <w:pPr>
                      <w:ind w:left="-57" w:right="-57"/>
                      <w:rPr>
                        <w:color w:val="000000"/>
                        <w:sz w:val="20"/>
                      </w:rPr>
                    </w:pPr>
                    <w:r>
                      <w:rPr>
                        <w:sz w:val="20"/>
                      </w:rPr>
                      <w:t>2.2. Profesijos mokytojų ir (arba) meistrų kompetencijų tobulinimas</w:t>
                    </w:r>
                  </w:p>
                </w:tc>
                <w:tc>
                  <w:tcPr>
                    <w:tcW w:w="346" w:type="pct"/>
                    <w:vMerge w:val="restart"/>
                  </w:tcPr>
                  <w:p>
                    <w:pPr>
                      <w:ind w:left="-57" w:right="-57"/>
                      <w:jc w:val="center"/>
                      <w:rPr>
                        <w:sz w:val="18"/>
                        <w:szCs w:val="18"/>
                      </w:rPr>
                    </w:pPr>
                    <w:r>
                      <w:rPr>
                        <w:sz w:val="18"/>
                        <w:szCs w:val="18"/>
                      </w:rPr>
                      <w:t>M</w:t>
                    </w:r>
                  </w:p>
                </w:tc>
                <w:tc>
                  <w:tcPr>
                    <w:tcW w:w="386" w:type="pct"/>
                    <w:vMerge w:val="restart"/>
                  </w:tcPr>
                  <w:p>
                    <w:pPr>
                      <w:ind w:left="-57" w:right="-57"/>
                      <w:jc w:val="center"/>
                      <w:rPr>
                        <w:sz w:val="18"/>
                        <w:szCs w:val="18"/>
                      </w:rPr>
                    </w:pPr>
                    <w:r>
                      <w:rPr>
                        <w:sz w:val="18"/>
                        <w:szCs w:val="18"/>
                      </w:rPr>
                      <w:t>ESFA</w:t>
                    </w:r>
                  </w:p>
                </w:tc>
                <w:tc>
                  <w:tcPr>
                    <w:tcW w:w="259" w:type="pct"/>
                    <w:vMerge w:val="restart"/>
                  </w:tcPr>
                  <w:p>
                    <w:pPr>
                      <w:ind w:left="-57" w:right="-57"/>
                      <w:jc w:val="center"/>
                      <w:rPr>
                        <w:sz w:val="18"/>
                        <w:szCs w:val="18"/>
                      </w:rPr>
                    </w:pPr>
                    <w:r>
                      <w:rPr>
                        <w:sz w:val="18"/>
                        <w:szCs w:val="18"/>
                      </w:rPr>
                      <w:t>P</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20"/>
                      </w:rPr>
                    </w:pPr>
                    <w:r>
                      <w:rPr>
                        <w:sz w:val="20"/>
                      </w:rPr>
                      <w:t>3 751:</w:t>
                    </w:r>
                  </w:p>
                  <w:p>
                    <w:pPr>
                      <w:ind w:left="-57" w:right="-57"/>
                      <w:jc w:val="center"/>
                      <w:rPr>
                        <w:sz w:val="20"/>
                      </w:rPr>
                    </w:pPr>
                    <w:r>
                      <w:rPr>
                        <w:sz w:val="20"/>
                      </w:rPr>
                      <w:t>3 100</w:t>
                    </w:r>
                  </w:p>
                  <w:p>
                    <w:pPr>
                      <w:ind w:left="-57" w:right="-57"/>
                      <w:jc w:val="center"/>
                      <w:rPr>
                        <w:sz w:val="20"/>
                      </w:rPr>
                    </w:pPr>
                  </w:p>
                  <w:p>
                    <w:pPr>
                      <w:ind w:left="-57" w:right="-57"/>
                      <w:jc w:val="center"/>
                      <w:rPr>
                        <w:sz w:val="18"/>
                        <w:szCs w:val="18"/>
                      </w:rPr>
                    </w:pPr>
                    <w:r>
                      <w:rPr>
                        <w:sz w:val="20"/>
                      </w:rPr>
                      <w:t>651</w:t>
                    </w:r>
                  </w:p>
                </w:tc>
                <w:tc>
                  <w:tcPr>
                    <w:tcW w:w="383" w:type="pct"/>
                    <w:vMerge w:val="restart"/>
                  </w:tcPr>
                  <w:p>
                    <w:pPr>
                      <w:ind w:left="-57" w:right="-57"/>
                      <w:rPr>
                        <w:bCs/>
                        <w:sz w:val="20"/>
                      </w:rPr>
                    </w:pPr>
                    <w:r>
                      <w:rPr>
                        <w:sz w:val="20"/>
                      </w:rPr>
                      <w:t xml:space="preserve">EGADP lėšos </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448" w:type="pct"/>
                  </w:tcPr>
                  <w:p>
                    <w:pPr>
                      <w:ind w:left="-57" w:right="-57"/>
                      <w:jc w:val="center"/>
                      <w:rPr>
                        <w:sz w:val="18"/>
                        <w:szCs w:val="18"/>
                      </w:rPr>
                    </w:pPr>
                    <w:r>
                      <w:rPr>
                        <w:sz w:val="18"/>
                        <w:szCs w:val="18"/>
                      </w:rPr>
                      <w:t>1</w:t>
                    </w:r>
                  </w:p>
                  <w:p>
                    <w:pPr>
                      <w:ind w:left="-57" w:right="-57"/>
                      <w:jc w:val="center"/>
                      <w:rPr>
                        <w:sz w:val="18"/>
                        <w:szCs w:val="18"/>
                      </w:rPr>
                    </w:pPr>
                    <w:r>
                      <w:rPr>
                        <w:sz w:val="18"/>
                        <w:szCs w:val="18"/>
                      </w:rPr>
                      <w:t>(2023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w:t>
                    </w: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Užregistruotos naujos ar atnaujintos profesinio mokymo programos, kurios yra prieinamos mokymo paslaugų teikėjams</w:t>
                    </w:r>
                  </w:p>
                </w:tc>
                <w:tc>
                  <w:tcPr>
                    <w:tcW w:w="448" w:type="pct"/>
                  </w:tcPr>
                  <w:p>
                    <w:pPr>
                      <w:ind w:left="-57" w:right="-57"/>
                      <w:jc w:val="center"/>
                      <w:rPr>
                        <w:color w:val="000000"/>
                        <w:sz w:val="20"/>
                      </w:rPr>
                    </w:pPr>
                    <w:r>
                      <w:rPr>
                        <w:color w:val="000000"/>
                        <w:sz w:val="20"/>
                      </w:rPr>
                      <w:t>95</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Profesijos mokytojai ir (arba) meistrai, dalyvaujantys pameistrių ir praktikas atliekančių mokinių mokymo procese</w:t>
                    </w:r>
                  </w:p>
                </w:tc>
                <w:tc>
                  <w:tcPr>
                    <w:tcW w:w="448" w:type="pct"/>
                  </w:tcPr>
                  <w:p>
                    <w:pPr>
                      <w:ind w:right="-57"/>
                      <w:jc w:val="center"/>
                      <w:rPr>
                        <w:color w:val="000000"/>
                        <w:sz w:val="20"/>
                      </w:rPr>
                    </w:pPr>
                    <w:r>
                      <w:rPr>
                        <w:color w:val="000000"/>
                        <w:sz w:val="20"/>
                      </w:rPr>
                      <w:t>1 000</w:t>
                    </w:r>
                  </w:p>
                  <w:p>
                    <w:pPr>
                      <w:ind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tcPr>
                  <w:p>
                    <w:pPr>
                      <w:ind w:left="-57" w:right="-57"/>
                      <w:rPr>
                        <w:sz w:val="18"/>
                        <w:szCs w:val="18"/>
                      </w:rPr>
                    </w:pPr>
                    <w:r>
                      <w:rPr>
                        <w:color w:val="000000"/>
                        <w:sz w:val="20"/>
                      </w:rPr>
                      <w:t>3. Priemonių bendrajam ugdymui ir profesiniam mokymui suartinti parengimas:</w:t>
                    </w:r>
                  </w:p>
                </w:tc>
                <w:tc>
                  <w:tcPr>
                    <w:tcW w:w="346" w:type="pct"/>
                  </w:tcPr>
                  <w:p>
                    <w:pPr>
                      <w:ind w:left="-57" w:right="-57"/>
                      <w:jc w:val="center"/>
                      <w:rPr>
                        <w:sz w:val="18"/>
                        <w:szCs w:val="18"/>
                      </w:rPr>
                    </w:pPr>
                  </w:p>
                </w:tc>
                <w:tc>
                  <w:tcPr>
                    <w:tcW w:w="386" w:type="pct"/>
                  </w:tcPr>
                  <w:p>
                    <w:pPr>
                      <w:ind w:left="-57" w:right="-57"/>
                      <w:jc w:val="center"/>
                      <w:rPr>
                        <w:sz w:val="18"/>
                        <w:szCs w:val="18"/>
                      </w:rPr>
                    </w:pPr>
                  </w:p>
                </w:tc>
                <w:tc>
                  <w:tcPr>
                    <w:tcW w:w="259" w:type="pct"/>
                  </w:tcPr>
                  <w:p>
                    <w:pPr>
                      <w:ind w:left="-57" w:right="-57"/>
                      <w:jc w:val="center"/>
                      <w:rPr>
                        <w:sz w:val="18"/>
                        <w:szCs w:val="18"/>
                      </w:rPr>
                    </w:pPr>
                  </w:p>
                </w:tc>
                <w:tc>
                  <w:tcPr>
                    <w:tcW w:w="386" w:type="pct"/>
                  </w:tcPr>
                  <w:p>
                    <w:pPr>
                      <w:ind w:left="-57" w:right="-57"/>
                      <w:jc w:val="center"/>
                      <w:rPr>
                        <w:sz w:val="18"/>
                        <w:szCs w:val="18"/>
                      </w:rPr>
                    </w:pPr>
                  </w:p>
                </w:tc>
                <w:tc>
                  <w:tcPr>
                    <w:tcW w:w="449" w:type="pct"/>
                  </w:tcPr>
                  <w:p>
                    <w:pPr>
                      <w:ind w:left="-57" w:right="-57"/>
                      <w:jc w:val="center"/>
                      <w:rPr>
                        <w:sz w:val="18"/>
                        <w:szCs w:val="18"/>
                      </w:rPr>
                    </w:pPr>
                  </w:p>
                </w:tc>
                <w:tc>
                  <w:tcPr>
                    <w:tcW w:w="360" w:type="pct"/>
                  </w:tcPr>
                  <w:p>
                    <w:pPr>
                      <w:ind w:left="-57" w:right="-57"/>
                      <w:jc w:val="center"/>
                      <w:rPr>
                        <w:sz w:val="18"/>
                        <w:szCs w:val="18"/>
                      </w:rPr>
                    </w:pPr>
                  </w:p>
                </w:tc>
                <w:tc>
                  <w:tcPr>
                    <w:tcW w:w="383" w:type="pct"/>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233"/>
                </w:trPr>
                <w:tc>
                  <w:tcPr>
                    <w:tcW w:w="449"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Profesinio mokymo įstaigos</w:t>
                    </w:r>
                  </w:p>
                </w:tc>
                <w:tc>
                  <w:tcPr>
                    <w:tcW w:w="259" w:type="pct"/>
                    <w:vMerge w:val="restart"/>
                  </w:tcPr>
                  <w:p>
                    <w:pPr>
                      <w:ind w:left="-57" w:right="-57"/>
                      <w:jc w:val="center"/>
                      <w:rPr>
                        <w:sz w:val="18"/>
                        <w:szCs w:val="18"/>
                      </w:rPr>
                    </w:pPr>
                    <w:r>
                      <w:rPr>
                        <w:color w:val="000000"/>
                        <w:sz w:val="20"/>
                      </w:rPr>
                      <w:t>TA</w:t>
                    </w:r>
                  </w:p>
                </w:tc>
                <w:tc>
                  <w:tcPr>
                    <w:tcW w:w="386" w:type="pct"/>
                    <w:vMerge w:val="restart"/>
                  </w:tcPr>
                  <w:p>
                    <w:pPr>
                      <w:jc w:val="center"/>
                      <w:rPr>
                        <w:sz w:val="18"/>
                        <w:szCs w:val="18"/>
                      </w:rPr>
                    </w:pPr>
                    <w:r>
                      <w:rPr>
                        <w:color w:val="000000"/>
                        <w:sz w:val="20"/>
                      </w:rPr>
                      <w:t>Taip</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18"/>
                        <w:szCs w:val="18"/>
                      </w:rPr>
                    </w:pPr>
                    <w:r>
                      <w:rPr>
                        <w:color w:val="000000"/>
                        <w:sz w:val="20"/>
                      </w:rPr>
                      <w:t>1 960</w:t>
                    </w:r>
                  </w:p>
                </w:tc>
                <w:tc>
                  <w:tcPr>
                    <w:tcW w:w="383" w:type="pct"/>
                    <w:vMerge w:val="restart"/>
                  </w:tcPr>
                  <w:p>
                    <w:pPr>
                      <w:ind w:left="-57" w:right="-57"/>
                      <w:rPr>
                        <w:sz w:val="18"/>
                        <w:szCs w:val="18"/>
                      </w:rPr>
                    </w:pPr>
                    <w:r>
                      <w:rPr>
                        <w:sz w:val="20"/>
                      </w:rPr>
                      <w:t>EGADP lėšos</w:t>
                    </w:r>
                  </w:p>
                </w:tc>
                <w:tc>
                  <w:tcPr>
                    <w:tcW w:w="638"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448" w:type="pct"/>
                  </w:tcPr>
                  <w:p>
                    <w:pPr>
                      <w:ind w:left="-57" w:right="-57"/>
                      <w:jc w:val="center"/>
                      <w:rPr>
                        <w:color w:val="000000"/>
                        <w:sz w:val="20"/>
                      </w:rPr>
                    </w:pPr>
                    <w:r>
                      <w:rPr>
                        <w:color w:val="000000"/>
                        <w:sz w:val="20"/>
                      </w:rPr>
                      <w:t>4 900</w:t>
                    </w:r>
                  </w:p>
                  <w:p>
                    <w:pPr>
                      <w:ind w:left="-57" w:right="-57"/>
                      <w:jc w:val="center"/>
                      <w:rPr>
                        <w:sz w:val="18"/>
                        <w:szCs w:val="18"/>
                      </w:rPr>
                    </w:pPr>
                    <w:r>
                      <w:rPr>
                        <w:color w:val="000000"/>
                        <w:sz w:val="20"/>
                      </w:rPr>
                      <w:t>(2026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 SADM, EIM, ŽŪM</w:t>
                    </w: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448" w:type="pct"/>
                  </w:tcPr>
                  <w:p>
                    <w:pPr>
                      <w:ind w:left="-57" w:right="-57"/>
                      <w:jc w:val="center"/>
                      <w:rPr>
                        <w:color w:val="000000"/>
                        <w:sz w:val="20"/>
                      </w:rPr>
                    </w:pPr>
                    <w:r>
                      <w:rPr>
                        <w:color w:val="000000"/>
                        <w:sz w:val="20"/>
                      </w:rPr>
                      <w:t>4 900</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Paramą gaunančių 15–29 metų amžiaus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 xml:space="preserve">3.2. Eksperimentinių profesinio mokymo programų plėtojimas </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Profesinio mokymo įstaigos</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18"/>
                        <w:szCs w:val="18"/>
                      </w:rPr>
                    </w:pPr>
                    <w:r>
                      <w:rPr>
                        <w:color w:val="000000"/>
                        <w:sz w:val="20"/>
                      </w:rPr>
                      <w:t>4 040</w:t>
                    </w:r>
                  </w:p>
                </w:tc>
                <w:tc>
                  <w:tcPr>
                    <w:tcW w:w="383" w:type="pct"/>
                    <w:vMerge w:val="restart"/>
                  </w:tcPr>
                  <w:p>
                    <w:pPr>
                      <w:ind w:left="-57" w:right="-57"/>
                      <w:rPr>
                        <w:sz w:val="18"/>
                        <w:szCs w:val="18"/>
                      </w:rPr>
                    </w:pPr>
                    <w:r>
                      <w:rPr>
                        <w:sz w:val="20"/>
                      </w:rPr>
                      <w:t xml:space="preserve">EGADP lėšos </w:t>
                    </w:r>
                  </w:p>
                </w:tc>
                <w:tc>
                  <w:tcPr>
                    <w:tcW w:w="638" w:type="pct"/>
                  </w:tcPr>
                  <w:p>
                    <w:pPr>
                      <w:rPr>
                        <w:sz w:val="18"/>
                        <w:szCs w:val="18"/>
                      </w:rPr>
                    </w:pPr>
                    <w:r>
                      <w:rPr>
                        <w:color w:val="000000"/>
                        <w:sz w:val="20"/>
                      </w:rPr>
                      <w:t xml:space="preserve">P – </w:t>
                    </w:r>
                    <w:r>
                      <w:rPr>
                        <w:sz w:val="20"/>
                        <w:lang w:eastAsia="lt-LT"/>
                      </w:rPr>
                      <w:t>Paramą gavę pagrindinio ugdymo programų mokiniai, besimokantys pagal eksperimentines profesinio mokymo programas</w:t>
                    </w:r>
                  </w:p>
                </w:tc>
                <w:tc>
                  <w:tcPr>
                    <w:tcW w:w="448" w:type="pct"/>
                  </w:tcPr>
                  <w:p>
                    <w:pPr>
                      <w:ind w:right="-57"/>
                      <w:jc w:val="center"/>
                      <w:rPr>
                        <w:color w:val="000000"/>
                        <w:sz w:val="20"/>
                      </w:rPr>
                    </w:pPr>
                    <w:r>
                      <w:rPr>
                        <w:color w:val="000000"/>
                        <w:sz w:val="20"/>
                      </w:rPr>
                      <w:t>4 000</w:t>
                    </w:r>
                  </w:p>
                  <w:p>
                    <w:pPr>
                      <w:ind w:right="-57"/>
                      <w:jc w:val="center"/>
                      <w:rPr>
                        <w:sz w:val="18"/>
                        <w:szCs w:val="18"/>
                      </w:rPr>
                    </w:pPr>
                    <w:r>
                      <w:rPr>
                        <w:color w:val="000000"/>
                        <w:sz w:val="20"/>
                      </w:rPr>
                      <w:t>(2026 m.)</w:t>
                    </w:r>
                  </w:p>
                </w:tc>
                <w:tc>
                  <w:tcPr>
                    <w:tcW w:w="447" w:type="pct"/>
                    <w:vMerge w:val="restart"/>
                  </w:tcPr>
                  <w:p>
                    <w:pPr>
                      <w:ind w:right="-57"/>
                      <w:jc w:val="center"/>
                      <w:rPr>
                        <w:sz w:val="18"/>
                        <w:szCs w:val="18"/>
                      </w:rPr>
                    </w:pPr>
                    <w:r>
                      <w:rPr>
                        <w:color w:val="000000"/>
                        <w:sz w:val="20"/>
                      </w:rPr>
                      <w:t>CPVA</w:t>
                    </w:r>
                  </w:p>
                </w:tc>
                <w:tc>
                  <w:tcPr>
                    <w:tcW w:w="449" w:type="pct"/>
                    <w:vMerge w:val="restart"/>
                  </w:tcPr>
                  <w:p>
                    <w:pPr>
                      <w:ind w:right="-57"/>
                      <w:jc w:val="center"/>
                      <w:rPr>
                        <w:sz w:val="18"/>
                        <w:szCs w:val="18"/>
                      </w:rPr>
                    </w:pPr>
                    <w:r>
                      <w:rPr>
                        <w:color w:val="000000"/>
                        <w:sz w:val="20"/>
                      </w:rPr>
                      <w:t>ŠMSM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color w:val="000000"/>
                        <w:sz w:val="20"/>
                      </w:rPr>
                    </w:pPr>
                    <w:r>
                      <w:rPr>
                        <w:sz w:val="20"/>
                        <w:lang w:eastAsia="lt-LT"/>
                      </w:rPr>
                      <w:t>Paramą gavę pagrindinio ugdymo programų mokiniai, besimokantys pagal eksperimentines profesinio mokymo programas</w:t>
                    </w:r>
                  </w:p>
                </w:tc>
                <w:tc>
                  <w:tcPr>
                    <w:tcW w:w="448" w:type="pct"/>
                  </w:tcPr>
                  <w:p>
                    <w:pPr>
                      <w:ind w:left="-57" w:right="-57"/>
                      <w:jc w:val="center"/>
                      <w:rPr>
                        <w:sz w:val="20"/>
                      </w:rPr>
                    </w:pPr>
                    <w:r>
                      <w:rPr>
                        <w:sz w:val="20"/>
                      </w:rPr>
                      <w:t>1050</w:t>
                    </w:r>
                  </w:p>
                  <w:p>
                    <w:pPr>
                      <w:ind w:left="-57" w:right="-57"/>
                      <w:jc w:val="center"/>
                      <w:rPr>
                        <w:color w:val="000000"/>
                        <w:sz w:val="20"/>
                      </w:rPr>
                    </w:pPr>
                    <w:r>
                      <w:rPr>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R – Paramą gaunančių 15–29 metų amžiaus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46" w:type="pct"/>
                    <w:vMerge w:val="restart"/>
                  </w:tcPr>
                  <w:p>
                    <w:pPr>
                      <w:ind w:left="-57" w:right="-57"/>
                      <w:jc w:val="center"/>
                      <w:rPr>
                        <w:sz w:val="18"/>
                        <w:szCs w:val="18"/>
                      </w:rPr>
                    </w:pPr>
                    <w:r>
                      <w:rPr>
                        <w:color w:val="000000"/>
                        <w:sz w:val="20"/>
                      </w:rPr>
                      <w:t>M</w:t>
                    </w:r>
                  </w:p>
                </w:tc>
                <w:tc>
                  <w:tcPr>
                    <w:tcW w:w="386" w:type="pct"/>
                    <w:vMerge w:val="restart"/>
                  </w:tcPr>
                  <w:p>
                    <w:pPr>
                      <w:ind w:left="-57" w:right="-57"/>
                      <w:jc w:val="center"/>
                      <w:rPr>
                        <w:sz w:val="18"/>
                        <w:szCs w:val="18"/>
                      </w:rPr>
                    </w:pPr>
                    <w:r>
                      <w:rPr>
                        <w:color w:val="000000"/>
                        <w:sz w:val="20"/>
                      </w:rPr>
                      <w:t>ESFA ir profesinio mokymo įstaigos</w:t>
                    </w:r>
                  </w:p>
                </w:tc>
                <w:tc>
                  <w:tcPr>
                    <w:tcW w:w="259" w:type="pct"/>
                    <w:vMerge w:val="restart"/>
                  </w:tcPr>
                  <w:p>
                    <w:pPr>
                      <w:ind w:right="-57"/>
                      <w:jc w:val="center"/>
                      <w:rPr>
                        <w:sz w:val="18"/>
                        <w:szCs w:val="18"/>
                      </w:rPr>
                    </w:pPr>
                    <w:r>
                      <w:rPr>
                        <w:color w:val="000000"/>
                        <w:sz w:val="20"/>
                      </w:rPr>
                      <w:t>Pj</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color w:val="000000"/>
                        <w:sz w:val="20"/>
                      </w:rPr>
                      <w:t>D</w:t>
                    </w:r>
                  </w:p>
                </w:tc>
                <w:tc>
                  <w:tcPr>
                    <w:tcW w:w="360" w:type="pct"/>
                    <w:vMerge w:val="restart"/>
                  </w:tcPr>
                  <w:p>
                    <w:pPr>
                      <w:ind w:left="-57" w:right="-57"/>
                      <w:jc w:val="center"/>
                      <w:rPr>
                        <w:color w:val="000000"/>
                        <w:sz w:val="20"/>
                      </w:rPr>
                    </w:pPr>
                    <w:r>
                      <w:rPr>
                        <w:color w:val="000000"/>
                        <w:sz w:val="20"/>
                      </w:rPr>
                      <w:t>19 105:</w:t>
                    </w:r>
                  </w:p>
                  <w:p>
                    <w:pPr>
                      <w:ind w:left="-57" w:right="-57"/>
                      <w:jc w:val="center"/>
                      <w:rPr>
                        <w:color w:val="000000"/>
                        <w:sz w:val="20"/>
                      </w:rPr>
                    </w:pPr>
                    <w:r>
                      <w:rPr>
                        <w:color w:val="000000"/>
                        <w:sz w:val="20"/>
                      </w:rPr>
                      <w:t>19 000</w:t>
                    </w:r>
                  </w:p>
                  <w:p>
                    <w:pPr>
                      <w:ind w:left="-57" w:right="-57"/>
                      <w:jc w:val="center"/>
                      <w:rPr>
                        <w:color w:val="000000"/>
                        <w:sz w:val="20"/>
                      </w:rPr>
                    </w:pPr>
                  </w:p>
                  <w:p>
                    <w:pPr>
                      <w:ind w:left="-57" w:right="-57"/>
                      <w:jc w:val="center"/>
                      <w:rPr>
                        <w:sz w:val="18"/>
                        <w:szCs w:val="18"/>
                      </w:rPr>
                    </w:pPr>
                    <w:r>
                      <w:rPr>
                        <w:color w:val="000000"/>
                        <w:sz w:val="20"/>
                      </w:rPr>
                      <w:t>105</w:t>
                    </w:r>
                  </w:p>
                </w:tc>
                <w:tc>
                  <w:tcPr>
                    <w:tcW w:w="383" w:type="pct"/>
                    <w:vMerge w:val="restart"/>
                  </w:tcPr>
                  <w:p>
                    <w:pPr>
                      <w:ind w:left="-57" w:right="-57"/>
                      <w:rPr>
                        <w:sz w:val="20"/>
                      </w:rPr>
                    </w:pPr>
                    <w:r>
                      <w:rPr>
                        <w:sz w:val="20"/>
                      </w:rPr>
                      <w:t xml:space="preserve">EGADP lėšos </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R – Profesinio mokymo įstaigų, organizuojančių profesinio mokymo programas pameistrystės forma, dalis (proc.)</w:t>
                    </w:r>
                  </w:p>
                </w:tc>
                <w:tc>
                  <w:tcPr>
                    <w:tcW w:w="448" w:type="pct"/>
                  </w:tcPr>
                  <w:p>
                    <w:pPr>
                      <w:ind w:left="-57" w:right="-57"/>
                      <w:jc w:val="center"/>
                      <w:rPr>
                        <w:color w:val="000000"/>
                        <w:sz w:val="20"/>
                      </w:rPr>
                    </w:pPr>
                    <w:r>
                      <w:rPr>
                        <w:color w:val="000000"/>
                        <w:sz w:val="20"/>
                      </w:rPr>
                      <w:t>100</w:t>
                    </w:r>
                  </w:p>
                  <w:p>
                    <w:pPr>
                      <w:ind w:left="-57" w:right="-57"/>
                      <w:jc w:val="center"/>
                      <w:rPr>
                        <w:sz w:val="18"/>
                        <w:szCs w:val="18"/>
                      </w:rPr>
                    </w:pPr>
                    <w:r>
                      <w:rPr>
                        <w:color w:val="000000"/>
                        <w:sz w:val="20"/>
                      </w:rPr>
                      <w:t>(2026 m.)</w:t>
                    </w: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P – </w:t>
                    </w:r>
                    <w:r>
                      <w:rPr>
                        <w:sz w:val="20"/>
                        <w:lang w:eastAsia="lt-LT"/>
                      </w:rPr>
                      <w:t xml:space="preserve">Įgyvendintos profesinio mokymo programos pameistrystės forma </w:t>
                    </w:r>
                  </w:p>
                </w:tc>
                <w:tc>
                  <w:tcPr>
                    <w:tcW w:w="448" w:type="pct"/>
                  </w:tcPr>
                  <w:p>
                    <w:pPr>
                      <w:ind w:left="-57" w:right="-57"/>
                      <w:jc w:val="center"/>
                      <w:rPr>
                        <w:color w:val="000000"/>
                        <w:sz w:val="20"/>
                      </w:rPr>
                    </w:pPr>
                    <w:r>
                      <w:rPr>
                        <w:color w:val="000000"/>
                        <w:sz w:val="20"/>
                      </w:rPr>
                      <w:t>3 866</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Paramą gaunančių 15–29 metų amžiaus jaunuolių skaičius</w:t>
                    </w:r>
                  </w:p>
                </w:tc>
                <w:tc>
                  <w:tcPr>
                    <w:tcW w:w="448" w:type="pct"/>
                  </w:tcPr>
                  <w:p>
                    <w:pPr>
                      <w:ind w:left="-57" w:right="-57"/>
                      <w:jc w:val="center"/>
                      <w:rPr>
                        <w:color w:val="000000"/>
                        <w:sz w:val="20"/>
                      </w:rPr>
                    </w:pPr>
                    <w:r>
                      <w:rPr>
                        <w:color w:val="000000"/>
                        <w:sz w:val="20"/>
                      </w:rPr>
                      <w:t>n / a</w:t>
                    </w:r>
                  </w:p>
                  <w:p>
                    <w:pPr>
                      <w:ind w:right="-57"/>
                      <w:jc w:val="center"/>
                      <w:rPr>
                        <w:b/>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Pj</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color w:val="000000"/>
                        <w:sz w:val="20"/>
                      </w:rPr>
                      <w:t>D</w:t>
                    </w:r>
                  </w:p>
                </w:tc>
                <w:tc>
                  <w:tcPr>
                    <w:tcW w:w="360" w:type="pct"/>
                    <w:vMerge w:val="restart"/>
                  </w:tcPr>
                  <w:p>
                    <w:pPr>
                      <w:ind w:left="-57" w:right="-57"/>
                      <w:jc w:val="center"/>
                      <w:rPr>
                        <w:color w:val="000000"/>
                        <w:sz w:val="20"/>
                      </w:rPr>
                    </w:pPr>
                    <w:r>
                      <w:rPr>
                        <w:color w:val="000000"/>
                        <w:sz w:val="20"/>
                      </w:rPr>
                      <w:t>7 260:</w:t>
                    </w:r>
                  </w:p>
                  <w:p>
                    <w:pPr>
                      <w:ind w:left="-57" w:right="-57"/>
                      <w:jc w:val="center"/>
                      <w:rPr>
                        <w:sz w:val="18"/>
                        <w:szCs w:val="18"/>
                      </w:rPr>
                    </w:pPr>
                    <w:r>
                      <w:rPr>
                        <w:color w:val="000000"/>
                        <w:sz w:val="20"/>
                      </w:rPr>
                      <w:t>6 000</w:t>
                    </w:r>
                  </w:p>
                  <w:p>
                    <w:pPr>
                      <w:ind w:left="-57" w:right="-57"/>
                      <w:jc w:val="center"/>
                      <w:rPr>
                        <w:color w:val="000000"/>
                        <w:sz w:val="20"/>
                      </w:rPr>
                    </w:pPr>
                  </w:p>
                  <w:p>
                    <w:pPr>
                      <w:ind w:left="-57" w:right="-57"/>
                      <w:jc w:val="center"/>
                      <w:rPr>
                        <w:sz w:val="18"/>
                        <w:szCs w:val="18"/>
                      </w:rPr>
                    </w:pPr>
                    <w:r>
                      <w:rPr>
                        <w:color w:val="000000"/>
                        <w:sz w:val="20"/>
                      </w:rPr>
                      <w:t>1 260</w:t>
                    </w:r>
                  </w:p>
                </w:tc>
                <w:tc>
                  <w:tcPr>
                    <w:tcW w:w="383" w:type="pct"/>
                    <w:vMerge w:val="restart"/>
                  </w:tcPr>
                  <w:p>
                    <w:pPr>
                      <w:ind w:left="-57" w:right="-57"/>
                      <w:rPr>
                        <w:sz w:val="20"/>
                      </w:rPr>
                    </w:pPr>
                    <w:r>
                      <w:rPr>
                        <w:sz w:val="20"/>
                      </w:rPr>
                      <w:t>EGADP lėšos ()</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48" w:type="pct"/>
                  </w:tcPr>
                  <w:p>
                    <w:pPr>
                      <w:ind w:left="-57" w:right="-57"/>
                      <w:jc w:val="center"/>
                      <w:rPr>
                        <w:color w:val="000000"/>
                        <w:sz w:val="20"/>
                      </w:rPr>
                    </w:pPr>
                    <w:r>
                      <w:rPr>
                        <w:color w:val="000000"/>
                        <w:sz w:val="20"/>
                      </w:rPr>
                      <w:t>12 394</w:t>
                    </w:r>
                  </w:p>
                  <w:p>
                    <w:pPr>
                      <w:ind w:left="-57" w:right="-57"/>
                      <w:jc w:val="center"/>
                      <w:rPr>
                        <w:sz w:val="18"/>
                        <w:szCs w:val="18"/>
                      </w:rPr>
                    </w:pPr>
                    <w:r>
                      <w:rPr>
                        <w:color w:val="000000"/>
                        <w:sz w:val="20"/>
                      </w:rPr>
                      <w:t>(2026 m.)</w:t>
                    </w: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rPr>
                      <w:t xml:space="preserve">Švietimo ar mokymo veiklos dalyvių skaičius </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R – Paramą gaunančių 15–29 metų amžiaus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46" w:type="pct"/>
                    <w:vAlign w:val="center"/>
                  </w:tcPr>
                  <w:p>
                    <w:pPr>
                      <w:ind w:left="-57" w:right="-57"/>
                      <w:rPr>
                        <w:sz w:val="18"/>
                        <w:szCs w:val="18"/>
                      </w:rPr>
                    </w:pPr>
                  </w:p>
                </w:tc>
                <w:tc>
                  <w:tcPr>
                    <w:tcW w:w="386" w:type="pct"/>
                    <w:vAlign w:val="center"/>
                  </w:tcPr>
                  <w:p>
                    <w:pPr>
                      <w:ind w:left="-57" w:right="-57"/>
                      <w:rPr>
                        <w:sz w:val="18"/>
                        <w:szCs w:val="18"/>
                      </w:rPr>
                    </w:pPr>
                  </w:p>
                </w:tc>
                <w:tc>
                  <w:tcPr>
                    <w:tcW w:w="259" w:type="pct"/>
                    <w:vAlign w:val="center"/>
                  </w:tcPr>
                  <w:p>
                    <w:pPr>
                      <w:ind w:left="-57" w:right="-57"/>
                      <w:rPr>
                        <w:sz w:val="18"/>
                        <w:szCs w:val="18"/>
                      </w:rPr>
                    </w:pPr>
                  </w:p>
                </w:tc>
                <w:tc>
                  <w:tcPr>
                    <w:tcW w:w="386" w:type="pct"/>
                  </w:tcPr>
                  <w:p>
                    <w:pPr>
                      <w:ind w:left="-57" w:right="-57"/>
                      <w:rPr>
                        <w:sz w:val="18"/>
                        <w:szCs w:val="18"/>
                      </w:rPr>
                    </w:pPr>
                  </w:p>
                </w:tc>
                <w:tc>
                  <w:tcPr>
                    <w:tcW w:w="449" w:type="pct"/>
                  </w:tcPr>
                  <w:p>
                    <w:pPr>
                      <w:ind w:left="-57" w:right="-57"/>
                      <w:rPr>
                        <w:sz w:val="18"/>
                        <w:szCs w:val="18"/>
                      </w:rPr>
                    </w:pPr>
                  </w:p>
                </w:tc>
                <w:tc>
                  <w:tcPr>
                    <w:tcW w:w="360" w:type="pct"/>
                    <w:vAlign w:val="center"/>
                  </w:tcPr>
                  <w:p>
                    <w:pPr>
                      <w:ind w:left="-57" w:right="-57"/>
                      <w:jc w:val="center"/>
                      <w:rPr>
                        <w:sz w:val="18"/>
                        <w:szCs w:val="18"/>
                      </w:rPr>
                    </w:pPr>
                  </w:p>
                </w:tc>
                <w:tc>
                  <w:tcPr>
                    <w:tcW w:w="383" w:type="pct"/>
                    <w:vAlign w:val="center"/>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vAlign w:val="center"/>
                  </w:tcPr>
                  <w:p>
                    <w:pPr>
                      <w:ind w:left="-57" w:right="-57"/>
                      <w:jc w:val="center"/>
                      <w:rPr>
                        <w:sz w:val="18"/>
                        <w:szCs w:val="18"/>
                      </w:rPr>
                    </w:pPr>
                  </w:p>
                </w:tc>
                <w:tc>
                  <w:tcPr>
                    <w:tcW w:w="449" w:type="pct"/>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vMerge w:val="restart"/>
                  </w:tcPr>
                  <w:p>
                    <w:pPr>
                      <w:ind w:left="-57" w:right="-57"/>
                      <w:jc w:val="center"/>
                      <w:rPr>
                        <w:color w:val="000000"/>
                        <w:sz w:val="20"/>
                      </w:rPr>
                    </w:pPr>
                    <w:r>
                      <w:rPr>
                        <w:color w:val="000000"/>
                        <w:sz w:val="20"/>
                      </w:rPr>
                      <w:t>953,236:</w:t>
                    </w:r>
                  </w:p>
                  <w:p>
                    <w:pPr>
                      <w:ind w:left="-57" w:right="-57"/>
                      <w:jc w:val="center"/>
                      <w:rPr>
                        <w:sz w:val="20"/>
                      </w:rPr>
                    </w:pPr>
                    <w:r>
                      <w:rPr>
                        <w:color w:val="000000"/>
                        <w:sz w:val="20"/>
                      </w:rPr>
                      <w:t xml:space="preserve">476,618  </w:t>
                    </w:r>
                    <w:r>
                      <w:rPr>
                        <w:sz w:val="20"/>
                      </w:rPr>
                      <w:t>– ES</w:t>
                    </w:r>
                    <w:r>
                      <w:rPr>
                        <w:sz w:val="18"/>
                        <w:szCs w:val="18"/>
                      </w:rPr>
                      <w:t xml:space="preserve"> </w:t>
                    </w:r>
                    <w:r>
                      <w:rPr>
                        <w:sz w:val="20"/>
                      </w:rPr>
                      <w:t>fondų lėšos,</w:t>
                    </w:r>
                  </w:p>
                  <w:p>
                    <w:pPr>
                      <w:ind w:left="-57" w:right="-57"/>
                      <w:jc w:val="center"/>
                      <w:rPr>
                        <w:sz w:val="18"/>
                        <w:szCs w:val="18"/>
                      </w:rPr>
                    </w:pPr>
                    <w:r>
                      <w:rPr>
                        <w:color w:val="000000"/>
                        <w:sz w:val="20"/>
                      </w:rPr>
                      <w:t xml:space="preserve">476,618  </w:t>
                    </w:r>
                    <w:r>
                      <w:rPr>
                        <w:sz w:val="18"/>
                        <w:szCs w:val="18"/>
                      </w:rPr>
                      <w:t xml:space="preserve">– </w:t>
                    </w:r>
                    <w:r>
                      <w:rPr>
                        <w:sz w:val="20"/>
                      </w:rPr>
                      <w:t>bendrojo finansavimo (toliau – BF)</w:t>
                    </w:r>
                    <w:r>
                      <w:rPr>
                        <w:sz w:val="18"/>
                        <w:szCs w:val="18"/>
                      </w:rPr>
                      <w:t xml:space="preserve"> </w:t>
                    </w:r>
                    <w:r>
                      <w:rPr>
                        <w:sz w:val="20"/>
                      </w:rPr>
                      <w:t>lėšos</w:t>
                    </w:r>
                  </w:p>
                </w:tc>
                <w:tc>
                  <w:tcPr>
                    <w:tcW w:w="383" w:type="pct"/>
                    <w:vMerge w:val="restart"/>
                  </w:tcPr>
                  <w:p>
                    <w:pPr>
                      <w:ind w:left="-57" w:right="-57"/>
                      <w:rPr>
                        <w:sz w:val="18"/>
                        <w:szCs w:val="18"/>
                      </w:rPr>
                    </w:pPr>
                    <w:r>
                      <w:rPr>
                        <w:rFonts w:eastAsia="Calibri"/>
                        <w:sz w:val="20"/>
                      </w:rPr>
                      <w:t>2021–2027 m. ES fondų ir</w:t>
                    </w:r>
                    <w:r>
                      <w:rPr>
                        <w:color w:val="000000"/>
                        <w:sz w:val="20"/>
                      </w:rPr>
                      <w:t xml:space="preserve"> </w:t>
                    </w:r>
                    <w:r>
                      <w:rPr>
                        <w:sz w:val="20"/>
                      </w:rPr>
                      <w:t>BF</w:t>
                    </w:r>
                    <w:r>
                      <w:rPr>
                        <w:bCs/>
                        <w:sz w:val="20"/>
                      </w:rPr>
                      <w:t xml:space="preserve"> lėšos</w:t>
                    </w:r>
                  </w:p>
                </w:tc>
                <w:tc>
                  <w:tcPr>
                    <w:tcW w:w="638"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448" w:type="pct"/>
                  </w:tcPr>
                  <w:p>
                    <w:pPr>
                      <w:ind w:left="-57" w:right="-57"/>
                      <w:jc w:val="center"/>
                      <w:rPr>
                        <w:color w:val="000000"/>
                        <w:sz w:val="20"/>
                      </w:rPr>
                    </w:pPr>
                    <w:r>
                      <w:rPr>
                        <w:color w:val="000000"/>
                        <w:sz w:val="20"/>
                      </w:rPr>
                      <w:t>4</w:t>
                    </w:r>
                  </w:p>
                  <w:p>
                    <w:pPr>
                      <w:ind w:left="-57" w:right="-57"/>
                      <w:jc w:val="center"/>
                      <w:rPr>
                        <w:sz w:val="18"/>
                        <w:szCs w:val="18"/>
                      </w:rPr>
                    </w:pPr>
                    <w:r>
                      <w:rPr>
                        <w:color w:val="000000"/>
                        <w:sz w:val="20"/>
                      </w:rPr>
                      <w:t>(2029 m.)</w:t>
                    </w: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448" w:type="pct"/>
                  </w:tcPr>
                  <w:p>
                    <w:pPr>
                      <w:ind w:left="-57" w:right="-57"/>
                      <w:jc w:val="center"/>
                      <w:rPr>
                        <w:color w:val="000000"/>
                        <w:sz w:val="20"/>
                      </w:rPr>
                    </w:pPr>
                    <w:r>
                      <w:rPr>
                        <w:color w:val="000000"/>
                        <w:sz w:val="20"/>
                      </w:rPr>
                      <w:t>130</w:t>
                    </w:r>
                  </w:p>
                  <w:p>
                    <w:pPr>
                      <w:ind w:left="-57" w:right="-57"/>
                      <w:jc w:val="center"/>
                      <w:rPr>
                        <w:sz w:val="18"/>
                        <w:szCs w:val="18"/>
                      </w:rPr>
                    </w:pPr>
                    <w:r>
                      <w:rPr>
                        <w:color w:val="000000"/>
                        <w:sz w:val="20"/>
                      </w:rPr>
                      <w:t>(2029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vMerge w:val="restart"/>
                  </w:tcPr>
                  <w:p>
                    <w:pPr>
                      <w:ind w:left="-57" w:right="-57"/>
                      <w:jc w:val="center"/>
                      <w:rPr>
                        <w:color w:val="000000"/>
                        <w:sz w:val="20"/>
                      </w:rPr>
                    </w:pPr>
                    <w:r>
                      <w:rPr>
                        <w:color w:val="000000"/>
                        <w:sz w:val="20"/>
                      </w:rPr>
                      <w:t>4 729,147:</w:t>
                    </w:r>
                  </w:p>
                  <w:p>
                    <w:pPr>
                      <w:ind w:left="-57" w:right="-57"/>
                      <w:jc w:val="center"/>
                      <w:rPr>
                        <w:sz w:val="20"/>
                      </w:rPr>
                    </w:pPr>
                    <w:r>
                      <w:rPr>
                        <w:color w:val="000000"/>
                        <w:sz w:val="20"/>
                      </w:rPr>
                      <w:t xml:space="preserve">4 019,775 </w:t>
                    </w:r>
                    <w:r>
                      <w:rPr>
                        <w:sz w:val="20"/>
                      </w:rPr>
                      <w:t>– ES</w:t>
                    </w:r>
                    <w:r>
                      <w:rPr>
                        <w:sz w:val="18"/>
                        <w:szCs w:val="18"/>
                      </w:rPr>
                      <w:t xml:space="preserve"> </w:t>
                    </w:r>
                    <w:r>
                      <w:rPr>
                        <w:sz w:val="20"/>
                      </w:rPr>
                      <w:t>fondų lėšos,</w:t>
                    </w:r>
                  </w:p>
                  <w:p>
                    <w:pPr>
                      <w:ind w:left="-57" w:right="-57"/>
                      <w:jc w:val="center"/>
                      <w:rPr>
                        <w:sz w:val="18"/>
                        <w:szCs w:val="18"/>
                      </w:rPr>
                    </w:pPr>
                    <w:r>
                      <w:rPr>
                        <w:color w:val="000000"/>
                        <w:sz w:val="20"/>
                      </w:rPr>
                      <w:t xml:space="preserve">709,372 </w:t>
                    </w:r>
                    <w:r>
                      <w:rPr>
                        <w:sz w:val="20"/>
                      </w:rPr>
                      <w:t>– BF lėšos</w:t>
                    </w:r>
                  </w:p>
                </w:tc>
                <w:tc>
                  <w:tcPr>
                    <w:tcW w:w="383" w:type="pct"/>
                    <w:vMerge w:val="restart"/>
                  </w:tcPr>
                  <w:p>
                    <w:pPr>
                      <w:rPr>
                        <w:sz w:val="18"/>
                        <w:szCs w:val="18"/>
                      </w:rPr>
                    </w:pPr>
                    <w:r>
                      <w:rPr>
                        <w:rFonts w:eastAsia="Calibri"/>
                        <w:sz w:val="20"/>
                      </w:rPr>
                      <w:t xml:space="preserve">2021–2027 m. ES fondų ir </w:t>
                    </w:r>
                    <w:r>
                      <w:rPr>
                        <w:sz w:val="20"/>
                      </w:rPr>
                      <w:t>BF</w:t>
                    </w:r>
                    <w:r>
                      <w:rPr>
                        <w:bCs/>
                        <w:sz w:val="20"/>
                      </w:rPr>
                      <w:t xml:space="preserve"> lėšos</w:t>
                    </w:r>
                  </w:p>
                </w:tc>
                <w:tc>
                  <w:tcPr>
                    <w:tcW w:w="638"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pPr>
                      <w:ind w:left="-57" w:right="-57"/>
                      <w:jc w:val="center"/>
                      <w:rPr>
                        <w:color w:val="000000"/>
                        <w:sz w:val="20"/>
                      </w:rPr>
                    </w:pPr>
                    <w:r>
                      <w:rPr>
                        <w:color w:val="000000"/>
                        <w:sz w:val="20"/>
                      </w:rPr>
                      <w:t>4</w:t>
                    </w:r>
                  </w:p>
                  <w:p>
                    <w:pPr>
                      <w:ind w:left="-57" w:right="-57"/>
                      <w:jc w:val="center"/>
                      <w:rPr>
                        <w:sz w:val="18"/>
                        <w:szCs w:val="18"/>
                      </w:rPr>
                    </w:pPr>
                    <w:r>
                      <w:rPr>
                        <w:color w:val="000000"/>
                        <w:sz w:val="20"/>
                      </w:rPr>
                      <w:t>(2029 m.)</w:t>
                    </w:r>
                  </w:p>
                </w:tc>
                <w:tc>
                  <w:tcPr>
                    <w:tcW w:w="447" w:type="pct"/>
                    <w:vMerge w:val="restart"/>
                  </w:tcPr>
                  <w:p>
                    <w:pPr>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448" w:type="pct"/>
                  </w:tcPr>
                  <w:p>
                    <w:pPr>
                      <w:ind w:left="-57" w:right="-57"/>
                      <w:jc w:val="center"/>
                      <w:rPr>
                        <w:color w:val="000000"/>
                        <w:sz w:val="20"/>
                      </w:rPr>
                    </w:pPr>
                    <w:r>
                      <w:rPr>
                        <w:color w:val="000000"/>
                        <w:sz w:val="20"/>
                      </w:rPr>
                      <w:t>660</w:t>
                    </w:r>
                  </w:p>
                  <w:p>
                    <w:pPr>
                      <w:ind w:left="-57" w:right="-57"/>
                      <w:jc w:val="center"/>
                      <w:rPr>
                        <w:sz w:val="18"/>
                        <w:szCs w:val="18"/>
                      </w:rPr>
                    </w:pPr>
                    <w:r>
                      <w:rPr>
                        <w:color w:val="000000"/>
                        <w:sz w:val="20"/>
                      </w:rPr>
                      <w:t>(2029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1150"/>
                </w:trPr>
                <w:tc>
                  <w:tcPr>
                    <w:tcW w:w="449" w:type="pc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46" w:type="pct"/>
                  </w:tcPr>
                  <w:p>
                    <w:pPr>
                      <w:ind w:left="-57" w:right="-57"/>
                      <w:rPr>
                        <w:sz w:val="18"/>
                        <w:szCs w:val="18"/>
                      </w:rPr>
                    </w:pPr>
                  </w:p>
                </w:tc>
                <w:tc>
                  <w:tcPr>
                    <w:tcW w:w="386" w:type="pct"/>
                  </w:tcPr>
                  <w:p>
                    <w:pPr>
                      <w:ind w:left="-57" w:right="-57"/>
                      <w:rPr>
                        <w:sz w:val="18"/>
                        <w:szCs w:val="18"/>
                      </w:rPr>
                    </w:pPr>
                  </w:p>
                </w:tc>
                <w:tc>
                  <w:tcPr>
                    <w:tcW w:w="259" w:type="pct"/>
                  </w:tcPr>
                  <w:p>
                    <w:pPr>
                      <w:ind w:left="-57" w:right="-57"/>
                      <w:rPr>
                        <w:sz w:val="18"/>
                        <w:szCs w:val="18"/>
                      </w:rPr>
                    </w:pPr>
                  </w:p>
                </w:tc>
                <w:tc>
                  <w:tcPr>
                    <w:tcW w:w="386" w:type="pct"/>
                  </w:tcPr>
                  <w:p>
                    <w:pPr>
                      <w:rPr>
                        <w:sz w:val="18"/>
                        <w:szCs w:val="18"/>
                      </w:rPr>
                    </w:pPr>
                  </w:p>
                </w:tc>
                <w:tc>
                  <w:tcPr>
                    <w:tcW w:w="449" w:type="pct"/>
                  </w:tcPr>
                  <w:p>
                    <w:pPr>
                      <w:ind w:left="-57" w:right="-57"/>
                      <w:rPr>
                        <w:sz w:val="18"/>
                        <w:szCs w:val="18"/>
                      </w:rPr>
                    </w:pPr>
                  </w:p>
                </w:tc>
                <w:tc>
                  <w:tcPr>
                    <w:tcW w:w="360" w:type="pct"/>
                  </w:tcPr>
                  <w:p>
                    <w:pPr>
                      <w:ind w:left="-57" w:right="-57"/>
                      <w:jc w:val="center"/>
                      <w:rPr>
                        <w:sz w:val="18"/>
                        <w:szCs w:val="18"/>
                      </w:rPr>
                    </w:pPr>
                  </w:p>
                </w:tc>
                <w:tc>
                  <w:tcPr>
                    <w:tcW w:w="383" w:type="pct"/>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233"/>
                </w:trPr>
                <w:tc>
                  <w:tcPr>
                    <w:tcW w:w="449" w:type="pct"/>
                  </w:tcPr>
                  <w:p>
                    <w:pPr>
                      <w:ind w:left="-57" w:right="-57"/>
                      <w:rPr>
                        <w:color w:val="000000"/>
                        <w:sz w:val="20"/>
                      </w:rPr>
                    </w:pPr>
                    <w:r>
                      <w:rPr>
                        <w:color w:val="000000"/>
                        <w:sz w:val="20"/>
                      </w:rPr>
                      <w:t>7.1 Investicijų į profesinio mokymo infrastruktūrą poreikio analizė</w:t>
                    </w:r>
                  </w:p>
                </w:tc>
                <w:tc>
                  <w:tcPr>
                    <w:tcW w:w="346" w:type="pct"/>
                  </w:tcPr>
                  <w:p>
                    <w:pPr>
                      <w:ind w:left="-57" w:right="-57"/>
                      <w:jc w:val="center"/>
                      <w:rPr>
                        <w:color w:val="000000"/>
                        <w:sz w:val="20"/>
                      </w:rPr>
                    </w:pPr>
                    <w:r>
                      <w:rPr>
                        <w:color w:val="000000"/>
                        <w:sz w:val="20"/>
                      </w:rPr>
                      <w:t>A</w:t>
                    </w:r>
                  </w:p>
                </w:tc>
                <w:tc>
                  <w:tcPr>
                    <w:tcW w:w="386" w:type="pct"/>
                  </w:tcPr>
                  <w:p>
                    <w:pPr>
                      <w:ind w:left="-57" w:right="-57"/>
                      <w:jc w:val="center"/>
                      <w:rPr>
                        <w:color w:val="000000"/>
                        <w:sz w:val="20"/>
                      </w:rPr>
                    </w:pPr>
                    <w:r>
                      <w:rPr>
                        <w:color w:val="000000"/>
                        <w:sz w:val="20"/>
                      </w:rPr>
                      <w:t>ESFA</w:t>
                    </w:r>
                  </w:p>
                </w:tc>
                <w:tc>
                  <w:tcPr>
                    <w:tcW w:w="259" w:type="pct"/>
                  </w:tcPr>
                  <w:p>
                    <w:pPr>
                      <w:ind w:left="-57" w:right="-57"/>
                      <w:jc w:val="center"/>
                      <w:rPr>
                        <w:color w:val="000000"/>
                        <w:sz w:val="20"/>
                      </w:rPr>
                    </w:pPr>
                    <w:r>
                      <w:rPr>
                        <w:color w:val="000000"/>
                        <w:sz w:val="20"/>
                      </w:rPr>
                      <w:t>P</w:t>
                    </w:r>
                  </w:p>
                </w:tc>
                <w:tc>
                  <w:tcPr>
                    <w:tcW w:w="386" w:type="pct"/>
                  </w:tcPr>
                  <w:p>
                    <w:pPr>
                      <w:ind w:left="-57" w:right="-57"/>
                      <w:jc w:val="center"/>
                      <w:rPr>
                        <w:sz w:val="18"/>
                        <w:szCs w:val="18"/>
                      </w:rPr>
                    </w:pPr>
                    <w:r>
                      <w:rPr>
                        <w:sz w:val="18"/>
                        <w:szCs w:val="18"/>
                      </w:rPr>
                      <w:t>Taip</w:t>
                    </w:r>
                  </w:p>
                </w:tc>
                <w:tc>
                  <w:tcPr>
                    <w:tcW w:w="449" w:type="pct"/>
                  </w:tcPr>
                  <w:p>
                    <w:pPr>
                      <w:ind w:left="-57" w:right="-57"/>
                      <w:jc w:val="center"/>
                      <w:rPr>
                        <w:sz w:val="18"/>
                        <w:szCs w:val="18"/>
                      </w:rPr>
                    </w:pPr>
                    <w:r>
                      <w:rPr>
                        <w:color w:val="000000"/>
                        <w:sz w:val="20"/>
                      </w:rPr>
                      <w:t>D</w:t>
                    </w:r>
                  </w:p>
                </w:tc>
                <w:tc>
                  <w:tcPr>
                    <w:tcW w:w="360" w:type="pct"/>
                  </w:tcPr>
                  <w:p>
                    <w:pPr>
                      <w:jc w:val="center"/>
                      <w:rPr>
                        <w:sz w:val="20"/>
                      </w:rPr>
                    </w:pPr>
                    <w:r>
                      <w:rPr>
                        <w:sz w:val="20"/>
                      </w:rPr>
                      <w:t>800:</w:t>
                    </w:r>
                  </w:p>
                  <w:p>
                    <w:pPr>
                      <w:jc w:val="center"/>
                      <w:rPr>
                        <w:color w:val="000000"/>
                        <w:sz w:val="20"/>
                      </w:rPr>
                    </w:pPr>
                    <w:r>
                      <w:rPr>
                        <w:sz w:val="20"/>
                      </w:rPr>
                      <w:t>680</w:t>
                    </w:r>
                    <w:r>
                      <w:rPr>
                        <w:color w:val="000000"/>
                        <w:sz w:val="20"/>
                      </w:rPr>
                      <w:t xml:space="preserve"> </w:t>
                    </w:r>
                    <w:r>
                      <w:rPr>
                        <w:sz w:val="20"/>
                      </w:rPr>
                      <w:t>– ES</w:t>
                    </w:r>
                    <w:r>
                      <w:rPr>
                        <w:sz w:val="18"/>
                        <w:szCs w:val="18"/>
                      </w:rPr>
                      <w:t xml:space="preserve"> </w:t>
                    </w:r>
                    <w:r>
                      <w:rPr>
                        <w:sz w:val="20"/>
                      </w:rPr>
                      <w:t>fondų lėšos,</w:t>
                    </w:r>
                  </w:p>
                  <w:p>
                    <w:pPr>
                      <w:jc w:val="center"/>
                      <w:rPr>
                        <w:color w:val="000000"/>
                        <w:sz w:val="20"/>
                      </w:rPr>
                    </w:pPr>
                    <w:r>
                      <w:rPr>
                        <w:color w:val="000000"/>
                        <w:sz w:val="20"/>
                      </w:rPr>
                      <w:t>120</w:t>
                    </w:r>
                    <w:r>
                      <w:rPr>
                        <w:sz w:val="20"/>
                      </w:rPr>
                      <w:t xml:space="preserve">– BF lėšos </w:t>
                    </w:r>
                  </w:p>
                </w:tc>
                <w:tc>
                  <w:tcPr>
                    <w:tcW w:w="383" w:type="pct"/>
                  </w:tcPr>
                  <w:p>
                    <w:pPr>
                      <w:ind w:left="-57" w:right="-57"/>
                      <w:rPr>
                        <w:sz w:val="20"/>
                      </w:rPr>
                    </w:pPr>
                    <w:r>
                      <w:rPr>
                        <w:rFonts w:eastAsia="Calibri"/>
                        <w:sz w:val="20"/>
                      </w:rPr>
                      <w:t xml:space="preserve">2021–2027 m. ES fondų ir </w:t>
                    </w:r>
                    <w:r>
                      <w:rPr>
                        <w:sz w:val="20"/>
                      </w:rPr>
                      <w:t>BF</w:t>
                    </w:r>
                    <w:r>
                      <w:rPr>
                        <w:bCs/>
                        <w:sz w:val="20"/>
                      </w:rPr>
                      <w:t xml:space="preserve"> lėšos</w:t>
                    </w:r>
                  </w:p>
                </w:tc>
                <w:tc>
                  <w:tcPr>
                    <w:tcW w:w="638" w:type="pct"/>
                  </w:tcPr>
                  <w:p>
                    <w:pPr>
                      <w:rPr>
                        <w:color w:val="000000"/>
                        <w:sz w:val="20"/>
                      </w:rPr>
                    </w:pPr>
                    <w:r>
                      <w:rPr>
                        <w:color w:val="000000"/>
                        <w:sz w:val="20"/>
                      </w:rPr>
                      <w:t>P – Investicijų į profesinio mokymo infrastruktūrą poreikio analizė</w:t>
                    </w:r>
                  </w:p>
                </w:tc>
                <w:tc>
                  <w:tcPr>
                    <w:tcW w:w="448" w:type="pct"/>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(2025 m.)</w:t>
                    </w:r>
                  </w:p>
                </w:tc>
                <w:tc>
                  <w:tcPr>
                    <w:tcW w:w="447" w:type="pct"/>
                  </w:tcPr>
                  <w:p>
                    <w:pPr>
                      <w:ind w:left="-57" w:right="-57"/>
                      <w:jc w:val="center"/>
                      <w:rPr>
                        <w:color w:val="000000"/>
                        <w:sz w:val="20"/>
                      </w:rPr>
                    </w:pPr>
                    <w:r>
                      <w:rPr>
                        <w:color w:val="000000"/>
                        <w:sz w:val="20"/>
                      </w:rPr>
                      <w:t>CPVA</w:t>
                    </w:r>
                  </w:p>
                </w:tc>
                <w:tc>
                  <w:tcPr>
                    <w:tcW w:w="449" w:type="pct"/>
                  </w:tcPr>
                  <w:p>
                    <w:pPr>
                      <w:ind w:left="-57" w:right="-57"/>
                      <w:jc w:val="center"/>
                      <w:rPr>
                        <w:color w:val="000000"/>
                        <w:sz w:val="20"/>
                      </w:rPr>
                    </w:pPr>
                    <w:r>
                      <w:rPr>
                        <w:color w:val="000000"/>
                        <w:sz w:val="20"/>
                      </w:rPr>
                      <w:t>ŠMSM, SADM, EIM, ŽŪM</w:t>
                    </w:r>
                  </w:p>
                </w:tc>
              </w:tr>
              <w:tr>
                <w:trPr>
                  <w:trHeight w:val="233"/>
                </w:trPr>
                <w:tc>
                  <w:tcPr>
                    <w:tcW w:w="449" w:type="pct"/>
                    <w:vMerge w:val="restart"/>
                  </w:tcPr>
                  <w:p>
                    <w:pPr>
                      <w:ind w:left="-57" w:right="-57"/>
                      <w:rPr>
                        <w:color w:val="000000"/>
                        <w:sz w:val="20"/>
                      </w:rPr>
                    </w:pPr>
                    <w:r>
                      <w:rPr>
                        <w:color w:val="000000"/>
                        <w:sz w:val="20"/>
                      </w:rPr>
                      <w:t xml:space="preserve">7.2 </w:t>
                    </w:r>
                    <w:r>
                      <w:rPr>
                        <w:bCs/>
                        <w:sz w:val="20"/>
                      </w:rPr>
                      <w:t xml:space="preserve">Profesinio mokymo įstaigų regionuose </w:t>
                    </w:r>
                    <w:r>
                      <w:rPr>
                        <w:sz w:val="20"/>
                      </w:rPr>
                      <w:t>aprūpinimas praktiniam profesiniam mokymui reikalinga įranga ir priemonėmis</w:t>
                    </w:r>
                  </w:p>
                </w:tc>
                <w:tc>
                  <w:tcPr>
                    <w:tcW w:w="346" w:type="pct"/>
                    <w:vMerge w:val="restart"/>
                  </w:tcPr>
                  <w:p>
                    <w:pPr>
                      <w:ind w:left="-57" w:right="-57"/>
                      <w:jc w:val="center"/>
                      <w:rPr>
                        <w:color w:val="000000"/>
                        <w:sz w:val="20"/>
                      </w:rPr>
                    </w:pPr>
                    <w:r>
                      <w:rPr>
                        <w:color w:val="000000"/>
                        <w:sz w:val="20"/>
                      </w:rPr>
                      <w:t>I</w:t>
                    </w:r>
                  </w:p>
                </w:tc>
                <w:tc>
                  <w:tcPr>
                    <w:tcW w:w="386" w:type="pct"/>
                    <w:vMerge w:val="restart"/>
                  </w:tcPr>
                  <w:p>
                    <w:pPr>
                      <w:ind w:left="-57" w:right="-57"/>
                      <w:jc w:val="center"/>
                      <w:rPr>
                        <w:color w:val="000000"/>
                        <w:sz w:val="20"/>
                      </w:rPr>
                    </w:pPr>
                    <w:r>
                      <w:rPr>
                        <w:color w:val="000000"/>
                        <w:sz w:val="20"/>
                      </w:rPr>
                      <w:t xml:space="preserve">Profesinio mokymo įstaigos </w:t>
                    </w:r>
                  </w:p>
                </w:tc>
                <w:tc>
                  <w:tcPr>
                    <w:tcW w:w="259" w:type="pct"/>
                    <w:vMerge w:val="restart"/>
                  </w:tcPr>
                  <w:p>
                    <w:pPr>
                      <w:ind w:left="-57" w:right="-57"/>
                      <w:jc w:val="center"/>
                      <w:rPr>
                        <w:color w:val="000000"/>
                        <w:sz w:val="20"/>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vMerge w:val="restart"/>
                  </w:tcPr>
                  <w:p>
                    <w:pPr>
                      <w:jc w:val="center"/>
                      <w:rPr>
                        <w:sz w:val="20"/>
                      </w:rPr>
                    </w:pPr>
                    <w:r>
                      <w:rPr>
                        <w:sz w:val="20"/>
                      </w:rPr>
                      <w:t>38 062,145:</w:t>
                    </w:r>
                  </w:p>
                  <w:p>
                    <w:pPr>
                      <w:jc w:val="center"/>
                      <w:rPr>
                        <w:color w:val="000000"/>
                        <w:sz w:val="20"/>
                      </w:rPr>
                    </w:pPr>
                    <w:r>
                      <w:rPr>
                        <w:sz w:val="20"/>
                      </w:rPr>
                      <w:t>32 352,823</w:t>
                    </w:r>
                    <w:r>
                      <w:rPr>
                        <w:color w:val="000000"/>
                        <w:sz w:val="20"/>
                      </w:rPr>
                      <w:t xml:space="preserve"> </w:t>
                    </w:r>
                    <w:r>
                      <w:rPr>
                        <w:sz w:val="20"/>
                      </w:rPr>
                      <w:t>– ES fondų lėšos,</w:t>
                    </w:r>
                  </w:p>
                  <w:p>
                    <w:pPr>
                      <w:jc w:val="center"/>
                      <w:rPr>
                        <w:color w:val="000000"/>
                        <w:sz w:val="20"/>
                      </w:rPr>
                    </w:pPr>
                    <w:r>
                      <w:rPr>
                        <w:sz w:val="20"/>
                      </w:rPr>
                      <w:t xml:space="preserve">5 709,322 </w:t>
                    </w:r>
                    <w:r>
                      <w:rPr>
                        <w:color w:val="000000"/>
                        <w:sz w:val="20"/>
                      </w:rPr>
                      <w:t xml:space="preserve"> </w:t>
                    </w:r>
                    <w:r>
                      <w:rPr>
                        <w:sz w:val="20"/>
                      </w:rPr>
                      <w:t>– BF lėšos</w:t>
                    </w:r>
                  </w:p>
                </w:tc>
                <w:tc>
                  <w:tcPr>
                    <w:tcW w:w="383" w:type="pct"/>
                    <w:vMerge w:val="restart"/>
                  </w:tcPr>
                  <w:p>
                    <w:pPr>
                      <w:ind w:left="-57" w:right="-57"/>
                      <w:rPr>
                        <w:sz w:val="20"/>
                      </w:rPr>
                    </w:pPr>
                    <w:r>
                      <w:rPr>
                        <w:rFonts w:eastAsia="Calibri"/>
                        <w:sz w:val="20"/>
                      </w:rPr>
                      <w:t xml:space="preserve">2021–2027 m. ES fondų ir </w:t>
                    </w:r>
                    <w:r>
                      <w:rPr>
                        <w:sz w:val="20"/>
                      </w:rPr>
                      <w:t>BF</w:t>
                    </w:r>
                    <w:r>
                      <w:rPr>
                        <w:bCs/>
                        <w:sz w:val="20"/>
                      </w:rPr>
                      <w:t xml:space="preserve"> lėšos</w:t>
                    </w:r>
                  </w:p>
                </w:tc>
                <w:tc>
                  <w:tcPr>
                    <w:tcW w:w="638" w:type="pct"/>
                  </w:tcPr>
                  <w:p>
                    <w:pPr>
                      <w:rPr>
                        <w:color w:val="000000"/>
                        <w:sz w:val="20"/>
                      </w:rPr>
                    </w:pPr>
                    <w:r>
                      <w:rPr>
                        <w:color w:val="000000"/>
                        <w:sz w:val="20"/>
                      </w:rPr>
                      <w:t>R – Naujos arba modernizuotos švietimo infrastruktūros naudotojų skaičius per metus</w:t>
                    </w:r>
                  </w:p>
                </w:tc>
                <w:tc>
                  <w:tcPr>
                    <w:tcW w:w="448" w:type="pct"/>
                  </w:tcPr>
                  <w:p>
                    <w:pPr>
                      <w:ind w:left="-57" w:right="-57"/>
                      <w:jc w:val="center"/>
                      <w:rPr>
                        <w:color w:val="000000"/>
                        <w:sz w:val="20"/>
                      </w:rPr>
                    </w:pPr>
                    <w:r>
                      <w:rPr>
                        <w:color w:val="000000"/>
                        <w:sz w:val="20"/>
                      </w:rPr>
                      <w:t>22 860</w:t>
                    </w:r>
                  </w:p>
                  <w:p>
                    <w:pPr>
                      <w:ind w:left="-57" w:right="-57"/>
                      <w:jc w:val="center"/>
                      <w:rPr>
                        <w:color w:val="000000"/>
                        <w:sz w:val="20"/>
                      </w:rPr>
                    </w:pPr>
                    <w:r>
                      <w:rPr>
                        <w:color w:val="000000"/>
                        <w:sz w:val="20"/>
                      </w:rPr>
                      <w:t>(2029 m.)</w:t>
                    </w:r>
                  </w:p>
                </w:tc>
                <w:tc>
                  <w:tcPr>
                    <w:tcW w:w="447" w:type="pct"/>
                    <w:vMerge w:val="restart"/>
                  </w:tcPr>
                  <w:p>
                    <w:pPr>
                      <w:ind w:left="-57" w:right="-57"/>
                      <w:jc w:val="center"/>
                      <w:rPr>
                        <w:color w:val="000000"/>
                        <w:sz w:val="20"/>
                      </w:rPr>
                    </w:pPr>
                    <w:r>
                      <w:rPr>
                        <w:color w:val="000000"/>
                        <w:sz w:val="20"/>
                      </w:rPr>
                      <w:t>CPVA</w:t>
                    </w:r>
                  </w:p>
                </w:tc>
                <w:tc>
                  <w:tcPr>
                    <w:tcW w:w="449" w:type="pct"/>
                    <w:vMerge w:val="restart"/>
                  </w:tcPr>
                  <w:p>
                    <w:pPr>
                      <w:ind w:left="-57" w:right="-57"/>
                      <w:jc w:val="center"/>
                      <w:rPr>
                        <w:color w:val="000000"/>
                        <w:sz w:val="20"/>
                      </w:rPr>
                    </w:pPr>
                    <w:r>
                      <w:rPr>
                        <w:color w:val="000000"/>
                        <w:sz w:val="20"/>
                      </w:rPr>
                      <w:t>ŠMSM, SADM, EIM, ŽŪM</w:t>
                    </w:r>
                  </w:p>
                </w:tc>
              </w:tr>
              <w:tr>
                <w:trPr>
                  <w:trHeight w:val="233"/>
                </w:trPr>
                <w:tc>
                  <w:tcPr>
                    <w:tcW w:w="449" w:type="pct"/>
                    <w:vMerge/>
                  </w:tcPr>
                  <w:p>
                    <w:pPr>
                      <w:ind w:left="-57" w:right="-57"/>
                      <w:rPr>
                        <w:color w:val="000000"/>
                        <w:sz w:val="20"/>
                      </w:rPr>
                    </w:pPr>
                  </w:p>
                </w:tc>
                <w:tc>
                  <w:tcPr>
                    <w:tcW w:w="346" w:type="pct"/>
                    <w:vMerge/>
                    <w:vAlign w:val="center"/>
                  </w:tcPr>
                  <w:p>
                    <w:pPr>
                      <w:ind w:left="-57" w:right="-57"/>
                      <w:rPr>
                        <w:color w:val="000000"/>
                        <w:sz w:val="20"/>
                      </w:rPr>
                    </w:pPr>
                  </w:p>
                </w:tc>
                <w:tc>
                  <w:tcPr>
                    <w:tcW w:w="386" w:type="pct"/>
                    <w:vMerge/>
                    <w:vAlign w:val="center"/>
                  </w:tcPr>
                  <w:p>
                    <w:pPr>
                      <w:ind w:left="-57" w:right="-57"/>
                      <w:rPr>
                        <w:color w:val="000000"/>
                        <w:sz w:val="20"/>
                      </w:rPr>
                    </w:pPr>
                  </w:p>
                </w:tc>
                <w:tc>
                  <w:tcPr>
                    <w:tcW w:w="259" w:type="pct"/>
                    <w:vMerge/>
                    <w:vAlign w:val="center"/>
                  </w:tcPr>
                  <w:p>
                    <w:pPr>
                      <w:ind w:left="-57" w:right="-57"/>
                      <w:rPr>
                        <w:color w:val="000000"/>
                        <w:sz w:val="20"/>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jc w:val="center"/>
                      <w:rPr>
                        <w:color w:val="000000"/>
                        <w:sz w:val="20"/>
                      </w:rPr>
                    </w:pPr>
                  </w:p>
                </w:tc>
                <w:tc>
                  <w:tcPr>
                    <w:tcW w:w="383" w:type="pct"/>
                    <w:vMerge/>
                  </w:tcPr>
                  <w:p>
                    <w:pPr>
                      <w:ind w:left="-57" w:right="-57"/>
                      <w:rPr>
                        <w:sz w:val="20"/>
                      </w:rPr>
                    </w:pPr>
                  </w:p>
                </w:tc>
                <w:tc>
                  <w:tcPr>
                    <w:tcW w:w="638" w:type="pct"/>
                  </w:tcPr>
                  <w:p>
                    <w:pPr>
                      <w:rPr>
                        <w:color w:val="000000"/>
                        <w:sz w:val="20"/>
                      </w:rPr>
                    </w:pPr>
                    <w:r>
                      <w:rPr>
                        <w:color w:val="000000"/>
                        <w:sz w:val="20"/>
                        <w:shd w:val="clear" w:color="auto" w:fill="FFFFFF"/>
                      </w:rPr>
                      <w:t>P – Naujos arba modernizuotos švietimo infrastruktūros mokymo klasių talpumas </w:t>
                    </w:r>
                  </w:p>
                </w:tc>
                <w:tc>
                  <w:tcPr>
                    <w:tcW w:w="448" w:type="pct"/>
                  </w:tcPr>
                  <w:p>
                    <w:pPr>
                      <w:ind w:left="-57" w:right="-57"/>
                      <w:jc w:val="center"/>
                      <w:rPr>
                        <w:color w:val="000000"/>
                        <w:sz w:val="20"/>
                        <w:bdr w:val="none" w:sz="0" w:space="0" w:color="auto" w:frame="1"/>
                      </w:rPr>
                    </w:pPr>
                    <w:r>
                      <w:rPr>
                        <w:color w:val="000000"/>
                        <w:sz w:val="20"/>
                        <w:bdr w:val="none" w:sz="0" w:space="0" w:color="auto" w:frame="1"/>
                      </w:rPr>
                      <w:t>28 575</w:t>
                    </w:r>
                  </w:p>
                  <w:p>
                    <w:pPr>
                      <w:ind w:left="-57" w:right="-57"/>
                      <w:jc w:val="center"/>
                      <w:rPr>
                        <w:color w:val="000000"/>
                        <w:sz w:val="20"/>
                      </w:rPr>
                    </w:pPr>
                    <w:r>
                      <w:rPr>
                        <w:color w:val="000000"/>
                        <w:sz w:val="20"/>
                      </w:rPr>
                      <w:t>(2029 m.)</w:t>
                    </w:r>
                  </w:p>
                </w:tc>
                <w:tc>
                  <w:tcPr>
                    <w:tcW w:w="447" w:type="pct"/>
                    <w:vMerge/>
                    <w:vAlign w:val="center"/>
                  </w:tcPr>
                  <w:p>
                    <w:pPr>
                      <w:ind w:left="-57" w:right="-57"/>
                      <w:jc w:val="center"/>
                      <w:rPr>
                        <w:color w:val="000000"/>
                        <w:sz w:val="20"/>
                      </w:rPr>
                    </w:pPr>
                  </w:p>
                </w:tc>
                <w:tc>
                  <w:tcPr>
                    <w:tcW w:w="449" w:type="pct"/>
                    <w:vMerge/>
                    <w:vAlign w:val="center"/>
                  </w:tcPr>
                  <w:p>
                    <w:pPr>
                      <w:ind w:left="-57" w:right="-57"/>
                      <w:jc w:val="center"/>
                      <w:rPr>
                        <w:color w:val="000000"/>
                        <w:sz w:val="20"/>
                      </w:rPr>
                    </w:pPr>
                  </w:p>
                </w:tc>
              </w:tr>
              <w:tr>
                <w:trPr>
                  <w:trHeight w:val="233"/>
                </w:trPr>
                <w:tc>
                  <w:tcPr>
                    <w:tcW w:w="449"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46" w:type="pct"/>
                  </w:tcPr>
                  <w:p>
                    <w:pPr>
                      <w:ind w:left="-57" w:right="-57"/>
                      <w:jc w:val="center"/>
                      <w:rPr>
                        <w:sz w:val="18"/>
                        <w:szCs w:val="18"/>
                      </w:rPr>
                    </w:pPr>
                    <w:r>
                      <w:rPr>
                        <w:color w:val="000000"/>
                        <w:sz w:val="20"/>
                      </w:rPr>
                      <w:t>K</w:t>
                    </w:r>
                  </w:p>
                </w:tc>
                <w:tc>
                  <w:tcPr>
                    <w:tcW w:w="386" w:type="pct"/>
                  </w:tcPr>
                  <w:p>
                    <w:pPr>
                      <w:ind w:left="-57" w:right="-57"/>
                      <w:jc w:val="center"/>
                      <w:rPr>
                        <w:sz w:val="18"/>
                        <w:szCs w:val="18"/>
                      </w:rPr>
                    </w:pPr>
                    <w:r>
                      <w:rPr>
                        <w:color w:val="000000"/>
                        <w:sz w:val="20"/>
                      </w:rPr>
                      <w:t>ESFA</w:t>
                    </w:r>
                  </w:p>
                </w:tc>
                <w:tc>
                  <w:tcPr>
                    <w:tcW w:w="259" w:type="pct"/>
                  </w:tcPr>
                  <w:p>
                    <w:pPr>
                      <w:ind w:left="-57" w:right="-57"/>
                      <w:jc w:val="center"/>
                      <w:rPr>
                        <w:color w:val="000000"/>
                        <w:sz w:val="20"/>
                      </w:rPr>
                    </w:pPr>
                    <w:r>
                      <w:rPr>
                        <w:color w:val="000000"/>
                        <w:sz w:val="20"/>
                      </w:rPr>
                      <w:t>P</w:t>
                    </w:r>
                  </w:p>
                  <w:p>
                    <w:pPr>
                      <w:ind w:left="-57" w:right="-57"/>
                      <w:jc w:val="center"/>
                      <w:rPr>
                        <w:color w:val="000000"/>
                        <w:sz w:val="20"/>
                      </w:rPr>
                    </w:pPr>
                  </w:p>
                  <w:p>
                    <w:pPr>
                      <w:ind w:left="-57" w:right="-57"/>
                      <w:jc w:val="center"/>
                      <w:rPr>
                        <w:color w:val="000000"/>
                        <w:sz w:val="20"/>
                      </w:rPr>
                    </w:pPr>
                  </w:p>
                  <w:p>
                    <w:pPr>
                      <w:ind w:left="-57" w:right="-57"/>
                      <w:jc w:val="center"/>
                      <w:rPr>
                        <w:color w:val="000000"/>
                        <w:sz w:val="20"/>
                      </w:rPr>
                    </w:pPr>
                  </w:p>
                  <w:p>
                    <w:pPr>
                      <w:ind w:left="-57" w:right="-57"/>
                      <w:jc w:val="center"/>
                      <w:rPr>
                        <w:color w:val="000000"/>
                        <w:sz w:val="20"/>
                      </w:rPr>
                    </w:pPr>
                  </w:p>
                  <w:p>
                    <w:pPr>
                      <w:ind w:left="-57" w:right="-57"/>
                      <w:jc w:val="center"/>
                      <w:rPr>
                        <w:sz w:val="18"/>
                        <w:szCs w:val="18"/>
                      </w:rPr>
                    </w:pPr>
                  </w:p>
                </w:tc>
                <w:tc>
                  <w:tcPr>
                    <w:tcW w:w="386" w:type="pct"/>
                  </w:tcPr>
                  <w:p>
                    <w:pPr>
                      <w:ind w:left="-57" w:right="-57"/>
                      <w:jc w:val="center"/>
                      <w:rPr>
                        <w:sz w:val="18"/>
                        <w:szCs w:val="18"/>
                      </w:rPr>
                    </w:pPr>
                    <w:r>
                      <w:rPr>
                        <w:sz w:val="18"/>
                        <w:szCs w:val="18"/>
                      </w:rPr>
                      <w:t>Taip</w:t>
                    </w:r>
                  </w:p>
                </w:tc>
                <w:tc>
                  <w:tcPr>
                    <w:tcW w:w="449" w:type="pct"/>
                  </w:tcPr>
                  <w:p>
                    <w:pPr>
                      <w:ind w:left="-57" w:right="-57"/>
                      <w:jc w:val="center"/>
                      <w:rPr>
                        <w:sz w:val="18"/>
                        <w:szCs w:val="18"/>
                      </w:rPr>
                    </w:pPr>
                    <w:r>
                      <w:rPr>
                        <w:sz w:val="18"/>
                        <w:szCs w:val="18"/>
                      </w:rPr>
                      <w:t>D</w:t>
                    </w:r>
                  </w:p>
                </w:tc>
                <w:tc>
                  <w:tcPr>
                    <w:tcW w:w="360" w:type="pct"/>
                  </w:tcPr>
                  <w:p>
                    <w:pPr>
                      <w:jc w:val="center"/>
                      <w:rPr>
                        <w:color w:val="000000"/>
                        <w:sz w:val="20"/>
                      </w:rPr>
                    </w:pPr>
                    <w:r>
                      <w:rPr>
                        <w:color w:val="000000"/>
                        <w:sz w:val="20"/>
                      </w:rPr>
                      <w:t>1 000</w:t>
                    </w:r>
                  </w:p>
                  <w:p>
                    <w:pPr>
                      <w:jc w:val="center"/>
                      <w:rPr>
                        <w:color w:val="000000"/>
                        <w:sz w:val="20"/>
                      </w:rPr>
                    </w:pPr>
                  </w:p>
                  <w:p>
                    <w:pPr>
                      <w:jc w:val="center"/>
                      <w:rPr>
                        <w:sz w:val="18"/>
                        <w:szCs w:val="18"/>
                      </w:rPr>
                    </w:pPr>
                    <w:r>
                      <w:rPr>
                        <w:color w:val="000000"/>
                        <w:sz w:val="20"/>
                      </w:rPr>
                      <w:t>210</w:t>
                    </w:r>
                  </w:p>
                </w:tc>
                <w:tc>
                  <w:tcPr>
                    <w:tcW w:w="383" w:type="pct"/>
                  </w:tcPr>
                  <w:p>
                    <w:pPr>
                      <w:ind w:left="-57" w:right="-57" w:firstLine="53"/>
                      <w:rPr>
                        <w:sz w:val="20"/>
                      </w:rPr>
                    </w:pPr>
                    <w:r>
                      <w:rPr>
                        <w:sz w:val="20"/>
                      </w:rPr>
                      <w:t>EGADP lėšos)</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 xml:space="preserve">R – Profesinio mokymo įstaigų, organizuojančių profesinio mokymo programas pameistrystės forma, dalis </w:t>
                    </w:r>
                  </w:p>
                </w:tc>
                <w:tc>
                  <w:tcPr>
                    <w:tcW w:w="448" w:type="pct"/>
                  </w:tcPr>
                  <w:p>
                    <w:pPr>
                      <w:ind w:left="-57" w:right="-57"/>
                      <w:jc w:val="center"/>
                      <w:rPr>
                        <w:color w:val="000000"/>
                        <w:sz w:val="20"/>
                      </w:rPr>
                    </w:pPr>
                    <w:r>
                      <w:rPr>
                        <w:color w:val="000000"/>
                        <w:sz w:val="20"/>
                      </w:rPr>
                      <w:t>100</w:t>
                    </w:r>
                  </w:p>
                  <w:p>
                    <w:pPr>
                      <w:ind w:left="-57" w:right="-57"/>
                      <w:jc w:val="center"/>
                      <w:rPr>
                        <w:sz w:val="18"/>
                        <w:szCs w:val="18"/>
                      </w:rPr>
                    </w:pPr>
                    <w:r>
                      <w:rPr>
                        <w:color w:val="000000"/>
                        <w:sz w:val="20"/>
                      </w:rPr>
                      <w:t>(2026 m.)</w:t>
                    </w:r>
                  </w:p>
                </w:tc>
                <w:tc>
                  <w:tcPr>
                    <w:tcW w:w="447" w:type="pct"/>
                    <w:vAlign w:val="center"/>
                  </w:tcPr>
                  <w:p>
                    <w:pPr>
                      <w:ind w:left="-57" w:right="-57"/>
                      <w:jc w:val="center"/>
                      <w:rPr>
                        <w:sz w:val="18"/>
                        <w:szCs w:val="18"/>
                      </w:rPr>
                    </w:pPr>
                    <w:r>
                      <w:rPr>
                        <w:color w:val="000000"/>
                        <w:sz w:val="20"/>
                      </w:rPr>
                      <w:t>CPVA</w:t>
                    </w:r>
                  </w:p>
                </w:tc>
                <w:tc>
                  <w:tcPr>
                    <w:tcW w:w="449" w:type="pct"/>
                    <w:vAlign w:val="center"/>
                  </w:tcPr>
                  <w:p>
                    <w:pPr>
                      <w:ind w:left="-57" w:right="-57"/>
                      <w:jc w:val="center"/>
                      <w:rPr>
                        <w:sz w:val="18"/>
                        <w:szCs w:val="18"/>
                      </w:rPr>
                    </w:pPr>
                    <w:r>
                      <w:rPr>
                        <w:color w:val="000000"/>
                        <w:sz w:val="20"/>
                      </w:rPr>
                      <w:t>ŠMSM, SADM, EIM, ŽŪM“</w:t>
                    </w:r>
                  </w:p>
                </w:tc>
              </w:tr>
            </w:tbl>
            <w:p>
              <w:pPr>
                <w:tabs>
                  <w:tab w:val="left" w:pos="993"/>
                </w:tabs>
                <w:overflowPunct w:val="0"/>
                <w:ind w:firstLine="1134"/>
                <w:jc w:val="both"/>
                <w:textAlignment w:val="baseline"/>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V-642)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710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0FE131C6"/>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40.xml"/>
  <Relationship Id="rId2" Type="http://schemas.openxmlformats.org/officeDocument/2006/relationships/header" Target="header14.xml"/>
  <Relationship Id="rId20" Type="http://schemas.openxmlformats.org/officeDocument/2006/relationships/header" Target="header41.xml"/>
  <Relationship Id="rId21" Type="http://schemas.openxmlformats.org/officeDocument/2006/relationships/footer" Target="footer40.xml"/>
  <Relationship Id="rId22" Type="http://schemas.openxmlformats.org/officeDocument/2006/relationships/footer" Target="footer41.xml"/>
  <Relationship Id="rId23" Type="http://schemas.openxmlformats.org/officeDocument/2006/relationships/header" Target="header42.xml"/>
  <Relationship Id="rId24" Type="http://schemas.openxmlformats.org/officeDocument/2006/relationships/footer" Target="footer42.xml"/>
  <Relationship Id="rId25" Type="http://schemas.openxmlformats.org/officeDocument/2006/relationships/customXml" Target="../customXml/item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9d323bebd1346a1b976839cf41e668b">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b0d842a98355490f98498f539b68e17e"/>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640B2D5-E45B-4170-85D3-89A4FACDBA6C}">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C89AD582-CCF0-4AA1-BA57-FE5B6303110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29</Pages>
  <Words>5204</Words>
  <Characters>34657</Characters>
  <Application>Microsoft Office Word</Application>
  <DocSecurity>0</DocSecurity>
  <Lines>288</Lines>
  <Paragraphs>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39782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2024-06-04T07:51:00Z</dcterms:modified>
  <revision>16</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