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18a119ed734c93bef35567ccf97fc7"/>
        <w:lock w:val="sdtLocked"/>
        <w:richText/>
      </w:sdtPr>
      <w:sdtContent>
        <w:p>
          <w:pPr>
            <w:jc w:val="both"/>
            <w:rPr>
              <w:rFonts w:ascii="Times New Roman" w:hAnsi="Times New Roman"/>
            </w:rPr>
          </w:pPr>
          <w:r>
            <w:rPr>
              <w:rFonts w:ascii="Times New Roman" w:hAnsi="Times New Roman"/>
              <w:b/>
              <w:i/>
            </w:rPr>
            <w:t>Suvestinė redakcija nuo 2024-11-12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2022-02-14, i. k. 2022-02579</w:t>
          </w:r>
        </w:p>
        <w:p>
          <w:pPr>
            <w:jc w:val="both"/>
            <w:rPr>
              <w:rFonts w:ascii="Times New Roman" w:hAnsi="Times New Roman"/>
              <w:sz w:val="20"/>
            </w:rPr>
          </w:pPr>
        </w:p>
        <w:p>
          <w:pPr>
            <w:suppressAutoHyphens/>
            <w:jc w:val="center"/>
          </w:pPr>
        </w:p>
        <w:p>
          <w:pPr>
            <w:suppressAutoHyphens/>
            <w:jc w:val="center"/>
          </w:pPr>
          <w:r>
            <w:rPr>
              <w:lang w:eastAsia="lt-LT"/>
            </w:rPr>
            <w:drawing>
              <wp:inline distT="0" distB="0" distL="0" distR="0">
                <wp:extent cx="518160" cy="621665"/>
                <wp:effectExtent l="0" t="0" r="0" b="698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pPr>
            <w:suppressAutoHyphens/>
            <w:jc w:val="center"/>
          </w:pPr>
        </w:p>
        <w:p>
          <w:pPr>
            <w:suppressAutoHyphens/>
            <w:jc w:val="center"/>
            <w:rPr>
              <w:b/>
              <w:bCs/>
              <w:lang w:eastAsia="lt-LT"/>
            </w:rPr>
          </w:pPr>
          <w:r>
            <w:rPr>
              <w:b/>
              <w:bCs/>
              <w:lang w:eastAsia="lt-LT"/>
            </w:rPr>
            <w:t>LIETUVOS RESPUBLIKOS APLINKOS MINISTRAS</w:t>
          </w:r>
        </w:p>
        <w:p>
          <w:pPr>
            <w:suppressAutoHyphens/>
            <w:jc w:val="center"/>
            <w:rPr>
              <w:b/>
              <w:lang w:eastAsia="lt-LT"/>
            </w:rPr>
          </w:pPr>
        </w:p>
        <w:p>
          <w:pPr>
            <w:suppressAutoHyphens/>
            <w:jc w:val="center"/>
            <w:rPr>
              <w:b/>
              <w:lang w:eastAsia="lt-LT"/>
            </w:rPr>
          </w:pPr>
          <w:r>
            <w:rPr>
              <w:b/>
              <w:lang w:eastAsia="lt-LT"/>
            </w:rPr>
            <w:t>ĮSAKYMAS</w:t>
          </w:r>
        </w:p>
        <w:p>
          <w:pPr>
            <w:suppressAutoHyphens/>
            <w:jc w:val="center"/>
            <w:rPr>
              <w:b/>
              <w:szCs w:val="24"/>
              <w:lang w:eastAsia="lt-LT"/>
            </w:rPr>
          </w:pPr>
          <w:r>
            <w:rPr>
              <w:b/>
              <w:szCs w:val="24"/>
              <w:lang w:eastAsia="lt-LT"/>
            </w:rPr>
            <w:t>DĖL PERDIRBTŲ PADANGŲ ATLIEKŲ NEBELAIKYMO ATLIEKOMIS KRITERIJŲ APRAŠO PATVIRTINIMO</w:t>
          </w:r>
        </w:p>
        <w:p>
          <w:pPr>
            <w:suppressAutoHyphens/>
            <w:jc w:val="center"/>
            <w:rPr>
              <w:b/>
              <w:lang w:eastAsia="lt-LT"/>
            </w:rPr>
          </w:pPr>
        </w:p>
        <w:p>
          <w:pPr>
            <w:suppressAutoHyphens/>
            <w:jc w:val="center"/>
            <w:rPr>
              <w:lang w:eastAsia="lt-LT"/>
            </w:rPr>
          </w:pPr>
          <w:r>
            <w:rPr>
              <w:lang w:eastAsia="lt-LT"/>
            </w:rPr>
            <w:t>2022 m. vasario 14 d. Nr. D1-48</w:t>
          </w:r>
        </w:p>
        <w:p>
          <w:pPr>
            <w:suppressAutoHyphens/>
            <w:jc w:val="center"/>
            <w:rPr>
              <w:lang w:eastAsia="lt-LT"/>
            </w:rPr>
          </w:pPr>
          <w:r>
            <w:rPr>
              <w:lang w:eastAsia="lt-LT"/>
            </w:rPr>
            <w:t>Vilnius</w:t>
          </w:r>
        </w:p>
        <w:p>
          <w:pPr>
            <w:suppressAutoHyphens/>
            <w:jc w:val="center"/>
            <w:rPr>
              <w:lang w:eastAsia="lt-LT"/>
            </w:rPr>
          </w:pPr>
        </w:p>
        <w:p>
          <w:pPr>
            <w:suppressAutoHyphens/>
            <w:jc w:val="center"/>
            <w:rPr>
              <w:lang w:eastAsia="lt-LT"/>
            </w:rPr>
          </w:pPr>
        </w:p>
        <w:sdt>
          <w:sdtPr>
            <w:alias w:val="preambule"/>
            <w:tag w:val="part_d36a04759e7644aa9539e84b3e1a9fd4"/>
            <w:lock w:val="sdtLocked"/>
            <w:richText/>
          </w:sdtPr>
          <w:sdtContent>
            <w:p>
              <w:pPr>
                <w:tabs>
                  <w:tab w:val="left" w:pos="993"/>
                </w:tabs>
                <w:suppressAutoHyphens/>
                <w:ind w:firstLine="567"/>
                <w:jc w:val="both"/>
                <w:textAlignment w:val="baseline"/>
                <w:rPr>
                  <w:szCs w:val="24"/>
                  <w:lang w:eastAsia="lt-LT"/>
                </w:rPr>
              </w:pPr>
              <w:r>
                <w:rPr>
                  <w:shd w:val="clear" w:color="auto" w:fill="FFFFFF"/>
                  <w:lang w:eastAsia="lt-LT"/>
                </w:rPr>
                <w:t>Vadovaudamasis Lietuvos Respublikos atliekų tvarkymo įstatymo 3</w:t>
              </w:r>
              <w:r>
                <w:rPr>
                  <w:shd w:val="clear" w:color="auto" w:fill="FFFFFF"/>
                  <w:vertAlign w:val="superscript"/>
                  <w:lang w:eastAsia="lt-LT"/>
                </w:rPr>
                <w:t>2</w:t>
              </w:r>
              <w:r>
                <w:rPr>
                  <w:shd w:val="clear" w:color="auto" w:fill="FFFFFF"/>
                  <w:lang w:eastAsia="lt-LT"/>
                </w:rPr>
                <w:t xml:space="preserve"> straipsnio 2 dalimi ir įgyvendindamas 2008 m. lapkričio 19 d. Europos Parlamento ir Tarybos direktyvos 2008/98/EB dėl atliekų ir panaikinančios kai kurias direktyvas su paskutiniais pakeitimais, padarytais 2023 m. liepos 12 d. Europos Parlamento ir Tarybos reglamentu (ES) 2023/1542, 6 straipsnio 3 dalį, </w:t>
              </w:r>
              <w:r>
                <w:rPr>
                  <w:lang w:eastAsia="lt-LT"/>
                </w:rPr>
                <w:t>2019 m. kovo 19 d. Europos Parlamento ir Tarybos reglamentą (ES) Nr. 2019/515 dėl kitoje valstybėje narėje teisėtai parduodamų prekių abipusio pripažinimo, kuriuo panaikinamas Reglamentas (EB) Nr. 764/2008</w:t>
              </w:r>
              <w:r>
                <w:rPr>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101619ffe11efa605b9842742bf3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2024-11-11,
paskelbta TAR 2024-11-11, i. k. 2024-19588            </w:t>
              </w:r>
            </w:p>
            <w:p/>
          </w:sdtContent>
        </w:sdt>
        <w:sdt>
          <w:sdtPr>
            <w:alias w:val="1 p."/>
            <w:tag w:val="part_19fc711ec25248bf8ee02969ee52de4c"/>
            <w:lock w:val="sdtLocked"/>
            <w:richText/>
          </w:sdtPr>
          <w:sdtContent>
            <w:p>
              <w:pPr>
                <w:shd w:val="clear" w:color="auto" w:fill="FFFFFF"/>
                <w:suppressAutoHyphens/>
                <w:ind w:firstLine="567"/>
                <w:jc w:val="both"/>
                <w:rPr>
                  <w:szCs w:val="24"/>
                  <w:lang w:eastAsia="lt-LT"/>
                </w:rPr>
              </w:pPr>
              <w:sdt>
                <w:sdtPr>
                  <w:alias w:val="Numeris"/>
                  <w:tag w:val="nr_19fc711ec25248bf8ee02969ee52de4c"/>
                  <w:lock w:val="sdtLocked"/>
                  <w:richText/>
                </w:sdtPr>
                <w:sdtContent>
                  <w:r>
                    <w:rPr>
                      <w:szCs w:val="24"/>
                      <w:lang w:eastAsia="lt-LT"/>
                    </w:rPr>
                    <w:t>1</w:t>
                  </w:r>
                </w:sdtContent>
              </w:sdt>
              <w:r>
                <w:rPr>
                  <w:szCs w:val="24"/>
                  <w:lang w:eastAsia="lt-LT"/>
                </w:rPr>
                <w:t xml:space="preserve">. </w:t>
              </w:r>
              <w:r>
                <w:rPr>
                  <w:spacing w:val="60"/>
                  <w:szCs w:val="24"/>
                  <w:lang w:eastAsia="lt-LT"/>
                </w:rPr>
                <w:t>Tvirtinu</w:t>
              </w:r>
              <w:r>
                <w:rPr>
                  <w:spacing w:val="20"/>
                  <w:szCs w:val="24"/>
                  <w:lang w:eastAsia="lt-LT"/>
                </w:rPr>
                <w:t xml:space="preserve"> </w:t>
              </w:r>
              <w:r>
                <w:rPr>
                  <w:szCs w:val="24"/>
                  <w:lang w:eastAsia="lt-LT"/>
                </w:rPr>
                <w:t>Perdirbtų</w:t>
              </w:r>
              <w:r>
                <w:rPr>
                  <w:spacing w:val="20"/>
                  <w:szCs w:val="24"/>
                  <w:lang w:eastAsia="lt-LT"/>
                </w:rPr>
                <w:t xml:space="preserve"> p</w:t>
              </w:r>
              <w:r>
                <w:rPr>
                  <w:szCs w:val="24"/>
                  <w:lang w:eastAsia="lt-LT"/>
                </w:rPr>
                <w:t>adangų atliekų nebelaikymo atliekomis kriterijų aprašą (toliau – Aprašas) (pridedama).</w:t>
              </w:r>
            </w:p>
          </w:sdtContent>
        </w:sdt>
        <w:sdt>
          <w:sdtPr>
            <w:alias w:val="2 p."/>
            <w:tag w:val="part_24bfb1ce3710459493660c89810b6a1c"/>
            <w:lock w:val="sdtLocked"/>
            <w:richText/>
          </w:sdtPr>
          <w:sdtContent>
            <w:p>
              <w:pPr>
                <w:shd w:val="clear" w:color="auto" w:fill="FFFFFF"/>
                <w:suppressAutoHyphens/>
                <w:ind w:firstLine="567"/>
                <w:jc w:val="both"/>
                <w:rPr>
                  <w:sz w:val="28"/>
                  <w:szCs w:val="24"/>
                  <w:lang w:eastAsia="lt-LT"/>
                </w:rPr>
              </w:pPr>
              <w:sdt>
                <w:sdtPr>
                  <w:alias w:val="Numeris"/>
                  <w:tag w:val="nr_24bfb1ce3710459493660c89810b6a1c"/>
                  <w:lock w:val="sdtLocked"/>
                  <w:richText/>
                </w:sdtPr>
                <w:sdtContent>
                  <w:r>
                    <w:rPr>
                      <w:szCs w:val="24"/>
                      <w:lang w:eastAsia="lt-LT"/>
                    </w:rPr>
                    <w:t>2</w:t>
                  </w:r>
                </w:sdtContent>
              </w:sdt>
              <w:r>
                <w:rPr>
                  <w:szCs w:val="24"/>
                  <w:lang w:eastAsia="lt-LT"/>
                </w:rPr>
                <w:t xml:space="preserve">. </w:t>
              </w:r>
              <w:r>
                <w:rPr>
                  <w:spacing w:val="60"/>
                  <w:szCs w:val="24"/>
                  <w:lang w:eastAsia="ar-SA"/>
                </w:rPr>
                <w:t>Pavedu</w:t>
              </w:r>
              <w:r>
                <w:rPr>
                  <w:szCs w:val="24"/>
                  <w:lang w:eastAsia="ar-SA"/>
                </w:rPr>
                <w:t xml:space="preserve"> </w:t>
              </w:r>
              <w:r>
                <w:rPr>
                  <w:lang w:eastAsia="lt-LT"/>
                </w:rPr>
                <w:t>Aplinkos apsaugos departamentui prie Aplinkos ministerijos pagal kompetenciją vykdyti Aprašo laikymosi kontrolę.</w:t>
              </w:r>
            </w:p>
          </w:sdtContent>
        </w:sdt>
        <w:sdt>
          <w:sdtPr>
            <w:alias w:val="3 p."/>
            <w:tag w:val="part_abba43e38e604967ba5cbb6465e9c071"/>
            <w:lock w:val="sdtLocked"/>
            <w:richText/>
          </w:sdtPr>
          <w:sdtContent>
            <w:p>
              <w:pPr>
                <w:shd w:val="clear" w:color="auto" w:fill="FFFFFF"/>
                <w:suppressAutoHyphens/>
                <w:ind w:firstLine="567"/>
                <w:jc w:val="both"/>
                <w:rPr>
                  <w:szCs w:val="24"/>
                  <w:lang w:eastAsia="lt-LT"/>
                </w:rPr>
              </w:pPr>
              <w:sdt>
                <w:sdtPr>
                  <w:alias w:val="Numeris"/>
                  <w:tag w:val="nr_abba43e38e604967ba5cbb6465e9c071"/>
                  <w:lock w:val="sdtLocked"/>
                  <w:richText/>
                </w:sdtPr>
                <w:sdtContent>
                  <w:r>
                    <w:rPr>
                      <w:szCs w:val="24"/>
                      <w:lang w:eastAsia="lt-LT"/>
                    </w:rPr>
                    <w:t>3</w:t>
                  </w:r>
                </w:sdtContent>
              </w:sdt>
              <w:r>
                <w:rPr>
                  <w:szCs w:val="24"/>
                  <w:lang w:eastAsia="lt-LT"/>
                </w:rPr>
                <w:t xml:space="preserve">. </w:t>
              </w:r>
              <w:r>
                <w:rPr>
                  <w:spacing w:val="60"/>
                  <w:szCs w:val="24"/>
                  <w:lang w:eastAsia="lt-LT"/>
                </w:rPr>
                <w:t>Nustatau,</w:t>
              </w:r>
              <w:r>
                <w:rPr>
                  <w:szCs w:val="24"/>
                  <w:lang w:eastAsia="lt-LT"/>
                </w:rPr>
                <w:t xml:space="preserve"> kad: </w:t>
              </w:r>
            </w:p>
            <w:sdt>
              <w:sdtPr>
                <w:alias w:val="3.1 pp."/>
                <w:tag w:val="part_f978f0fb1b594655b7612e111d0cbc75"/>
                <w:lock w:val="sdtLocked"/>
                <w:richText/>
              </w:sdtPr>
              <w:sdtContent>
                <w:p>
                  <w:pPr>
                    <w:shd w:val="clear" w:color="auto" w:fill="FFFFFF"/>
                    <w:suppressAutoHyphens/>
                    <w:ind w:firstLine="567"/>
                    <w:jc w:val="both"/>
                    <w:rPr>
                      <w:szCs w:val="24"/>
                      <w:lang w:eastAsia="lt-LT"/>
                    </w:rPr>
                  </w:pPr>
                  <w:sdt>
                    <w:sdtPr>
                      <w:alias w:val="Numeris"/>
                      <w:tag w:val="nr_f978f0fb1b594655b7612e111d0cbc75"/>
                      <w:lock w:val="sdtLocked"/>
                      <w:richText/>
                    </w:sdtPr>
                    <w:sdtContent>
                      <w:r>
                        <w:rPr>
                          <w:szCs w:val="24"/>
                          <w:lang w:eastAsia="lt-LT"/>
                        </w:rPr>
                        <w:t>3.1</w:t>
                      </w:r>
                    </w:sdtContent>
                  </w:sdt>
                  <w:r>
                    <w:rPr>
                      <w:szCs w:val="24"/>
                      <w:lang w:eastAsia="lt-LT"/>
                    </w:rPr>
                    <w:t>. šis įsakymas įsigalioja nuo 2022 m. gegužės 1 d.;</w:t>
                  </w:r>
                </w:p>
              </w:sdtContent>
            </w:sdt>
            <w:sdt>
              <w:sdtPr>
                <w:alias w:val="3.2 pp."/>
                <w:tag w:val="part_f840caf7d578484e89087d5b5a9e9aa4"/>
                <w:lock w:val="sdtLocked"/>
                <w:richText/>
              </w:sdtPr>
              <w:sdtContent>
                <w:p>
                  <w:pPr>
                    <w:suppressAutoHyphens/>
                    <w:ind w:firstLine="567"/>
                    <w:jc w:val="both"/>
                    <w:rPr>
                      <w:lang w:eastAsia="lt-LT"/>
                    </w:rPr>
                  </w:pPr>
                  <w:sdt>
                    <w:sdtPr>
                      <w:alias w:val="Numeris"/>
                      <w:tag w:val="nr_f840caf7d578484e89087d5b5a9e9aa4"/>
                      <w:lock w:val="sdtLocked"/>
                      <w:richText/>
                    </w:sdtPr>
                    <w:sdtContent>
                      <w:r>
                        <w:rPr>
                          <w:szCs w:val="24"/>
                          <w:lang w:eastAsia="lt-LT"/>
                        </w:rPr>
                        <w:t>3.2</w:t>
                      </w:r>
                    </w:sdtContent>
                  </w:sdt>
                  <w:r>
                    <w:rPr>
                      <w:szCs w:val="24"/>
                      <w:lang w:eastAsia="lt-LT"/>
                    </w:rPr>
                    <w:t>. medžiagos ar daiktai, kurie, gauti perdirbus padangų atliekas iki šio įsakymo įsigaliojimo dienos, nebuvo patiekti rinkai ir (ar) pa</w:t>
                  </w:r>
                  <w:r>
                    <w:rPr>
                      <w:color w:val="000000"/>
                      <w:szCs w:val="24"/>
                      <w:lang w:eastAsia="lt-LT"/>
                    </w:rPr>
                    <w:t>naudoti konkrečiam tikslui</w:t>
                  </w:r>
                  <w:r>
                    <w:rPr>
                      <w:szCs w:val="24"/>
                      <w:lang w:eastAsia="lt-LT"/>
                    </w:rPr>
                    <w:t xml:space="preserve"> per šešis mėnesius nuo įsakymo įsigaliojimo dienos, laikomi atliekomis ir turi būti perduoti atliekų tvarkytojams, turintiems teisę tvarkyti tokias atliekas.</w:t>
                  </w:r>
                </w:p>
              </w:sdtContent>
            </w:sdt>
          </w:sdtContent>
        </w:sdt>
        <w:sdt>
          <w:sdtPr>
            <w:alias w:val="signatura"/>
            <w:tag w:val="part_9c46a5d6a2e4439196ab5a4ee2a7aeec"/>
            <w:lock w:val="sdtLocked"/>
            <w:richText/>
          </w:sdtPr>
          <w:sdtContent>
            <w:p>
              <w:pPr>
                <w:suppressAutoHyphens/>
                <w:rPr>
                  <w:lang w:eastAsia="lt-LT"/>
                </w:rPr>
              </w:pPr>
            </w:p>
            <w:p>
              <w:pPr>
                <w:suppressAutoHyphens/>
                <w:rPr>
                  <w:lang w:eastAsia="lt-LT"/>
                </w:rPr>
              </w:pPr>
            </w:p>
            <w:p>
              <w:pPr>
                <w:suppressAutoHyphens/>
                <w:rPr>
                  <w:lang w:eastAsia="lt-LT"/>
                </w:rPr>
              </w:pPr>
            </w:p>
            <w:p>
              <w:pPr>
                <w:tabs>
                  <w:tab w:val="left" w:pos="7513"/>
                </w:tabs>
                <w:suppressAutoHyphens/>
                <w:ind w:left="8" w:right="34"/>
                <w:rPr>
                  <w:lang w:eastAsia="lt-LT"/>
                </w:rPr>
              </w:pPr>
              <w:r>
                <w:rPr>
                  <w:lang w:eastAsia="lt-LT"/>
                </w:rPr>
                <w:t>Aplinkos ministras</w:t>
                <w:tab/>
                <w:t>Simonas Gentvilas</w:t>
              </w:r>
            </w:p>
          </w:sdtContent>
        </w:sdt>
      </w:sdtContent>
    </w:sdt>
    <w:sdt>
      <w:sdtPr>
        <w:alias w:val="patvirtinta"/>
        <w:tag w:val="part_71134df752e748ed8c3f0c9ff1c88516"/>
        <w:lock w:val="sdtLocked"/>
        <w:richText/>
      </w:sdtPr>
      <w:sdtContent>
        <w:p>
          <w:pPr>
            <w:rPr>
              <w:lang w:eastAsia="lt-LT"/>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type w:val="continuous"/>
              <w:pgSz w:w="11905" w:h="16837"/>
              <w:pgMar w:top="709" w:right="708" w:bottom="1032" w:left="1701" w:header="851" w:footer="919" w:gutter="0"/>
              <w:cols w:space="1296"/>
              <w:formProt w:val="0"/>
              <w:titlePg/>
              <w:docGrid w:linePitch="360"/>
            </w:sect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t>PATVIRTINTA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t xml:space="preserve">Lietuvos Respublikos aplinkos ministro </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t xml:space="preserve">2022 m. vasario 14 d. įsakymu Nr. </w:t>
          </w:r>
          <w:r>
            <w:rPr>
              <w:lang w:eastAsia="lt-LT"/>
            </w:rPr>
            <w:t>D1-48</w:t>
          </w:r>
        </w:p>
        <w:p>
          <w:pPr>
            <w:shd w:val="clear" w:color="auto" w:fill="FFFFFF"/>
            <w:suppressAutoHyphens/>
            <w:jc w:val="right"/>
            <w:rPr>
              <w:b/>
              <w:lang w:eastAsia="lt-LT"/>
            </w:rPr>
          </w:pPr>
        </w:p>
        <w:p>
          <w:pPr>
            <w:shd w:val="clear" w:color="auto" w:fill="FFFFFF"/>
            <w:suppressAutoHyphens/>
            <w:jc w:val="center"/>
            <w:rPr>
              <w:szCs w:val="24"/>
              <w:lang w:eastAsia="lt-LT"/>
            </w:rPr>
          </w:pPr>
          <w:r>
            <w:rPr>
              <w:b/>
              <w:lang w:eastAsia="lt-LT"/>
            </w:rPr>
            <w:t xml:space="preserve">PERDIRBTŲ </w:t>
          </w:r>
          <w:r>
            <w:rPr>
              <w:b/>
              <w:spacing w:val="20"/>
              <w:szCs w:val="24"/>
              <w:lang w:eastAsia="lt-LT"/>
            </w:rPr>
            <w:t>P</w:t>
          </w:r>
          <w:r>
            <w:rPr>
              <w:b/>
              <w:szCs w:val="24"/>
              <w:lang w:eastAsia="lt-LT"/>
            </w:rPr>
            <w:t xml:space="preserve">ADANGŲ ATLIEKŲ NEBELAIKYMO ATLIEKOMIS KRITERIJŲ </w:t>
          </w:r>
          <w:r>
            <w:rPr>
              <w:b/>
              <w:bCs/>
              <w:szCs w:val="24"/>
              <w:lang w:eastAsia="lt-LT"/>
            </w:rPr>
            <w:t>APRAŠAS</w:t>
          </w:r>
        </w:p>
        <w:p>
          <w:pPr>
            <w:suppressAutoHyphens/>
            <w:jc w:val="center"/>
            <w:rPr>
              <w:szCs w:val="24"/>
              <w:lang w:eastAsia="lt-LT"/>
            </w:rPr>
          </w:pPr>
        </w:p>
        <w:sdt>
          <w:sdtPr>
            <w:alias w:val="skyrius"/>
            <w:tag w:val="part_defa534a219e41a382ac1a0d43c8adec"/>
            <w:lock w:val="sdtLocked"/>
            <w:richText/>
          </w:sdtPr>
          <w:sdtContent>
            <w:p>
              <w:pPr>
                <w:suppressAutoHyphens/>
                <w:jc w:val="center"/>
                <w:rPr>
                  <w:b/>
                  <w:szCs w:val="24"/>
                  <w:lang w:eastAsia="lt-LT"/>
                </w:rPr>
              </w:pPr>
              <w:sdt>
                <w:sdtPr>
                  <w:alias w:val="Numeris"/>
                  <w:tag w:val="nr_defa534a219e41a382ac1a0d43c8adec"/>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defa534a219e41a382ac1a0d43c8adec"/>
                  <w:lock w:val="sdtLocked"/>
                  <w:richText/>
                </w:sdtPr>
                <w:sdtContent>
                  <w:r>
                    <w:rPr>
                      <w:b/>
                      <w:szCs w:val="24"/>
                      <w:lang w:eastAsia="lt-LT"/>
                    </w:rPr>
                    <w:t>BENDROSIOS NUOSTATOS</w:t>
                  </w:r>
                </w:sdtContent>
              </w:sdt>
            </w:p>
            <w:p>
              <w:pPr>
                <w:suppressAutoHyphens/>
                <w:jc w:val="center"/>
                <w:rPr>
                  <w:b/>
                  <w:szCs w:val="24"/>
                  <w:lang w:eastAsia="lt-LT"/>
                </w:rPr>
              </w:pPr>
            </w:p>
            <w:sdt>
              <w:sdtPr>
                <w:alias w:val="1 p."/>
                <w:tag w:val="part_1046a17c3a644d708f1887ff6e3a6c79"/>
                <w:lock w:val="sdtLocked"/>
                <w:richText/>
              </w:sdtPr>
              <w:sdtContent>
                <w:p>
                  <w:pPr>
                    <w:tabs>
                      <w:tab w:val="left" w:pos="851"/>
                      <w:tab w:val="left" w:pos="993"/>
                      <w:tab w:val="left" w:pos="1276"/>
                    </w:tabs>
                    <w:suppressAutoHyphens/>
                    <w:ind w:firstLine="567"/>
                    <w:jc w:val="both"/>
                    <w:textAlignment w:val="center"/>
                    <w:rPr>
                      <w:color w:val="000000"/>
                      <w:szCs w:val="24"/>
                      <w:lang w:eastAsia="lt-LT"/>
                    </w:rPr>
                  </w:pPr>
                  <w:sdt>
                    <w:sdtPr>
                      <w:alias w:val="Numeris"/>
                      <w:tag w:val="nr_1046a17c3a644d708f1887ff6e3a6c79"/>
                      <w:lock w:val="sdtLocked"/>
                      <w:richText/>
                    </w:sdtPr>
                    <w:sdtContent>
                      <w:r>
                        <w:rPr>
                          <w:rFonts w:eastAsia="Arial"/>
                          <w:color w:val="000000"/>
                          <w:spacing w:val="-4"/>
                          <w:w w:val="101"/>
                          <w:szCs w:val="24"/>
                        </w:rPr>
                        <w:t>1</w:t>
                      </w:r>
                    </w:sdtContent>
                  </w:sdt>
                  <w:r>
                    <w:rPr>
                      <w:rFonts w:eastAsia="Arial"/>
                      <w:color w:val="000000"/>
                      <w:spacing w:val="-4"/>
                      <w:w w:val="101"/>
                      <w:szCs w:val="24"/>
                    </w:rPr>
                    <w:t>.</w:t>
                    <w:tab/>
                  </w:r>
                  <w:r>
                    <w:rPr>
                      <w:szCs w:val="24"/>
                      <w:lang w:eastAsia="lt-LT"/>
                    </w:rPr>
                    <w:t xml:space="preserve">Perdirbtų </w:t>
                  </w:r>
                  <w:r>
                    <w:rPr>
                      <w:spacing w:val="20"/>
                      <w:szCs w:val="24"/>
                      <w:lang w:eastAsia="lt-LT"/>
                    </w:rPr>
                    <w:t>p</w:t>
                  </w:r>
                  <w:r>
                    <w:rPr>
                      <w:szCs w:val="24"/>
                      <w:lang w:eastAsia="lt-LT"/>
                    </w:rPr>
                    <w:t>adangų atliekų nebelaikymo atliekomis kriterijų aprašas (toliau – Aprašas) nustato kriterijus, kuriais vadovaujantis perdirbtos padangų atliekos nebelaikomos atliekomis.</w:t>
                  </w:r>
                </w:p>
              </w:sdtContent>
            </w:sdt>
            <w:sdt>
              <w:sdtPr>
                <w:alias w:val="2 p."/>
                <w:tag w:val="part_702511ccc5884c2da590b6ea16dcdfbf"/>
                <w:lock w:val="sdtLocked"/>
                <w:richText/>
              </w:sdtPr>
              <w:sdtContent>
                <w:p>
                  <w:pPr>
                    <w:tabs>
                      <w:tab w:val="left" w:pos="851"/>
                    </w:tabs>
                    <w:suppressAutoHyphens/>
                    <w:ind w:firstLine="567"/>
                    <w:jc w:val="both"/>
                    <w:rPr>
                      <w:szCs w:val="24"/>
                      <w:lang w:eastAsia="lt-LT"/>
                    </w:rPr>
                  </w:pPr>
                  <w:sdt>
                    <w:sdtPr>
                      <w:alias w:val="Numeris"/>
                      <w:tag w:val="nr_702511ccc5884c2da590b6ea16dcdfbf"/>
                      <w:lock w:val="sdtLocked"/>
                      <w:richText/>
                    </w:sdtPr>
                    <w:sdtContent>
                      <w:r>
                        <w:rPr>
                          <w:rFonts w:eastAsia="Arial"/>
                          <w:spacing w:val="-4"/>
                          <w:w w:val="101"/>
                          <w:szCs w:val="24"/>
                        </w:rPr>
                        <w:t>2</w:t>
                      </w:r>
                    </w:sdtContent>
                  </w:sdt>
                  <w:r>
                    <w:rPr>
                      <w:rFonts w:eastAsia="Arial"/>
                      <w:spacing w:val="-4"/>
                      <w:w w:val="101"/>
                      <w:szCs w:val="24"/>
                    </w:rPr>
                    <w:t>.</w:t>
                    <w:tab/>
                  </w:r>
                  <w:r>
                    <w:rPr>
                      <w:szCs w:val="24"/>
                      <w:lang w:eastAsia="lt-LT"/>
                    </w:rPr>
                    <w:t>Apraše vartojamos sąvokos atitinka Lietuvos Respublikos atliekų tvarkymo įstatyme, Lietuvos Respublikos statybos įstatyme,</w:t>
                  </w:r>
                  <w:r>
                    <w:rPr>
                      <w:bCs/>
                      <w:szCs w:val="24"/>
                      <w:lang w:eastAsia="lt-LT"/>
                    </w:rPr>
                    <w:t xml:space="preserve"> 2008 m. liepos 9 d. Europos Parlamento ir Tarybos reglamente (EB) Nr. 765/2008, nustatančiame su gaminių prekyba susijusius akreditavimo ir rinkos priežiūros reikalavimus ir panaikinančiame Reglamentą (EEB) Nr. 339/93 su visais pakeitimais,</w:t>
                  </w:r>
                  <w:r>
                    <w:rPr>
                      <w:szCs w:val="24"/>
                      <w:lang w:eastAsia="lt-LT"/>
                    </w:rPr>
                    <w:t xml:space="preserve"> </w:t>
                  </w:r>
                  <w:r>
                    <w:rPr>
                      <w:bCs/>
                      <w:szCs w:val="24"/>
                      <w:lang w:eastAsia="lt-LT"/>
                    </w:rPr>
                    <w:t xml:space="preserve">Atliekų tvarkymo taisyklėse, patvirtintose Lietuvos Respublikos aplinkos ministro 1999 m. liepos 14 d. įsakymu Nr. 217 „Dėl Atliekų tvarkymo taisyklių patvirtinimo“ (toliau – Atliekų tvarkymo taisyklės), </w:t>
                  </w:r>
                  <w:r>
                    <w:rPr>
                      <w:szCs w:val="24"/>
                      <w:lang w:eastAsia="lt-LT"/>
                    </w:rPr>
                    <w:t>ir kituose teisės aktuose, reglamentuojančiuose aplinkos apsaugą, atliekų tvarkymą, statinių statybą ir statybos produktų gamybą, nustatytas sąvokas.</w:t>
                  </w:r>
                </w:p>
                <w:p>
                  <w:pPr>
                    <w:widowControl w:val="0"/>
                    <w:tabs>
                      <w:tab w:val="left" w:pos="1134"/>
                    </w:tabs>
                    <w:ind w:left="567"/>
                    <w:jc w:val="both"/>
                    <w:rPr>
                      <w:rFonts w:eastAsia="Arial"/>
                      <w:szCs w:val="24"/>
                    </w:rPr>
                  </w:pPr>
                </w:p>
              </w:sdtContent>
            </w:sdt>
          </w:sdtContent>
        </w:sdt>
        <w:sdt>
          <w:sdtPr>
            <w:alias w:val="skyrius"/>
            <w:tag w:val="part_59bd5d2f0e05493ab6670fdffad04813"/>
            <w:lock w:val="sdtLocked"/>
            <w:richText/>
          </w:sdtPr>
          <w:sdtContent>
            <w:p>
              <w:pPr>
                <w:tabs>
                  <w:tab w:val="left" w:pos="1134"/>
                </w:tabs>
                <w:suppressAutoHyphens/>
                <w:ind w:firstLine="567"/>
                <w:jc w:val="center"/>
                <w:rPr>
                  <w:b/>
                  <w:szCs w:val="24"/>
                  <w:lang w:eastAsia="lt-LT"/>
                </w:rPr>
              </w:pPr>
              <w:sdt>
                <w:sdtPr>
                  <w:alias w:val="Numeris"/>
                  <w:tag w:val="nr_59bd5d2f0e05493ab6670fdffad04813"/>
                  <w:lock w:val="sdtLocked"/>
                  <w:richText/>
                </w:sdtPr>
                <w:sdtContent>
                  <w:r>
                    <w:rPr>
                      <w:b/>
                      <w:szCs w:val="24"/>
                      <w:lang w:eastAsia="lt-LT"/>
                    </w:rPr>
                    <w:t>II</w:t>
                  </w:r>
                </w:sdtContent>
              </w:sdt>
              <w:r>
                <w:rPr>
                  <w:b/>
                  <w:szCs w:val="24"/>
                  <w:lang w:eastAsia="lt-LT"/>
                </w:rPr>
                <w:t xml:space="preserve"> SKYRIUS</w:t>
              </w:r>
            </w:p>
            <w:p>
              <w:pPr>
                <w:tabs>
                  <w:tab w:val="left" w:pos="1134"/>
                </w:tabs>
                <w:suppressAutoHyphens/>
                <w:ind w:firstLine="567"/>
                <w:jc w:val="center"/>
                <w:rPr>
                  <w:b/>
                  <w:szCs w:val="24"/>
                  <w:lang w:eastAsia="lt-LT"/>
                </w:rPr>
              </w:pPr>
              <w:sdt>
                <w:sdtPr>
                  <w:alias w:val="Pavadinimas"/>
                  <w:tag w:val="title_59bd5d2f0e05493ab6670fdffad04813"/>
                  <w:lock w:val="sdtLocked"/>
                  <w:richText/>
                </w:sdtPr>
                <w:sdtContent>
                  <w:r>
                    <w:rPr>
                      <w:b/>
                      <w:szCs w:val="24"/>
                      <w:lang w:eastAsia="lt-LT"/>
                    </w:rPr>
                    <w:t>PERDIRBTŲ PADANGŲ ATLIEKŲ NEBELAIKYMAS ATLIEKOMIS</w:t>
                  </w:r>
                </w:sdtContent>
              </w:sdt>
            </w:p>
            <w:p>
              <w:pPr>
                <w:tabs>
                  <w:tab w:val="left" w:pos="1134"/>
                </w:tabs>
                <w:suppressAutoHyphens/>
                <w:ind w:firstLine="567"/>
                <w:jc w:val="center"/>
                <w:rPr>
                  <w:b/>
                  <w:szCs w:val="24"/>
                  <w:lang w:eastAsia="lt-LT"/>
                </w:rPr>
              </w:pPr>
            </w:p>
            <w:sdt>
              <w:sdtPr>
                <w:alias w:val="3 p."/>
                <w:tag w:val="part_3a34d8eb4ef14195ad1772e0a8022bfe"/>
                <w:lock w:val="sdtLocked"/>
                <w:richText/>
              </w:sdtPr>
              <w:sdtContent>
                <w:p>
                  <w:pPr>
                    <w:tabs>
                      <w:tab w:val="left" w:pos="851"/>
                    </w:tabs>
                    <w:suppressAutoHyphens/>
                    <w:ind w:firstLine="567"/>
                    <w:jc w:val="both"/>
                    <w:rPr>
                      <w:szCs w:val="24"/>
                      <w:lang w:eastAsia="lt-LT"/>
                    </w:rPr>
                  </w:pPr>
                  <w:sdt>
                    <w:sdtPr>
                      <w:alias w:val="Numeris"/>
                      <w:tag w:val="nr_3a34d8eb4ef14195ad1772e0a8022bfe"/>
                      <w:lock w:val="sdtLocked"/>
                      <w:richText/>
                    </w:sdtPr>
                    <w:sdtContent>
                      <w:r>
                        <w:rPr>
                          <w:rFonts w:eastAsia="Arial"/>
                          <w:spacing w:val="-4"/>
                          <w:w w:val="101"/>
                          <w:szCs w:val="24"/>
                        </w:rPr>
                        <w:t>3</w:t>
                      </w:r>
                    </w:sdtContent>
                  </w:sdt>
                  <w:r>
                    <w:rPr>
                      <w:rFonts w:eastAsia="Arial"/>
                      <w:spacing w:val="-4"/>
                      <w:w w:val="101"/>
                      <w:szCs w:val="24"/>
                    </w:rPr>
                    <w:t>.</w:t>
                    <w:tab/>
                  </w:r>
                  <w:r>
                    <w:rPr>
                      <w:szCs w:val="24"/>
                      <w:lang w:eastAsia="lt-LT"/>
                    </w:rPr>
                    <w:t>Perdirbtos padangų atliekos nelaikomos atliekomis, jei</w:t>
                  </w:r>
                  <w:r>
                    <w:rPr>
                      <w:bCs/>
                      <w:color w:val="000000"/>
                      <w:szCs w:val="24"/>
                      <w:lang w:eastAsia="lt-LT"/>
                    </w:rPr>
                    <w:t xml:space="preserve"> </w:t>
                  </w:r>
                  <w:r>
                    <w:rPr>
                      <w:szCs w:val="24"/>
                      <w:lang w:eastAsia="lt-LT"/>
                    </w:rPr>
                    <w:t>atitinka Aprašo 1 priede nustatytus kriterijus.</w:t>
                  </w:r>
                </w:p>
              </w:sdtContent>
            </w:sdt>
            <w:sdt>
              <w:sdtPr>
                <w:alias w:val="4 p."/>
                <w:tag w:val="part_7b344853cb1b4982bf686010439b7974"/>
                <w:lock w:val="sdtLocked"/>
                <w:richText/>
              </w:sdtPr>
              <w:sdtContent>
                <w:p>
                  <w:pPr>
                    <w:tabs>
                      <w:tab w:val="left" w:pos="851"/>
                    </w:tabs>
                    <w:suppressAutoHyphens/>
                    <w:ind w:firstLine="568"/>
                    <w:jc w:val="both"/>
                    <w:rPr>
                      <w:szCs w:val="24"/>
                      <w:lang w:eastAsia="lt-LT"/>
                    </w:rPr>
                  </w:pPr>
                  <w:sdt>
                    <w:sdtPr>
                      <w:alias w:val="Numeris"/>
                      <w:tag w:val="nr_7b344853cb1b4982bf686010439b7974"/>
                      <w:lock w:val="sdtLocked"/>
                      <w:richText/>
                    </w:sdtPr>
                    <w:sdtContent>
                      <w:r>
                        <w:rPr>
                          <w:rFonts w:eastAsia="Arial"/>
                          <w:spacing w:val="-4"/>
                          <w:w w:val="101"/>
                          <w:szCs w:val="24"/>
                        </w:rPr>
                        <w:t>4</w:t>
                      </w:r>
                    </w:sdtContent>
                  </w:sdt>
                  <w:r>
                    <w:rPr>
                      <w:rFonts w:eastAsia="Arial"/>
                      <w:spacing w:val="-4"/>
                      <w:w w:val="101"/>
                      <w:szCs w:val="24"/>
                    </w:rPr>
                    <w:t>.</w:t>
                    <w:tab/>
                  </w:r>
                  <w:r>
                    <w:rPr>
                      <w:szCs w:val="24"/>
                      <w:lang w:eastAsia="lt-LT"/>
                    </w:rPr>
                    <w:t>Iš mechaniniu būdu (pvz., šlifavimas, granuliavimas, traiškymas, smulkinimas, pjaustymas) perdirbtų padangų atliekų gaunama gumos medžiaga (toliau – padangų gumos antrinė žaliava) priskiriama vienai iš šių medžiagų rūšių:</w:t>
                  </w:r>
                </w:p>
                <w:sdt>
                  <w:sdtPr>
                    <w:alias w:val="4.1 pp."/>
                    <w:tag w:val="part_10b9ef44989249e19390c338ba4545cc"/>
                    <w:lock w:val="sdtLocked"/>
                    <w:richText/>
                  </w:sdtPr>
                  <w:sdtContent>
                    <w:p>
                      <w:pPr>
                        <w:tabs>
                          <w:tab w:val="left" w:pos="1134"/>
                        </w:tabs>
                        <w:suppressAutoHyphens/>
                        <w:ind w:firstLine="567"/>
                        <w:jc w:val="both"/>
                        <w:rPr>
                          <w:szCs w:val="24"/>
                          <w:lang w:eastAsia="lt-LT"/>
                        </w:rPr>
                      </w:pPr>
                      <w:sdt>
                        <w:sdtPr>
                          <w:alias w:val="Numeris"/>
                          <w:tag w:val="nr_10b9ef44989249e19390c338ba4545cc"/>
                          <w:lock w:val="sdtLocked"/>
                          <w:richText/>
                        </w:sdtPr>
                        <w:sdtContent>
                          <w:r>
                            <w:rPr>
                              <w:rFonts w:eastAsia="Arial"/>
                              <w:spacing w:val="-4"/>
                              <w:w w:val="101"/>
                              <w:szCs w:val="24"/>
                            </w:rPr>
                            <w:t>4.1</w:t>
                          </w:r>
                        </w:sdtContent>
                      </w:sdt>
                      <w:r>
                        <w:rPr>
                          <w:rFonts w:eastAsia="Arial"/>
                          <w:spacing w:val="-4"/>
                          <w:w w:val="101"/>
                          <w:szCs w:val="24"/>
                        </w:rPr>
                        <w:t>.</w:t>
                        <w:tab/>
                      </w:r>
                      <w:r>
                        <w:rPr>
                          <w:szCs w:val="24"/>
                          <w:lang w:eastAsia="lt-LT"/>
                        </w:rPr>
                        <w:t>gumos milteliai</w:t>
                      </w:r>
                      <w:r>
                        <w:rPr>
                          <w:spacing w:val="-6"/>
                          <w:szCs w:val="24"/>
                          <w:lang w:eastAsia="lt-LT"/>
                        </w:rPr>
                        <w:t xml:space="preserve"> </w:t>
                      </w:r>
                      <w:r>
                        <w:rPr>
                          <w:szCs w:val="24"/>
                          <w:lang w:eastAsia="lt-LT"/>
                        </w:rPr>
                        <w:t xml:space="preserve">– </w:t>
                      </w:r>
                      <w:r>
                        <w:rPr>
                          <w:szCs w:val="24"/>
                          <w:shd w:val="clear" w:color="auto" w:fill="FFFFFF"/>
                          <w:lang w:eastAsia="lt-LT"/>
                        </w:rPr>
                        <w:t>šlifuojant padangų atliekas gaunama gumos medžiaga, kurios dalelių dydis ne didesnis nei 0,8 milimetro (mm)</w:t>
                      </w:r>
                      <w:r>
                        <w:rPr>
                          <w:szCs w:val="24"/>
                          <w:lang w:eastAsia="lt-LT"/>
                        </w:rPr>
                        <w:t>;</w:t>
                      </w:r>
                    </w:p>
                  </w:sdtContent>
                </w:sdt>
                <w:sdt>
                  <w:sdtPr>
                    <w:alias w:val="4.2 pp."/>
                    <w:tag w:val="part_53ac44a687394a3594a72bc441c529c4"/>
                    <w:lock w:val="sdtLocked"/>
                    <w:richText/>
                  </w:sdtPr>
                  <w:sdtContent>
                    <w:p>
                      <w:pPr>
                        <w:tabs>
                          <w:tab w:val="left" w:pos="851"/>
                          <w:tab w:val="left" w:pos="1134"/>
                        </w:tabs>
                        <w:suppressAutoHyphens/>
                        <w:ind w:firstLine="567"/>
                        <w:jc w:val="both"/>
                        <w:rPr>
                          <w:szCs w:val="24"/>
                          <w:lang w:eastAsia="lt-LT"/>
                        </w:rPr>
                      </w:pPr>
                      <w:sdt>
                        <w:sdtPr>
                          <w:alias w:val="Numeris"/>
                          <w:tag w:val="nr_53ac44a687394a3594a72bc441c529c4"/>
                          <w:lock w:val="sdtLocked"/>
                          <w:richText/>
                        </w:sdtPr>
                        <w:sdtContent>
                          <w:r>
                            <w:rPr>
                              <w:rFonts w:eastAsia="Arial"/>
                              <w:spacing w:val="-4"/>
                              <w:w w:val="101"/>
                              <w:szCs w:val="24"/>
                            </w:rPr>
                            <w:t>4.2</w:t>
                          </w:r>
                        </w:sdtContent>
                      </w:sdt>
                      <w:r>
                        <w:rPr>
                          <w:rFonts w:eastAsia="Arial"/>
                          <w:spacing w:val="-4"/>
                          <w:w w:val="101"/>
                          <w:szCs w:val="24"/>
                        </w:rPr>
                        <w:t>.</w:t>
                        <w:tab/>
                      </w:r>
                      <w:r>
                        <w:rPr>
                          <w:szCs w:val="24"/>
                          <w:lang w:eastAsia="lt-LT"/>
                        </w:rPr>
                        <w:t xml:space="preserve">gumos </w:t>
                      </w:r>
                      <w:r>
                        <w:rPr>
                          <w:spacing w:val="-3"/>
                          <w:szCs w:val="24"/>
                          <w:lang w:eastAsia="lt-LT"/>
                        </w:rPr>
                        <w:t xml:space="preserve">granulės </w:t>
                      </w:r>
                      <w:r>
                        <w:rPr>
                          <w:szCs w:val="24"/>
                          <w:lang w:eastAsia="lt-LT"/>
                        </w:rPr>
                        <w:t>–</w:t>
                      </w:r>
                      <w:r>
                        <w:rPr>
                          <w:szCs w:val="24"/>
                          <w:shd w:val="clear" w:color="auto" w:fill="FFFFFF"/>
                          <w:lang w:eastAsia="lt-LT"/>
                        </w:rPr>
                        <w:t xml:space="preserve"> granuliuojant padangų atliekas gaunama gumos medžiaga, kurios dalelių dydis – nuo 0,9 mm iki 20 mm;</w:t>
                      </w:r>
                    </w:p>
                  </w:sdtContent>
                </w:sdt>
                <w:sdt>
                  <w:sdtPr>
                    <w:alias w:val="4.3 pp."/>
                    <w:tag w:val="part_92eebf65b496462c83471e9e2a365001"/>
                    <w:lock w:val="sdtLocked"/>
                    <w:richText/>
                  </w:sdtPr>
                  <w:sdtContent>
                    <w:p>
                      <w:pPr>
                        <w:tabs>
                          <w:tab w:val="left" w:pos="1134"/>
                        </w:tabs>
                        <w:suppressAutoHyphens/>
                        <w:ind w:firstLine="567"/>
                        <w:jc w:val="both"/>
                        <w:rPr>
                          <w:szCs w:val="24"/>
                          <w:lang w:eastAsia="lt-LT"/>
                        </w:rPr>
                      </w:pPr>
                      <w:sdt>
                        <w:sdtPr>
                          <w:alias w:val="Numeris"/>
                          <w:tag w:val="nr_92eebf65b496462c83471e9e2a365001"/>
                          <w:lock w:val="sdtLocked"/>
                          <w:richText/>
                        </w:sdtPr>
                        <w:sdtContent>
                          <w:r>
                            <w:rPr>
                              <w:rFonts w:eastAsia="Arial"/>
                              <w:spacing w:val="-4"/>
                              <w:w w:val="101"/>
                              <w:szCs w:val="24"/>
                            </w:rPr>
                            <w:t>4.3</w:t>
                          </w:r>
                        </w:sdtContent>
                      </w:sdt>
                      <w:r>
                        <w:rPr>
                          <w:rFonts w:eastAsia="Arial"/>
                          <w:spacing w:val="-4"/>
                          <w:w w:val="101"/>
                          <w:szCs w:val="24"/>
                        </w:rPr>
                        <w:t>.</w:t>
                        <w:tab/>
                      </w:r>
                      <w:r>
                        <w:rPr>
                          <w:szCs w:val="24"/>
                          <w:shd w:val="clear" w:color="auto" w:fill="FFFFFF"/>
                          <w:lang w:eastAsia="lt-LT"/>
                        </w:rPr>
                        <w:t xml:space="preserve">gumos skaidulos </w:t>
                      </w:r>
                      <w:r>
                        <w:rPr>
                          <w:szCs w:val="24"/>
                          <w:lang w:eastAsia="lt-LT"/>
                        </w:rPr>
                        <w:t>–</w:t>
                      </w:r>
                      <w:r>
                        <w:rPr>
                          <w:szCs w:val="24"/>
                          <w:shd w:val="clear" w:color="auto" w:fill="FFFFFF"/>
                          <w:lang w:eastAsia="lt-LT"/>
                        </w:rPr>
                        <w:t xml:space="preserve"> traiškant ar smulkinant padangų atliekas gaunama tekstilės priedų galimai turinti gumos medžiaga, kurios netaisyklingos formos dalelių dydis – nuo 10</w:t>
                      </w:r>
                      <w:r>
                        <w:rPr>
                          <w:szCs w:val="24"/>
                          <w:lang w:eastAsia="lt-LT"/>
                        </w:rPr>
                        <w:t xml:space="preserve"> mm iki </w:t>
                      </w:r>
                      <w:r>
                        <w:rPr>
                          <w:szCs w:val="24"/>
                          <w:shd w:val="clear" w:color="auto" w:fill="FFFFFF"/>
                          <w:lang w:eastAsia="lt-LT"/>
                        </w:rPr>
                        <w:t>50 mm;</w:t>
                      </w:r>
                    </w:p>
                  </w:sdtContent>
                </w:sdt>
                <w:sdt>
                  <w:sdtPr>
                    <w:alias w:val="4.4 pp."/>
                    <w:tag w:val="part_6c27010df3054a41a6c2c294143b6122"/>
                    <w:lock w:val="sdtLocked"/>
                    <w:richText/>
                  </w:sdtPr>
                  <w:sdtContent>
                    <w:p>
                      <w:pPr>
                        <w:tabs>
                          <w:tab w:val="left" w:pos="1134"/>
                        </w:tabs>
                        <w:suppressAutoHyphens/>
                        <w:ind w:firstLine="567"/>
                        <w:jc w:val="both"/>
                        <w:rPr>
                          <w:szCs w:val="24"/>
                          <w:lang w:eastAsia="lt-LT"/>
                        </w:rPr>
                      </w:pPr>
                      <w:sdt>
                        <w:sdtPr>
                          <w:alias w:val="Numeris"/>
                          <w:tag w:val="nr_6c27010df3054a41a6c2c294143b6122"/>
                          <w:lock w:val="sdtLocked"/>
                          <w:richText/>
                        </w:sdtPr>
                        <w:sdtContent>
                          <w:r>
                            <w:rPr>
                              <w:rFonts w:eastAsia="Arial"/>
                              <w:spacing w:val="-4"/>
                              <w:w w:val="101"/>
                              <w:szCs w:val="24"/>
                            </w:rPr>
                            <w:t>4.4</w:t>
                          </w:r>
                        </w:sdtContent>
                      </w:sdt>
                      <w:r>
                        <w:rPr>
                          <w:rFonts w:eastAsia="Arial"/>
                          <w:spacing w:val="-4"/>
                          <w:w w:val="101"/>
                          <w:szCs w:val="24"/>
                        </w:rPr>
                        <w:t>.</w:t>
                        <w:tab/>
                      </w:r>
                      <w:r>
                        <w:rPr>
                          <w:szCs w:val="24"/>
                          <w:shd w:val="clear" w:color="auto" w:fill="FFFFFF"/>
                          <w:lang w:eastAsia="lt-LT"/>
                        </w:rPr>
                        <w:t xml:space="preserve">susmulkinta guma </w:t>
                      </w:r>
                      <w:r>
                        <w:rPr>
                          <w:szCs w:val="24"/>
                          <w:lang w:eastAsia="lt-LT"/>
                        </w:rPr>
                        <w:t>–</w:t>
                      </w:r>
                      <w:r>
                        <w:rPr>
                          <w:szCs w:val="24"/>
                          <w:shd w:val="clear" w:color="auto" w:fill="FFFFFF"/>
                          <w:lang w:eastAsia="lt-LT"/>
                        </w:rPr>
                        <w:t xml:space="preserve"> traiškant ar smulkinant padangų atliekas gaunama tekstilės priedų galimai turinti gumos medžiaga, kurios netaisyklingos formos dalelių dydis – nuo 50 mm iki 300 mm;</w:t>
                      </w:r>
                    </w:p>
                  </w:sdtContent>
                </w:sdt>
                <w:sdt>
                  <w:sdtPr>
                    <w:alias w:val="4.5 pp."/>
                    <w:tag w:val="part_f4c4531200704eea870f316de9b3c7de"/>
                    <w:lock w:val="sdtLocked"/>
                    <w:richText/>
                  </w:sdtPr>
                  <w:sdtContent>
                    <w:p>
                      <w:pPr>
                        <w:tabs>
                          <w:tab w:val="left" w:pos="1134"/>
                        </w:tabs>
                        <w:suppressAutoHyphens/>
                        <w:ind w:firstLine="567"/>
                        <w:jc w:val="both"/>
                        <w:rPr>
                          <w:szCs w:val="24"/>
                          <w:lang w:eastAsia="lt-LT"/>
                        </w:rPr>
                      </w:pPr>
                      <w:sdt>
                        <w:sdtPr>
                          <w:alias w:val="Numeris"/>
                          <w:tag w:val="nr_f4c4531200704eea870f316de9b3c7de"/>
                          <w:lock w:val="sdtLocked"/>
                          <w:richText/>
                        </w:sdtPr>
                        <w:sdtContent>
                          <w:r>
                            <w:rPr>
                              <w:rFonts w:eastAsia="Arial"/>
                              <w:spacing w:val="-4"/>
                              <w:w w:val="101"/>
                              <w:szCs w:val="24"/>
                            </w:rPr>
                            <w:t>4.5</w:t>
                          </w:r>
                        </w:sdtContent>
                      </w:sdt>
                      <w:r>
                        <w:rPr>
                          <w:rFonts w:eastAsia="Arial"/>
                          <w:spacing w:val="-4"/>
                          <w:w w:val="101"/>
                          <w:szCs w:val="24"/>
                        </w:rPr>
                        <w:t>.</w:t>
                        <w:tab/>
                      </w:r>
                      <w:r>
                        <w:rPr>
                          <w:szCs w:val="24"/>
                          <w:shd w:val="clear" w:color="auto" w:fill="FFFFFF"/>
                          <w:lang w:eastAsia="lt-LT"/>
                        </w:rPr>
                        <w:t xml:space="preserve">gumos liekanos </w:t>
                      </w:r>
                      <w:r>
                        <w:rPr>
                          <w:szCs w:val="24"/>
                          <w:lang w:eastAsia="lt-LT"/>
                        </w:rPr>
                        <w:t>–</w:t>
                      </w:r>
                      <w:r>
                        <w:rPr>
                          <w:szCs w:val="24"/>
                          <w:shd w:val="clear" w:color="auto" w:fill="FFFFFF"/>
                          <w:lang w:eastAsia="lt-LT"/>
                        </w:rPr>
                        <w:t xml:space="preserve"> traiškant, smulkinant ar pjaunant padangų atliekas gaunama tekstilės priedų galimai turinti gumos medžiaga, kurios netaisyklingos formos dalelių dydis – nuo 300 mm iki 500 mm.</w:t>
                      </w:r>
                    </w:p>
                  </w:sdtContent>
                </w:sdt>
              </w:sdtContent>
            </w:sdt>
            <w:sdt>
              <w:sdtPr>
                <w:alias w:val="5 p."/>
                <w:tag w:val="part_e1af341c38394b11a8a3957c0b0c7731"/>
                <w:lock w:val="sdtLocked"/>
                <w:richText/>
              </w:sdtPr>
              <w:sdtContent>
                <w:p>
                  <w:pPr>
                    <w:tabs>
                      <w:tab w:val="left" w:pos="993"/>
                    </w:tabs>
                    <w:suppressAutoHyphens/>
                    <w:ind w:firstLine="567"/>
                    <w:jc w:val="both"/>
                    <w:rPr>
                      <w:spacing w:val="-3"/>
                      <w:szCs w:val="24"/>
                      <w:lang w:eastAsia="lt-LT"/>
                    </w:rPr>
                  </w:pPr>
                  <w:sdt>
                    <w:sdtPr>
                      <w:alias w:val="Numeris"/>
                      <w:tag w:val="nr_e1af341c38394b11a8a3957c0b0c7731"/>
                      <w:lock w:val="sdtLocked"/>
                      <w:richText/>
                    </w:sdtPr>
                    <w:sdtContent>
                      <w:r>
                        <w:rPr>
                          <w:rFonts w:eastAsia="Arial"/>
                          <w:spacing w:val="-4"/>
                          <w:w w:val="101"/>
                          <w:szCs w:val="24"/>
                        </w:rPr>
                        <w:t>5</w:t>
                      </w:r>
                    </w:sdtContent>
                  </w:sdt>
                  <w:r>
                    <w:rPr>
                      <w:rFonts w:eastAsia="Arial"/>
                      <w:spacing w:val="-4"/>
                      <w:w w:val="101"/>
                      <w:szCs w:val="24"/>
                    </w:rPr>
                    <w:t>.</w:t>
                    <w:tab/>
                  </w:r>
                  <w:r>
                    <w:rPr>
                      <w:szCs w:val="24"/>
                      <w:lang w:eastAsia="lt-LT"/>
                    </w:rPr>
                    <w:t>Padangų gumos antrinių žaliavų</w:t>
                  </w:r>
                  <w:r>
                    <w:rPr>
                      <w:spacing w:val="-9"/>
                      <w:szCs w:val="24"/>
                      <w:lang w:eastAsia="lt-LT"/>
                    </w:rPr>
                    <w:t xml:space="preserve"> gamintojas parengia ir išduoda perdirbtų </w:t>
                  </w:r>
                  <w:r>
                    <w:rPr>
                      <w:spacing w:val="-3"/>
                      <w:szCs w:val="24"/>
                      <w:lang w:eastAsia="lt-LT"/>
                    </w:rPr>
                    <w:t>padangų atliekų nebelaikymo atliekomis atitikties deklaraciją</w:t>
                  </w:r>
                  <w:r>
                    <w:rPr>
                      <w:szCs w:val="24"/>
                      <w:lang w:eastAsia="lt-LT"/>
                    </w:rPr>
                    <w:t xml:space="preserve"> pagal Aprašo 2 priede nustatytą formą </w:t>
                  </w:r>
                  <w:r>
                    <w:rPr>
                      <w:spacing w:val="-3"/>
                      <w:szCs w:val="24"/>
                      <w:lang w:eastAsia="lt-LT"/>
                    </w:rPr>
                    <w:t>(toliau –</w:t>
                  </w:r>
                  <w:r>
                    <w:rPr>
                      <w:szCs w:val="24"/>
                      <w:lang w:eastAsia="lt-LT"/>
                    </w:rPr>
                    <w:t xml:space="preserve"> deklaracija). </w:t>
                  </w:r>
                  <w:r>
                    <w:rPr>
                      <w:spacing w:val="-3"/>
                      <w:szCs w:val="24"/>
                      <w:lang w:eastAsia="lt-LT"/>
                    </w:rPr>
                    <w:t>Padangų gumos antrinių žaliavų gamintojas užpildydamas deklaraciją patvirtina, kad perdirbtos padangų atliekos atitinka perdirbtų padangų atliekų nebelaikymo atliekomis kriterijus, nurodytus Aprašo 1 priede.</w:t>
                  </w:r>
                </w:p>
              </w:sdtContent>
            </w:sdt>
            <w:sdt>
              <w:sdtPr>
                <w:alias w:val="6 p."/>
                <w:tag w:val="part_4b6e0fc7de684e04a2527e3afca3d878"/>
                <w:lock w:val="sdtLocked"/>
                <w:richText/>
              </w:sdtPr>
              <w:sdtContent>
                <w:p>
                  <w:pPr>
                    <w:tabs>
                      <w:tab w:val="left" w:pos="615"/>
                      <w:tab w:val="left" w:pos="851"/>
                    </w:tabs>
                    <w:suppressAutoHyphens/>
                    <w:ind w:firstLine="567"/>
                    <w:jc w:val="both"/>
                    <w:rPr>
                      <w:szCs w:val="24"/>
                      <w:lang w:eastAsia="lt-LT"/>
                    </w:rPr>
                  </w:pPr>
                  <w:sdt>
                    <w:sdtPr>
                      <w:alias w:val="Numeris"/>
                      <w:tag w:val="nr_4b6e0fc7de684e04a2527e3afca3d878"/>
                      <w:lock w:val="sdtLocked"/>
                      <w:richText/>
                    </w:sdtPr>
                    <w:sdtContent>
                      <w:r>
                        <w:rPr>
                          <w:rFonts w:eastAsia="Arial"/>
                          <w:spacing w:val="-4"/>
                          <w:w w:val="101"/>
                          <w:szCs w:val="24"/>
                        </w:rPr>
                        <w:t>6</w:t>
                      </w:r>
                    </w:sdtContent>
                  </w:sdt>
                  <w:r>
                    <w:rPr>
                      <w:rFonts w:eastAsia="Arial"/>
                      <w:spacing w:val="-4"/>
                      <w:w w:val="101"/>
                      <w:szCs w:val="24"/>
                    </w:rPr>
                    <w:t>.</w:t>
                    <w:tab/>
                  </w:r>
                  <w:r>
                    <w:rPr>
                      <w:szCs w:val="24"/>
                      <w:lang w:eastAsia="lt-LT"/>
                    </w:rPr>
                    <w:t>Padangų gumos antrinės žaliavos laikomos atliekomis ir turi būti perduotos atliekų tvarkytojams, turintiems teisę tvarkyti tokias atliekas, jei</w:t>
                  </w:r>
                  <w:r>
                    <w:rPr>
                      <w:color w:val="000000"/>
                      <w:szCs w:val="24"/>
                      <w:lang w:eastAsia="lt-LT"/>
                    </w:rPr>
                    <w:t xml:space="preserve"> jos</w:t>
                  </w:r>
                  <w:r>
                    <w:rPr>
                      <w:szCs w:val="24"/>
                      <w:lang w:eastAsia="lt-LT"/>
                    </w:rPr>
                    <w:t>:</w:t>
                  </w:r>
                </w:p>
                <w:sdt>
                  <w:sdtPr>
                    <w:alias w:val="6.1 pp."/>
                    <w:tag w:val="part_ac7812739bb84e0c895eb6fdeecd0d33"/>
                    <w:lock w:val="sdtLocked"/>
                    <w:richText/>
                  </w:sdtPr>
                  <w:sdtContent>
                    <w:p>
                      <w:pPr>
                        <w:tabs>
                          <w:tab w:val="left" w:pos="1041"/>
                        </w:tabs>
                        <w:suppressAutoHyphens/>
                        <w:ind w:firstLine="567"/>
                        <w:jc w:val="both"/>
                        <w:rPr>
                          <w:szCs w:val="24"/>
                          <w:lang w:eastAsia="lt-LT"/>
                        </w:rPr>
                      </w:pPr>
                      <w:sdt>
                        <w:sdtPr>
                          <w:alias w:val="Numeris"/>
                          <w:tag w:val="nr_ac7812739bb84e0c895eb6fdeecd0d33"/>
                          <w:lock w:val="sdtLocked"/>
                          <w:richText/>
                        </w:sdtPr>
                        <w:sdtContent>
                          <w:r>
                            <w:rPr>
                              <w:rFonts w:eastAsia="Arial"/>
                              <w:spacing w:val="-4"/>
                              <w:w w:val="101"/>
                              <w:szCs w:val="24"/>
                            </w:rPr>
                            <w:t>6.1</w:t>
                          </w:r>
                        </w:sdtContent>
                      </w:sdt>
                      <w:r>
                        <w:rPr>
                          <w:rFonts w:eastAsia="Arial"/>
                          <w:spacing w:val="-4"/>
                          <w:w w:val="101"/>
                          <w:szCs w:val="24"/>
                        </w:rPr>
                        <w:t>.</w:t>
                        <w:tab/>
                      </w:r>
                      <w:r>
                        <w:rPr>
                          <w:color w:val="000000"/>
                          <w:szCs w:val="24"/>
                          <w:lang w:eastAsia="lt-LT"/>
                        </w:rPr>
                        <w:t>skirtos energijai gauti ir (ar) perdirbti į medžiagas, kurios naudojamos kaip kuras, užpildas ar perdengimas;</w:t>
                      </w:r>
                    </w:p>
                  </w:sdtContent>
                </w:sdt>
                <w:sdt>
                  <w:sdtPr>
                    <w:alias w:val="6.2 pp."/>
                    <w:tag w:val="part_b0e50d7fc993430f895b712f7385f0c5"/>
                    <w:lock w:val="sdtLocked"/>
                    <w:richText/>
                  </w:sdtPr>
                  <w:sdtContent>
                    <w:p>
                      <w:pPr>
                        <w:tabs>
                          <w:tab w:val="left" w:pos="1041"/>
                        </w:tabs>
                        <w:suppressAutoHyphens/>
                        <w:ind w:firstLine="567"/>
                        <w:jc w:val="both"/>
                        <w:rPr>
                          <w:szCs w:val="24"/>
                          <w:lang w:eastAsia="lt-LT"/>
                        </w:rPr>
                      </w:pPr>
                      <w:sdt>
                        <w:sdtPr>
                          <w:alias w:val="Numeris"/>
                          <w:tag w:val="nr_b0e50d7fc993430f895b712f7385f0c5"/>
                          <w:lock w:val="sdtLocked"/>
                          <w:richText/>
                        </w:sdtPr>
                        <w:sdtContent>
                          <w:r>
                            <w:rPr>
                              <w:rFonts w:eastAsia="Arial"/>
                              <w:spacing w:val="-4"/>
                              <w:w w:val="101"/>
                              <w:szCs w:val="24"/>
                            </w:rPr>
                            <w:t>6.2</w:t>
                          </w:r>
                        </w:sdtContent>
                      </w:sdt>
                      <w:r>
                        <w:rPr>
                          <w:rFonts w:eastAsia="Arial"/>
                          <w:spacing w:val="-4"/>
                          <w:w w:val="101"/>
                          <w:szCs w:val="24"/>
                        </w:rPr>
                        <w:t>.</w:t>
                        <w:tab/>
                      </w:r>
                      <w:r>
                        <w:rPr>
                          <w:szCs w:val="24"/>
                          <w:lang w:eastAsia="lt-LT"/>
                        </w:rPr>
                        <w:t>skirtos atliekų šalinimo veiklai;</w:t>
                      </w:r>
                    </w:p>
                  </w:sdtContent>
                </w:sdt>
                <w:sdt>
                  <w:sdtPr>
                    <w:alias w:val="6.3 pp."/>
                    <w:tag w:val="part_cf6a8639c2574ed4953926670e80e668"/>
                    <w:lock w:val="sdtLocked"/>
                    <w:richText/>
                  </w:sdtPr>
                  <w:sdtContent>
                    <w:p>
                      <w:pPr>
                        <w:tabs>
                          <w:tab w:val="left" w:pos="1041"/>
                        </w:tabs>
                        <w:suppressAutoHyphens/>
                        <w:ind w:firstLine="567"/>
                        <w:jc w:val="both"/>
                        <w:rPr>
                          <w:szCs w:val="24"/>
                          <w:lang w:eastAsia="lt-LT"/>
                        </w:rPr>
                      </w:pPr>
                      <w:sdt>
                        <w:sdtPr>
                          <w:alias w:val="Numeris"/>
                          <w:tag w:val="nr_cf6a8639c2574ed4953926670e80e668"/>
                          <w:lock w:val="sdtLocked"/>
                          <w:richText/>
                        </w:sdtPr>
                        <w:sdtContent>
                          <w:r>
                            <w:rPr>
                              <w:rFonts w:eastAsia="Arial"/>
                              <w:spacing w:val="-4"/>
                              <w:w w:val="101"/>
                              <w:szCs w:val="24"/>
                            </w:rPr>
                            <w:t>6.3</w:t>
                          </w:r>
                        </w:sdtContent>
                      </w:sdt>
                      <w:r>
                        <w:rPr>
                          <w:rFonts w:eastAsia="Arial"/>
                          <w:spacing w:val="-4"/>
                          <w:w w:val="101"/>
                          <w:szCs w:val="24"/>
                        </w:rPr>
                        <w:t>.</w:t>
                        <w:tab/>
                      </w:r>
                      <w:r>
                        <w:rPr>
                          <w:szCs w:val="24"/>
                          <w:shd w:val="clear" w:color="auto" w:fill="FFFFFF"/>
                          <w:lang w:eastAsia="lt-LT"/>
                        </w:rPr>
                        <w:t>skirtos naudoti pirolizės, plazmolizės, dujinimo ir panašaus technologinio proceso metu, kai pakeičiamos gumos medžiagoms būdingos fizinės ir (ar) cheminės savybės;</w:t>
                      </w:r>
                    </w:p>
                  </w:sdtContent>
                </w:sdt>
                <w:sdt>
                  <w:sdtPr>
                    <w:alias w:val="6.4 pp."/>
                    <w:tag w:val="part_1c20e3f13c4a443290ee9bcaceea919f"/>
                    <w:lock w:val="sdtLocked"/>
                    <w:richText/>
                  </w:sdtPr>
                  <w:sdtContent>
                    <w:p>
                      <w:pPr>
                        <w:tabs>
                          <w:tab w:val="left" w:pos="1041"/>
                        </w:tabs>
                        <w:suppressAutoHyphens/>
                        <w:ind w:firstLine="567"/>
                        <w:jc w:val="both"/>
                        <w:rPr>
                          <w:szCs w:val="24"/>
                          <w:lang w:eastAsia="lt-LT"/>
                        </w:rPr>
                      </w:pPr>
                      <w:sdt>
                        <w:sdtPr>
                          <w:alias w:val="Numeris"/>
                          <w:tag w:val="nr_1c20e3f13c4a443290ee9bcaceea919f"/>
                          <w:lock w:val="sdtLocked"/>
                          <w:richText/>
                        </w:sdtPr>
                        <w:sdtContent>
                          <w:r>
                            <w:rPr>
                              <w:rFonts w:eastAsia="Arial"/>
                              <w:spacing w:val="-4"/>
                              <w:w w:val="101"/>
                              <w:szCs w:val="24"/>
                            </w:rPr>
                            <w:t>6.4</w:t>
                          </w:r>
                        </w:sdtContent>
                      </w:sdt>
                      <w:r>
                        <w:rPr>
                          <w:rFonts w:eastAsia="Arial"/>
                          <w:spacing w:val="-4"/>
                          <w:w w:val="101"/>
                          <w:szCs w:val="24"/>
                        </w:rPr>
                        <w:t>.</w:t>
                        <w:tab/>
                      </w:r>
                      <w:r>
                        <w:rPr>
                          <w:spacing w:val="-3"/>
                          <w:szCs w:val="24"/>
                          <w:lang w:eastAsia="lt-LT"/>
                        </w:rPr>
                        <w:t xml:space="preserve">nepanaudojamos pagal deklaracijoje nurodytą paskirtį </w:t>
                      </w:r>
                      <w:r>
                        <w:rPr>
                          <w:spacing w:val="-9"/>
                          <w:szCs w:val="24"/>
                          <w:lang w:eastAsia="lt-LT"/>
                        </w:rPr>
                        <w:t xml:space="preserve">ilgiau nei šešis mėnesius nuo deklaracijos išdavimo dienos </w:t>
                      </w:r>
                      <w:r>
                        <w:rPr>
                          <w:rFonts w:eastAsia="Courier New"/>
                          <w:szCs w:val="24"/>
                          <w:shd w:val="clear" w:color="auto" w:fill="FFFFFF"/>
                          <w:lang w:eastAsia="de-DE" w:bidi="de-DE"/>
                        </w:rPr>
                        <w:t xml:space="preserve">arba jei išdavus deklaraciją paaiškėja, kad </w:t>
                      </w:r>
                      <w:r>
                        <w:rPr>
                          <w:rFonts w:eastAsia="Courier New"/>
                          <w:bCs/>
                          <w:szCs w:val="24"/>
                          <w:shd w:val="clear" w:color="auto" w:fill="FFFFFF"/>
                          <w:lang w:eastAsia="de-DE" w:bidi="de-DE"/>
                        </w:rPr>
                        <w:t xml:space="preserve">joje pateikti melagingi duomenys arba ji išduota neteisėtai. Dėl objektyvių priežasčių (nenumatytų aplinkybių, kliūčių, gamtinių oro sąlygų) Aplinkos apsaugos departamento prie Aplinkos ministerijos (toliau – AAD) sprendimu </w:t>
                      </w:r>
                      <w:r>
                        <w:rPr>
                          <w:szCs w:val="24"/>
                          <w:lang w:eastAsia="lt-LT"/>
                        </w:rPr>
                        <w:t xml:space="preserve">padangų gumos antrinių žaliavų </w:t>
                      </w:r>
                      <w:r>
                        <w:rPr>
                          <w:rFonts w:eastAsia="Courier New"/>
                          <w:bCs/>
                          <w:szCs w:val="24"/>
                          <w:shd w:val="clear" w:color="auto" w:fill="FFFFFF"/>
                          <w:lang w:eastAsia="de-DE" w:bidi="de-DE"/>
                        </w:rPr>
                        <w:t xml:space="preserve">panaudojimo terminas gali būti pratęstas vieną kartą ne ilgiau kaip 3 mėnesiams. Prašymai pratęsti </w:t>
                      </w:r>
                      <w:r>
                        <w:rPr>
                          <w:szCs w:val="24"/>
                          <w:lang w:eastAsia="lt-LT"/>
                        </w:rPr>
                        <w:t xml:space="preserve">padangų gumos antrinių žaliavų </w:t>
                      </w:r>
                      <w:r>
                        <w:rPr>
                          <w:rFonts w:eastAsia="Courier New"/>
                          <w:bCs/>
                          <w:szCs w:val="24"/>
                          <w:shd w:val="clear" w:color="auto" w:fill="FFFFFF"/>
                          <w:lang w:eastAsia="de-DE" w:bidi="de-DE"/>
                        </w:rPr>
                        <w:t xml:space="preserve">panaudojimo terminą, užpildyti pagal Aprašo 3 priede nustatytą formą, nagrinėjami Lietuvos Respublikos viešojo administravimo įstatyme </w:t>
                      </w:r>
                      <w:r>
                        <w:rPr>
                          <w:szCs w:val="24"/>
                          <w:lang w:eastAsia="lt-LT"/>
                        </w:rPr>
                        <w:t xml:space="preserve">ir kituose teisės aktuose, reglamentuojančiuose viešąjį administravimą, nustatyta tvarka. </w:t>
                      </w:r>
                    </w:p>
                  </w:sdtContent>
                </w:sdt>
              </w:sdtContent>
            </w:sdt>
            <w:sdt>
              <w:sdtPr>
                <w:alias w:val="7 p."/>
                <w:tag w:val="part_47dd6904943e46c5bffef775e791e807"/>
                <w:lock w:val="sdtLocked"/>
                <w:richText/>
              </w:sdtPr>
              <w:sdtContent>
                <w:p>
                  <w:pPr>
                    <w:tabs>
                      <w:tab w:val="left" w:pos="851"/>
                    </w:tabs>
                    <w:suppressAutoHyphens/>
                    <w:ind w:firstLine="567"/>
                    <w:jc w:val="both"/>
                    <w:rPr>
                      <w:szCs w:val="24"/>
                      <w:lang w:eastAsia="lt-LT"/>
                    </w:rPr>
                  </w:pPr>
                  <w:sdt>
                    <w:sdtPr>
                      <w:alias w:val="Numeris"/>
                      <w:tag w:val="nr_47dd6904943e46c5bffef775e791e807"/>
                      <w:lock w:val="sdtLocked"/>
                      <w:richText/>
                    </w:sdtPr>
                    <w:sdtContent>
                      <w:r>
                        <w:rPr>
                          <w:rFonts w:eastAsia="Arial"/>
                          <w:spacing w:val="-4"/>
                          <w:w w:val="101"/>
                          <w:szCs w:val="24"/>
                        </w:rPr>
                        <w:t>7</w:t>
                      </w:r>
                    </w:sdtContent>
                  </w:sdt>
                  <w:r>
                    <w:rPr>
                      <w:rFonts w:eastAsia="Arial"/>
                      <w:spacing w:val="-4"/>
                      <w:w w:val="101"/>
                      <w:szCs w:val="24"/>
                    </w:rPr>
                    <w:t>.</w:t>
                    <w:tab/>
                  </w:r>
                  <w:r>
                    <w:rPr>
                      <w:szCs w:val="24"/>
                      <w:lang w:eastAsia="lt-LT"/>
                    </w:rPr>
                    <w:t xml:space="preserve">Padangų gumos antrinės žaliavos, atitinkančios Aprašo 6 punktą, tvarkomos Atliekų tvarkymo taisyklėse nustatyta tvarka, jų tvarkymo apskaita vykdoma </w:t>
                  </w:r>
                  <w:r>
                    <w:rPr>
                      <w:spacing w:val="-9"/>
                      <w:szCs w:val="24"/>
                      <w:lang w:eastAsia="lt-LT"/>
                    </w:rPr>
                    <w:t>Atliekų susidarymo ir tvarkymo apskaitos ir ataskaitų teikimo taisyklėse, patvirtintose Lietuvos Respublikos aplinkos ministro 2011 m. gegužės 3 d. įsakymu Nr. D1-367 „Dėl Atliekų susidarymo ir tvarkymo apskaitos ir ataskaitų teikimo taisyklių patvirtinimo“ (toliau –</w:t>
                  </w:r>
                  <w:r>
                    <w:rPr>
                      <w:szCs w:val="24"/>
                      <w:lang w:eastAsia="lt-LT"/>
                    </w:rPr>
                    <w:t xml:space="preserve"> Atliekų apskaitos taisyklės)</w:t>
                  </w:r>
                  <w:r>
                    <w:rPr>
                      <w:spacing w:val="-9"/>
                      <w:szCs w:val="24"/>
                      <w:lang w:eastAsia="lt-LT"/>
                    </w:rPr>
                    <w:t xml:space="preserve">, </w:t>
                  </w:r>
                  <w:r>
                    <w:rPr>
                      <w:szCs w:val="24"/>
                      <w:lang w:eastAsia="lt-LT"/>
                    </w:rPr>
                    <w:t>nustatyta tvarka.</w:t>
                  </w:r>
                </w:p>
              </w:sdtContent>
            </w:sdt>
            <w:sdt>
              <w:sdtPr>
                <w:alias w:val="8 p."/>
                <w:tag w:val="part_c2f4fb90cd0a49769a0dfe3a5e07535e"/>
                <w:lock w:val="sdtLocked"/>
                <w:richText/>
              </w:sdtPr>
              <w:sdtContent>
                <w:p>
                  <w:pPr>
                    <w:tabs>
                      <w:tab w:val="left" w:pos="851"/>
                    </w:tabs>
                    <w:suppressAutoHyphens/>
                    <w:ind w:firstLine="567"/>
                    <w:jc w:val="both"/>
                  </w:pPr>
                  <w:sdt>
                    <w:sdtPr>
                      <w:alias w:val="Numeris"/>
                      <w:tag w:val="nr_c2f4fb90cd0a49769a0dfe3a5e07535e"/>
                      <w:lock w:val="sdtLocked"/>
                      <w:richText/>
                    </w:sdtPr>
                    <w:sdtContent>
                      <w:r>
                        <w:rPr>
                          <w:rFonts w:eastAsia="Arial"/>
                          <w:spacing w:val="-4"/>
                          <w:w w:val="101"/>
                          <w:szCs w:val="24"/>
                        </w:rPr>
                        <w:t>8</w:t>
                      </w:r>
                    </w:sdtContent>
                  </w:sdt>
                  <w:r>
                    <w:rPr>
                      <w:rFonts w:eastAsia="Arial"/>
                      <w:spacing w:val="-4"/>
                      <w:w w:val="101"/>
                      <w:szCs w:val="24"/>
                    </w:rPr>
                    <w:t>.</w:t>
                    <w:tab/>
                  </w:r>
                  <w:r>
                    <w:rPr>
                      <w:szCs w:val="24"/>
                      <w:lang w:eastAsia="lt-LT"/>
                    </w:rPr>
                    <w:t>Padangų gumos antrinių žaliavų, atitinkančių Aprašo 3 punktą, apskaita vykdoma Atliekų apskaitos taisyklėse nustatyta tvarka kaip po atliekų apdorojimo gautų medžiagų ir (ar) daiktų.</w:t>
                  </w:r>
                </w:p>
              </w:sdtContent>
            </w:sdt>
            <w:sdt>
              <w:sdtPr>
                <w:alias w:val="8-1 p."/>
                <w:tag w:val="part_16b6963157a34203849fa4254e28bd38"/>
                <w:lock w:val="sdtLocked"/>
                <w:richText/>
              </w:sdtPr>
              <w:sdtContent>
                <w:p>
                  <w:pPr>
                    <w:suppressAutoHyphens/>
                    <w:ind w:firstLine="567"/>
                    <w:jc w:val="both"/>
                    <w:rPr>
                      <w:b/>
                      <w:szCs w:val="24"/>
                      <w:lang w:eastAsia="lt-LT"/>
                    </w:rPr>
                  </w:pPr>
                  <w:sdt>
                    <w:sdtPr>
                      <w:alias w:val="Numeris"/>
                      <w:tag w:val="nr_16b6963157a34203849fa4254e28bd38"/>
                      <w:lock w:val="sdtLocked"/>
                      <w:richText/>
                    </w:sdtPr>
                    <w:sdtContent>
                      <w:r>
                        <w:rPr>
                          <w:szCs w:val="24"/>
                          <w:lang w:eastAsia="lt-LT"/>
                        </w:rPr>
                        <w:t>8</w:t>
                      </w:r>
                      <w:r>
                        <w:rPr>
                          <w:szCs w:val="24"/>
                          <w:vertAlign w:val="superscript"/>
                          <w:lang w:eastAsia="lt-LT"/>
                        </w:rPr>
                        <w:t>1</w:t>
                      </w:r>
                    </w:sdtContent>
                  </w:sdt>
                  <w:r>
                    <w:rPr>
                      <w:szCs w:val="24"/>
                      <w:lang w:eastAsia="lt-LT"/>
                    </w:rPr>
                    <w:t>. Jeigu nėra padangų gumos antrinėms žaliavoms taikomų Europos Sąjungos derinamųjų teisės aktų, nurodytų 2019 m. birželio 20 d. Europos Parlamento ir Tarybos reglamento (ES) 2019/1020 dėl rinkos priežiūros ir gaminių atitikties, kuriuo iš dalies keičiama Direktyva 2004/42/EB ir reglamentai (EB) Nr. 765/2008 ir (ES) Nr. 305/2011, 1 priede, Lietuvos Respublikos rinkai tiekiamoms padangų gumos antrinėms žaliavoms taikomas abipusio pripažinimo principas, suprantamas taip, kaip nustatyta Lietuvos Respublikos Vyriausybės 2003 m. spalio 9 d. nutarimo Nr. 1252 „Dėl 2019 m. kovo 19 d. Europos Parlamento ir Tarybos reglamento (ES) 2019/515 dėl kitoje valstybėje narėje teisėtai parduodamų prekių abipusio pripažinimo, kuriuo panaikinamas Reglamentas (EB) Nr. 764/2008, įgyvendinimo ir abipusio pripažinimo principo sampratos“ 3.2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101619ffe11efa605b9842742bf3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2024-11-11,
paskelbta TAR 2024-11-11, i. k. 2024-19588        </w:t>
                  </w:r>
                </w:p>
                <w:p/>
              </w:sdtContent>
            </w:sdt>
          </w:sdtContent>
        </w:sdt>
        <w:sdt>
          <w:sdtPr>
            <w:alias w:val="skyrius"/>
            <w:tag w:val="part_5adda18444e243c78eb17f4c7dbaf678"/>
            <w:lock w:val="sdtLocked"/>
            <w:richText/>
          </w:sdtPr>
          <w:sdtContent>
            <w:p>
              <w:pPr>
                <w:tabs>
                  <w:tab w:val="left" w:pos="1041"/>
                </w:tabs>
                <w:suppressAutoHyphens/>
                <w:jc w:val="center"/>
                <w:rPr>
                  <w:b/>
                  <w:szCs w:val="24"/>
                  <w:lang w:eastAsia="lt-LT"/>
                </w:rPr>
              </w:pPr>
              <w:sdt>
                <w:sdtPr>
                  <w:alias w:val="Numeris"/>
                  <w:tag w:val="nr_5adda18444e243c78eb17f4c7dbaf678"/>
                  <w:lock w:val="sdtLocked"/>
                  <w:richText/>
                </w:sdtPr>
                <w:sdtContent>
                  <w:r>
                    <w:rPr>
                      <w:b/>
                      <w:szCs w:val="24"/>
                      <w:lang w:eastAsia="lt-LT"/>
                    </w:rPr>
                    <w:t>III</w:t>
                  </w:r>
                </w:sdtContent>
              </w:sdt>
              <w:r>
                <w:rPr>
                  <w:b/>
                  <w:szCs w:val="24"/>
                  <w:lang w:eastAsia="lt-LT"/>
                </w:rPr>
                <w:t xml:space="preserve"> SKYRIUS</w:t>
              </w:r>
            </w:p>
            <w:p>
              <w:pPr>
                <w:keepNext/>
                <w:suppressAutoHyphens/>
                <w:jc w:val="center"/>
                <w:rPr>
                  <w:b/>
                  <w:kern w:val="1"/>
                  <w:szCs w:val="24"/>
                  <w:lang w:eastAsia="lt-LT"/>
                </w:rPr>
              </w:pPr>
              <w:sdt>
                <w:sdtPr>
                  <w:alias w:val="Pavadinimas"/>
                  <w:tag w:val="title_5adda18444e243c78eb17f4c7dbaf678"/>
                  <w:lock w:val="sdtLocked"/>
                  <w:richText/>
                </w:sdtPr>
                <w:sdtContent>
                  <w:r>
                    <w:rPr>
                      <w:b/>
                      <w:kern w:val="1"/>
                      <w:szCs w:val="24"/>
                      <w:lang w:eastAsia="lt-LT"/>
                    </w:rPr>
                    <w:t xml:space="preserve">PERDIRBTŲ PADANGŲ ATLIEKŲ NEBELAIKYMO ATLIEKOMIS ATITIKTIES DEKLARACIJA </w:t>
                  </w:r>
                </w:sdtContent>
              </w:sdt>
            </w:p>
            <w:p>
              <w:pPr>
                <w:keepNext/>
                <w:suppressAutoHyphens/>
                <w:ind w:firstLine="567"/>
                <w:jc w:val="center"/>
                <w:rPr>
                  <w:b/>
                  <w:kern w:val="1"/>
                  <w:szCs w:val="24"/>
                  <w:lang w:eastAsia="lt-LT"/>
                </w:rPr>
              </w:pPr>
            </w:p>
            <w:sdt>
              <w:sdtPr>
                <w:alias w:val="9 p."/>
                <w:tag w:val="part_4c7a76254a8f41f19429b5d91f7de7f8"/>
                <w:lock w:val="sdtLocked"/>
                <w:richText/>
              </w:sdtPr>
              <w:sdtContent>
                <w:p>
                  <w:pPr>
                    <w:tabs>
                      <w:tab w:val="left" w:pos="606"/>
                      <w:tab w:val="left" w:pos="851"/>
                      <w:tab w:val="left" w:pos="993"/>
                    </w:tabs>
                    <w:suppressAutoHyphens/>
                    <w:ind w:left="1070" w:hanging="503"/>
                    <w:jc w:val="both"/>
                    <w:rPr>
                      <w:szCs w:val="24"/>
                      <w:lang w:eastAsia="lt-LT"/>
                    </w:rPr>
                  </w:pPr>
                  <w:sdt>
                    <w:sdtPr>
                      <w:alias w:val="Numeris"/>
                      <w:tag w:val="nr_4c7a76254a8f41f19429b5d91f7de7f8"/>
                      <w:lock w:val="sdtLocked"/>
                      <w:richText/>
                    </w:sdtPr>
                    <w:sdtContent>
                      <w:r>
                        <w:rPr>
                          <w:rFonts w:eastAsia="Arial"/>
                          <w:spacing w:val="-4"/>
                          <w:w w:val="101"/>
                          <w:szCs w:val="24"/>
                        </w:rPr>
                        <w:t>9</w:t>
                      </w:r>
                    </w:sdtContent>
                  </w:sdt>
                  <w:r>
                    <w:rPr>
                      <w:rFonts w:eastAsia="Arial"/>
                      <w:spacing w:val="-4"/>
                      <w:w w:val="101"/>
                      <w:szCs w:val="24"/>
                    </w:rPr>
                    <w:t>.</w:t>
                    <w:tab/>
                  </w:r>
                  <w:r>
                    <w:rPr>
                      <w:szCs w:val="24"/>
                      <w:lang w:eastAsia="lt-LT"/>
                    </w:rPr>
                    <w:t>Padangų gumos antrinių žaliavų gamintojas turi:</w:t>
                  </w:r>
                </w:p>
                <w:sdt>
                  <w:sdtPr>
                    <w:alias w:val="9.1 pp."/>
                    <w:tag w:val="part_0e0c49db1b984077b7526f9aa80e13e3"/>
                    <w:lock w:val="sdtLocked"/>
                    <w:richText/>
                  </w:sdtPr>
                  <w:sdtContent>
                    <w:p>
                      <w:pPr>
                        <w:tabs>
                          <w:tab w:val="left" w:pos="851"/>
                          <w:tab w:val="left" w:pos="993"/>
                        </w:tabs>
                        <w:suppressAutoHyphens/>
                        <w:ind w:firstLine="567"/>
                        <w:jc w:val="both"/>
                        <w:rPr>
                          <w:szCs w:val="24"/>
                          <w:lang w:eastAsia="lt-LT"/>
                        </w:rPr>
                      </w:pPr>
                      <w:sdt>
                        <w:sdtPr>
                          <w:alias w:val="Numeris"/>
                          <w:tag w:val="nr_0e0c49db1b984077b7526f9aa80e13e3"/>
                          <w:lock w:val="sdtLocked"/>
                          <w:richText/>
                        </w:sdtPr>
                        <w:sdtContent>
                          <w:r>
                            <w:rPr>
                              <w:szCs w:val="24"/>
                              <w:lang w:eastAsia="lt-LT"/>
                            </w:rPr>
                            <w:t>9.1</w:t>
                          </w:r>
                        </w:sdtContent>
                      </w:sdt>
                      <w:r>
                        <w:rPr>
                          <w:szCs w:val="24"/>
                          <w:lang w:eastAsia="lt-LT"/>
                        </w:rPr>
                        <w:t>. parengti ir išduoti kiekvienos padangų gumos antrinių žaliavų siuntos deklaraciją 2 (dviem) egzemplioriais. Siunta laikoma</w:t>
                      </w:r>
                      <w:r>
                        <w:rPr>
                          <w:b/>
                          <w:szCs w:val="24"/>
                          <w:lang w:eastAsia="lt-LT"/>
                        </w:rPr>
                        <w:t xml:space="preserve"> </w:t>
                      </w:r>
                      <w:r>
                        <w:rPr>
                          <w:szCs w:val="24"/>
                          <w:lang w:eastAsia="lt-LT"/>
                        </w:rPr>
                        <w:t>padangų gumos antrinių žaliavų gamintojo paruošta vienu metu tiekti ar patiekta rinkai padangų gumos antrinių žaliavų, nurodytų Aprašo 4 punkte, partija (toliau – siunta);</w:t>
                      </w:r>
                    </w:p>
                  </w:sdtContent>
                </w:sdt>
                <w:sdt>
                  <w:sdtPr>
                    <w:alias w:val="9.2 pp."/>
                    <w:tag w:val="part_13785773add04594af8864f81fb54ae1"/>
                    <w:lock w:val="sdtLocked"/>
                    <w:richText/>
                  </w:sdtPr>
                  <w:sdtContent>
                    <w:p>
                      <w:pPr>
                        <w:tabs>
                          <w:tab w:val="left" w:pos="851"/>
                          <w:tab w:val="left" w:pos="993"/>
                        </w:tabs>
                        <w:suppressAutoHyphens/>
                        <w:ind w:firstLine="567"/>
                        <w:jc w:val="both"/>
                        <w:rPr>
                          <w:szCs w:val="24"/>
                          <w:lang w:eastAsia="lt-LT"/>
                        </w:rPr>
                      </w:pPr>
                      <w:sdt>
                        <w:sdtPr>
                          <w:alias w:val="Numeris"/>
                          <w:tag w:val="nr_13785773add04594af8864f81fb54ae1"/>
                          <w:lock w:val="sdtLocked"/>
                          <w:richText/>
                        </w:sdtPr>
                        <w:sdtContent>
                          <w:r>
                            <w:rPr>
                              <w:szCs w:val="24"/>
                              <w:lang w:eastAsia="lt-LT"/>
                            </w:rPr>
                            <w:t>9.2</w:t>
                          </w:r>
                        </w:sdtContent>
                      </w:sdt>
                      <w:r>
                        <w:rPr>
                          <w:szCs w:val="24"/>
                          <w:lang w:eastAsia="lt-LT"/>
                        </w:rPr>
                        <w:t>. išduoti deklaracijos 1 (vieną) egzempliorių siuntos gavėjui, kuris perleidžiamas padangų gumos antrines žaliavas panaudos konkrečiam tikslui</w:t>
                      </w:r>
                      <w:r>
                        <w:rPr>
                          <w:b/>
                          <w:szCs w:val="24"/>
                          <w:lang w:eastAsia="lt-LT"/>
                        </w:rPr>
                        <w:t xml:space="preserve"> </w:t>
                      </w:r>
                      <w:r>
                        <w:rPr>
                          <w:szCs w:val="24"/>
                          <w:lang w:eastAsia="lt-LT"/>
                        </w:rPr>
                        <w:t xml:space="preserve">(toliau – siuntos gavėjas); </w:t>
                      </w:r>
                    </w:p>
                  </w:sdtContent>
                </w:sdt>
                <w:sdt>
                  <w:sdtPr>
                    <w:alias w:val="9.3 pp."/>
                    <w:tag w:val="part_c4ded211260d4335bebcc2324b11f2c1"/>
                    <w:lock w:val="sdtLocked"/>
                    <w:richText/>
                  </w:sdtPr>
                  <w:sdtContent>
                    <w:p>
                      <w:pPr>
                        <w:tabs>
                          <w:tab w:val="left" w:pos="0"/>
                          <w:tab w:val="left" w:pos="1134"/>
                        </w:tabs>
                        <w:suppressAutoHyphens/>
                        <w:ind w:firstLine="567"/>
                        <w:jc w:val="both"/>
                        <w:rPr>
                          <w:szCs w:val="24"/>
                          <w:lang w:eastAsia="lt-LT"/>
                        </w:rPr>
                      </w:pPr>
                      <w:sdt>
                        <w:sdtPr>
                          <w:alias w:val="Numeris"/>
                          <w:tag w:val="nr_c4ded211260d4335bebcc2324b11f2c1"/>
                          <w:lock w:val="sdtLocked"/>
                          <w:richText/>
                        </w:sdtPr>
                        <w:sdtContent>
                          <w:r>
                            <w:rPr>
                              <w:szCs w:val="24"/>
                              <w:lang w:eastAsia="lt-LT"/>
                            </w:rPr>
                            <w:t>9.3</w:t>
                          </w:r>
                        </w:sdtContent>
                      </w:sdt>
                      <w:r>
                        <w:rPr>
                          <w:szCs w:val="24"/>
                          <w:lang w:eastAsia="lt-LT"/>
                        </w:rPr>
                        <w:t xml:space="preserve">. kartu su deklaracija siuntos gavėjui išduoti </w:t>
                      </w:r>
                      <w:r>
                        <w:rPr>
                          <w:spacing w:val="-3"/>
                          <w:szCs w:val="24"/>
                          <w:lang w:eastAsia="lt-LT"/>
                        </w:rPr>
                        <w:t xml:space="preserve">padangų gumos antrinių žaliavų siuntos </w:t>
                      </w:r>
                      <w:r>
                        <w:rPr>
                          <w:szCs w:val="24"/>
                          <w:lang w:eastAsia="lt-LT"/>
                        </w:rPr>
                        <w:t>fizinių ir cheminių savybių laboratorinių tyrimų (toliau – laboratoriniai tyrimai), jei buvo atlikti, rezultatus;</w:t>
                      </w:r>
                    </w:p>
                  </w:sdtContent>
                </w:sdt>
                <w:sdt>
                  <w:sdtPr>
                    <w:alias w:val="9.4 pp."/>
                    <w:tag w:val="part_f41971ef2f974eb0a8ca7a58557f6f86"/>
                    <w:lock w:val="sdtLocked"/>
                    <w:richText/>
                  </w:sdtPr>
                  <w:sdtContent>
                    <w:p>
                      <w:pPr>
                        <w:tabs>
                          <w:tab w:val="left" w:pos="0"/>
                          <w:tab w:val="left" w:pos="1134"/>
                        </w:tabs>
                        <w:suppressAutoHyphens/>
                        <w:ind w:firstLine="567"/>
                        <w:jc w:val="both"/>
                        <w:rPr>
                          <w:szCs w:val="24"/>
                          <w:lang w:eastAsia="lt-LT"/>
                        </w:rPr>
                      </w:pPr>
                      <w:sdt>
                        <w:sdtPr>
                          <w:alias w:val="Numeris"/>
                          <w:tag w:val="nr_f41971ef2f974eb0a8ca7a58557f6f86"/>
                          <w:lock w:val="sdtLocked"/>
                          <w:richText/>
                        </w:sdtPr>
                        <w:sdtContent>
                          <w:r>
                            <w:rPr>
                              <w:szCs w:val="24"/>
                              <w:lang w:eastAsia="lt-LT"/>
                            </w:rPr>
                            <w:t>9.4</w:t>
                          </w:r>
                        </w:sdtContent>
                      </w:sdt>
                      <w:r>
                        <w:rPr>
                          <w:szCs w:val="24"/>
                          <w:lang w:eastAsia="lt-LT"/>
                        </w:rPr>
                        <w:t xml:space="preserve">. saugoti deklaracijos 2 (antrą) egzempliorių ir </w:t>
                      </w:r>
                      <w:r>
                        <w:rPr>
                          <w:lang w:eastAsia="lt-LT"/>
                        </w:rPr>
                        <w:t xml:space="preserve">laboratorinių tyrimų rezultatus </w:t>
                      </w:r>
                      <w:r>
                        <w:rPr>
                          <w:szCs w:val="24"/>
                          <w:lang w:eastAsia="lt-LT"/>
                        </w:rPr>
                        <w:t>ne trumpiau kaip penkerius metus po jų išdavimo ir pateikti juos AAD ir kitoms ūkio subjektų veiklos priežiūrą atliekančioms institucijoms, joms to paprašius.</w:t>
                      </w:r>
                    </w:p>
                  </w:sdtContent>
                </w:sdt>
              </w:sdtContent>
            </w:sdt>
            <w:sdt>
              <w:sdtPr>
                <w:alias w:val="10 p."/>
                <w:tag w:val="part_404574c3d0c548aa96cc81ac9878355f"/>
                <w:lock w:val="sdtLocked"/>
                <w:richText/>
              </w:sdtPr>
              <w:sdtContent>
                <w:p>
                  <w:pPr>
                    <w:tabs>
                      <w:tab w:val="left" w:pos="993"/>
                    </w:tabs>
                    <w:suppressAutoHyphens/>
                    <w:ind w:firstLine="567"/>
                    <w:jc w:val="both"/>
                    <w:rPr>
                      <w:szCs w:val="24"/>
                      <w:lang w:eastAsia="lt-LT"/>
                    </w:rPr>
                  </w:pPr>
                  <w:sdt>
                    <w:sdtPr>
                      <w:alias w:val="Numeris"/>
                      <w:tag w:val="nr_404574c3d0c548aa96cc81ac9878355f"/>
                      <w:lock w:val="sdtLocked"/>
                      <w:richText/>
                    </w:sdtPr>
                    <w:sdtContent>
                      <w:r>
                        <w:rPr>
                          <w:rFonts w:eastAsia="Arial"/>
                          <w:spacing w:val="-4"/>
                          <w:w w:val="101"/>
                          <w:szCs w:val="24"/>
                        </w:rPr>
                        <w:t>10</w:t>
                      </w:r>
                    </w:sdtContent>
                  </w:sdt>
                  <w:r>
                    <w:rPr>
                      <w:rFonts w:eastAsia="Arial"/>
                      <w:spacing w:val="-4"/>
                      <w:w w:val="101"/>
                      <w:szCs w:val="24"/>
                    </w:rPr>
                    <w:t>.</w:t>
                    <w:tab/>
                  </w:r>
                  <w:r>
                    <w:rPr>
                      <w:szCs w:val="24"/>
                      <w:lang w:eastAsia="lt-LT"/>
                    </w:rPr>
                    <w:t>Deklaracija gali būti parengta ir išduota elektronine forma.</w:t>
                  </w:r>
                </w:p>
              </w:sdtContent>
            </w:sdt>
            <w:sdt>
              <w:sdtPr>
                <w:alias w:val="11 p."/>
                <w:tag w:val="part_62f70852fecb441eb16fb6ac6c396803"/>
                <w:lock w:val="sdtLocked"/>
                <w:richText/>
              </w:sdtPr>
              <w:sdtContent>
                <w:p>
                  <w:pPr>
                    <w:tabs>
                      <w:tab w:val="left" w:pos="993"/>
                    </w:tabs>
                    <w:suppressAutoHyphens/>
                    <w:ind w:firstLine="567"/>
                    <w:jc w:val="both"/>
                    <w:rPr>
                      <w:szCs w:val="24"/>
                      <w:lang w:eastAsia="lt-LT"/>
                    </w:rPr>
                  </w:pPr>
                  <w:sdt>
                    <w:sdtPr>
                      <w:alias w:val="Numeris"/>
                      <w:tag w:val="nr_62f70852fecb441eb16fb6ac6c396803"/>
                      <w:lock w:val="sdtLocked"/>
                      <w:richText/>
                    </w:sdtPr>
                    <w:sdtContent>
                      <w:r>
                        <w:rPr>
                          <w:rFonts w:eastAsia="Arial"/>
                          <w:spacing w:val="-4"/>
                          <w:w w:val="101"/>
                          <w:szCs w:val="24"/>
                        </w:rPr>
                        <w:t>11</w:t>
                      </w:r>
                    </w:sdtContent>
                  </w:sdt>
                  <w:r>
                    <w:rPr>
                      <w:rFonts w:eastAsia="Arial"/>
                      <w:spacing w:val="-4"/>
                      <w:w w:val="101"/>
                      <w:szCs w:val="24"/>
                    </w:rPr>
                    <w:t>.</w:t>
                    <w:tab/>
                  </w:r>
                  <w:r>
                    <w:rPr>
                      <w:szCs w:val="24"/>
                      <w:lang w:eastAsia="lt-LT"/>
                    </w:rPr>
                    <w:t>Siuntos gavėjas turi saugoti deklaraciją ir laboratorinių tyrimų rezultatus ne trumpiau kaip penkerius metus nuo deklaracijos išdavimo ir pateikti aplinkos apsaugos valstybinę kontrolę, statybos valstybinę priežiūrą atliekančioms ar valstybės politiką vartotojų teisių apsaugos srityje įgyvendinančioms institucijoms, joms to paprašius.</w:t>
                  </w:r>
                </w:p>
              </w:sdtContent>
            </w:sdt>
            <w:sdt>
              <w:sdtPr>
                <w:alias w:val="12 p."/>
                <w:tag w:val="part_3a3ccbc8caae4f3e82ffdbd13286a6e7"/>
                <w:lock w:val="sdtLocked"/>
                <w:richText/>
              </w:sdtPr>
              <w:sdtContent>
                <w:p>
                  <w:pPr>
                    <w:tabs>
                      <w:tab w:val="left" w:pos="606"/>
                      <w:tab w:val="left" w:pos="851"/>
                      <w:tab w:val="left" w:pos="993"/>
                    </w:tabs>
                    <w:suppressAutoHyphens/>
                    <w:ind w:firstLine="567"/>
                    <w:jc w:val="both"/>
                    <w:rPr>
                      <w:szCs w:val="24"/>
                      <w:lang w:eastAsia="lt-LT"/>
                    </w:rPr>
                  </w:pPr>
                  <w:sdt>
                    <w:sdtPr>
                      <w:alias w:val="Numeris"/>
                      <w:tag w:val="nr_3a3ccbc8caae4f3e82ffdbd13286a6e7"/>
                      <w:lock w:val="sdtLocked"/>
                      <w:richText/>
                    </w:sdtPr>
                    <w:sdtContent>
                      <w:r>
                        <w:rPr>
                          <w:rFonts w:eastAsia="Arial"/>
                          <w:spacing w:val="-4"/>
                          <w:w w:val="101"/>
                          <w:szCs w:val="24"/>
                        </w:rPr>
                        <w:t>12</w:t>
                      </w:r>
                    </w:sdtContent>
                  </w:sdt>
                  <w:r>
                    <w:rPr>
                      <w:rFonts w:eastAsia="Arial"/>
                      <w:spacing w:val="-4"/>
                      <w:w w:val="101"/>
                      <w:szCs w:val="24"/>
                    </w:rPr>
                    <w:t>.</w:t>
                    <w:tab/>
                  </w:r>
                  <w:r>
                    <w:rPr>
                      <w:szCs w:val="24"/>
                      <w:lang w:eastAsia="lt-LT"/>
                    </w:rPr>
                    <w:t>Padangų gumos antrinių žaliavų gamintojas parengia ir išduoda po vieną kiekvienos siuntos deklaraciją, jos 1 (vienas) egzempliorius išduodamas siuntos gavėjui siuntos perdavimo dieną.</w:t>
                  </w:r>
                </w:p>
              </w:sdtContent>
            </w:sdt>
            <w:sdt>
              <w:sdtPr>
                <w:alias w:val="13 p."/>
                <w:tag w:val="part_d9e0ca3afa0c4e73908041528240ca7f"/>
                <w:lock w:val="sdtLocked"/>
                <w:richText/>
              </w:sdtPr>
              <w:sdtContent>
                <w:p>
                  <w:pPr>
                    <w:tabs>
                      <w:tab w:val="left" w:pos="606"/>
                      <w:tab w:val="left" w:pos="851"/>
                      <w:tab w:val="left" w:pos="993"/>
                    </w:tabs>
                    <w:suppressAutoHyphens/>
                    <w:ind w:firstLine="567"/>
                    <w:jc w:val="both"/>
                  </w:pPr>
                  <w:sdt>
                    <w:sdtPr>
                      <w:alias w:val="Numeris"/>
                      <w:tag w:val="nr_d9e0ca3afa0c4e73908041528240ca7f"/>
                      <w:lock w:val="sdtLocked"/>
                      <w:richText/>
                    </w:sdtPr>
                    <w:sdtContent>
                      <w:r>
                        <w:rPr>
                          <w:rFonts w:eastAsia="Arial"/>
                          <w:spacing w:val="-4"/>
                          <w:w w:val="101"/>
                          <w:szCs w:val="24"/>
                        </w:rPr>
                        <w:t>13</w:t>
                      </w:r>
                    </w:sdtContent>
                  </w:sdt>
                  <w:r>
                    <w:rPr>
                      <w:rFonts w:eastAsia="Arial"/>
                      <w:spacing w:val="-4"/>
                      <w:w w:val="101"/>
                      <w:szCs w:val="24"/>
                    </w:rPr>
                    <w:t>.</w:t>
                    <w:tab/>
                  </w:r>
                  <w:r>
                    <w:rPr>
                      <w:color w:val="000000"/>
                      <w:szCs w:val="24"/>
                      <w:lang w:eastAsia="lt-LT"/>
                    </w:rPr>
                    <w:t>Padangų gumos antrinių žaliavų, kurios atitinka Aprašo 4 punkte nurodytus reikalavimus ir yra naudojamos kaip statybos produktai, gamintojas kartu su deklaracija parengia ir išduoda darniosios ar nedarniosios srities statybos produkto, tiekiamo Lietuvos rinkai, eksploatacinių savybių deklaraciją. Darniosios srities statybos produktų eksploatacinių savybių deklaracija rengiama pagal 2011 m. kovo 9 d. Europos Parlamento ir Tarybos reglamentą (ES) Nr. 305/2011, kuriuo nustatomos suderintos statybos produktų rinkodaros sąlygos ir panaikinama Tarybos direktyva 89/106/EEB su visais pakeitimais, ir jame nustatytą formą, nedarniosios srities – pagal Statybos techninį reglamentą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patvirtintą Lietuvos Respublikos aplinkos ministro 2015 m. gruodžio 10 d. įsakymu Nr. D1-901 „Dėl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 ir jame nustatytą formą.</w:t>
                  </w:r>
                </w:p>
              </w:sdtContent>
            </w:sdt>
            <w:sdt>
              <w:sdtPr>
                <w:alias w:val="13-1 p."/>
                <w:tag w:val="part_a11b25609901422db6bbc499a5753c62"/>
                <w:lock w:val="sdtLocked"/>
                <w:richText/>
              </w:sdtPr>
              <w:sdtContent>
                <w:p>
                  <w:pPr>
                    <w:ind w:firstLine="567"/>
                    <w:jc w:val="both"/>
                    <w:rPr>
                      <w:b/>
                      <w:kern w:val="1"/>
                      <w:szCs w:val="24"/>
                      <w:lang w:eastAsia="lt-LT"/>
                    </w:rPr>
                  </w:pPr>
                  <w:sdt>
                    <w:sdtPr>
                      <w:alias w:val="Numeris"/>
                      <w:tag w:val="nr_a11b25609901422db6bbc499a5753c62"/>
                      <w:lock w:val="sdtLocked"/>
                      <w:richText/>
                    </w:sdtPr>
                    <w:sdtContent>
                      <w:r>
                        <w:rPr>
                          <w:szCs w:val="24"/>
                          <w:shd w:val="clear" w:color="auto" w:fill="FFFFFF"/>
                        </w:rPr>
                        <w:t>13</w:t>
                      </w:r>
                      <w:r>
                        <w:rPr>
                          <w:szCs w:val="24"/>
                          <w:shd w:val="clear" w:color="auto" w:fill="FFFFFF"/>
                          <w:vertAlign w:val="superscript"/>
                        </w:rPr>
                        <w:t>1</w:t>
                      </w:r>
                    </w:sdtContent>
                  </w:sdt>
                  <w:r>
                    <w:rPr>
                      <w:szCs w:val="24"/>
                      <w:shd w:val="clear" w:color="auto" w:fill="FFFFFF"/>
                    </w:rPr>
                    <w:t>. Jei deklaracijoje nurodytas padangų gumos antrinių žaliavų gavėjas nepanaudoja padangų gumos antrinių žaliavų ir jas perleidžia kitam padangų gumos antrinių žaliavų gavėjui, kartu perleidžiamos Aprašo 9 punkte nurodytų dokumentų kopijos. Perleistos padangų gumos antrinės žaliavos laikomos atliekomis, jei atitinka Aprašo 6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101619ffe11efa605b9842742bf3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2024-11-11,
paskelbta TAR 2024-11-11, i. k. 2024-19588        </w:t>
                  </w:r>
                </w:p>
                <w:p/>
              </w:sdtContent>
            </w:sdt>
          </w:sdtContent>
        </w:sdt>
        <w:sdt>
          <w:sdtPr>
            <w:alias w:val="skyrius"/>
            <w:tag w:val="part_fb170273c2b947d4b7d3168068310461"/>
            <w:lock w:val="sdtLocked"/>
            <w:richText/>
          </w:sdtPr>
          <w:sdtContent>
            <w:p>
              <w:pPr>
                <w:keepNext/>
                <w:suppressAutoHyphens/>
                <w:ind w:firstLine="567"/>
                <w:jc w:val="center"/>
                <w:rPr>
                  <w:b/>
                  <w:kern w:val="1"/>
                  <w:szCs w:val="24"/>
                  <w:lang w:eastAsia="lt-LT"/>
                </w:rPr>
              </w:pPr>
              <w:sdt>
                <w:sdtPr>
                  <w:alias w:val="Numeris"/>
                  <w:tag w:val="nr_fb170273c2b947d4b7d3168068310461"/>
                  <w:lock w:val="sdtLocked"/>
                  <w:richText/>
                </w:sdtPr>
                <w:sdtContent>
                  <w:r>
                    <w:rPr>
                      <w:b/>
                      <w:kern w:val="1"/>
                      <w:szCs w:val="24"/>
                      <w:lang w:eastAsia="lt-LT"/>
                    </w:rPr>
                    <w:t>IV</w:t>
                  </w:r>
                </w:sdtContent>
              </w:sdt>
              <w:r>
                <w:rPr>
                  <w:b/>
                  <w:kern w:val="1"/>
                  <w:szCs w:val="24"/>
                  <w:lang w:eastAsia="lt-LT"/>
                </w:rPr>
                <w:t xml:space="preserve"> SKYRIUS</w:t>
              </w:r>
            </w:p>
            <w:p>
              <w:pPr>
                <w:keepNext/>
                <w:suppressAutoHyphens/>
                <w:ind w:firstLine="567"/>
                <w:jc w:val="center"/>
                <w:rPr>
                  <w:b/>
                  <w:kern w:val="1"/>
                  <w:szCs w:val="24"/>
                  <w:lang w:eastAsia="lt-LT"/>
                </w:rPr>
              </w:pPr>
              <w:sdt>
                <w:sdtPr>
                  <w:alias w:val="Pavadinimas"/>
                  <w:tag w:val="title_fb170273c2b947d4b7d3168068310461"/>
                  <w:lock w:val="sdtLocked"/>
                  <w:richText/>
                </w:sdtPr>
                <w:sdtContent>
                  <w:r>
                    <w:rPr>
                      <w:b/>
                      <w:kern w:val="1"/>
                      <w:szCs w:val="24"/>
                      <w:lang w:eastAsia="lt-LT"/>
                    </w:rPr>
                    <w:t>KOKYBĖS VALDYMO SISTEMA</w:t>
                  </w:r>
                </w:sdtContent>
              </w:sdt>
            </w:p>
            <w:p>
              <w:pPr>
                <w:tabs>
                  <w:tab w:val="left" w:pos="1041"/>
                </w:tabs>
                <w:suppressAutoHyphens/>
                <w:ind w:firstLine="567"/>
                <w:jc w:val="center"/>
                <w:rPr>
                  <w:szCs w:val="24"/>
                  <w:lang w:eastAsia="lt-LT"/>
                </w:rPr>
              </w:pPr>
            </w:p>
            <w:sdt>
              <w:sdtPr>
                <w:alias w:val="14 p."/>
                <w:tag w:val="part_2dd78ed8fb7d472f85a8c084f3186d8e"/>
                <w:lock w:val="sdtLocked"/>
                <w:richText/>
              </w:sdtPr>
              <w:sdtContent>
                <w:p>
                  <w:pPr>
                    <w:tabs>
                      <w:tab w:val="left" w:pos="606"/>
                      <w:tab w:val="left" w:pos="993"/>
                    </w:tabs>
                    <w:suppressAutoHyphens/>
                    <w:ind w:firstLine="567"/>
                    <w:jc w:val="both"/>
                    <w:rPr>
                      <w:szCs w:val="24"/>
                      <w:lang w:eastAsia="lt-LT"/>
                    </w:rPr>
                  </w:pPr>
                  <w:sdt>
                    <w:sdtPr>
                      <w:alias w:val="Numeris"/>
                      <w:tag w:val="nr_2dd78ed8fb7d472f85a8c084f3186d8e"/>
                      <w:lock w:val="sdtLocked"/>
                      <w:richText/>
                    </w:sdtPr>
                    <w:sdtContent>
                      <w:r>
                        <w:rPr>
                          <w:rFonts w:eastAsia="Arial"/>
                          <w:spacing w:val="-4"/>
                          <w:w w:val="101"/>
                          <w:szCs w:val="24"/>
                        </w:rPr>
                        <w:t>14</w:t>
                      </w:r>
                    </w:sdtContent>
                  </w:sdt>
                  <w:r>
                    <w:rPr>
                      <w:rFonts w:eastAsia="Arial"/>
                      <w:spacing w:val="-4"/>
                      <w:w w:val="101"/>
                      <w:szCs w:val="24"/>
                    </w:rPr>
                    <w:t>.</w:t>
                    <w:tab/>
                  </w:r>
                  <w:r>
                    <w:rPr>
                      <w:szCs w:val="24"/>
                      <w:lang w:eastAsia="lt-LT"/>
                    </w:rPr>
                    <w:t>Padangų gumos antrinių žaliavų gamintojas turi įdiegti padangų atliekų perdirbimo kokybės valdymo sistemą (toliau – kokybės valdymo sistema), užtikrinančią atliekų naudojimo veiklos metu pagamintų padangų gumos antrinių žaliavų atitiktį Apraše nustatytiems kriterijams ir sąlygoms.</w:t>
                  </w:r>
                </w:p>
              </w:sdtContent>
            </w:sdt>
            <w:sdt>
              <w:sdtPr>
                <w:alias w:val="15 p."/>
                <w:tag w:val="part_2e2598cc24c440bb96ba96e245afbc90"/>
                <w:lock w:val="sdtLocked"/>
                <w:richText/>
              </w:sdtPr>
              <w:sdtContent>
                <w:p>
                  <w:pPr>
                    <w:tabs>
                      <w:tab w:val="left" w:pos="0"/>
                      <w:tab w:val="left" w:pos="567"/>
                      <w:tab w:val="left" w:pos="993"/>
                      <w:tab w:val="left" w:pos="1418"/>
                      <w:tab w:val="left" w:pos="1560"/>
                      <w:tab w:val="left" w:pos="1843"/>
                      <w:tab w:val="left" w:pos="2127"/>
                    </w:tabs>
                    <w:suppressAutoHyphens/>
                    <w:ind w:left="567"/>
                    <w:jc w:val="both"/>
                    <w:rPr>
                      <w:vanish/>
                      <w:szCs w:val="24"/>
                      <w:lang w:eastAsia="lt-LT"/>
                    </w:rPr>
                  </w:pPr>
                  <w:sdt>
                    <w:sdtPr>
                      <w:alias w:val="Numeris"/>
                      <w:tag w:val="nr_2e2598cc24c440bb96ba96e245afbc90"/>
                      <w:lock w:val="sdtLocked"/>
                      <w:richText/>
                    </w:sdtPr>
                    <w:sdtContent>
                      <w:r>
                        <w:rPr>
                          <w:rFonts w:eastAsia="Arial"/>
                          <w:vanish/>
                          <w:spacing w:val="-4"/>
                          <w:w w:val="101"/>
                          <w:szCs w:val="24"/>
                        </w:rPr>
                        <w:t>15</w:t>
                      </w:r>
                    </w:sdtContent>
                  </w:sdt>
                  <w:r>
                    <w:rPr>
                      <w:rFonts w:eastAsia="Arial"/>
                      <w:vanish/>
                      <w:spacing w:val="-4"/>
                      <w:w w:val="101"/>
                      <w:szCs w:val="24"/>
                    </w:rPr>
                    <w:t>.</w:t>
                    <w:tab/>
                  </w:r>
                  <w:r>
                    <w:rPr>
                      <w:szCs w:val="24"/>
                      <w:lang w:eastAsia="lt-LT"/>
                    </w:rPr>
                    <w:t>Kokybės valdymo sistemos aprašyme turi būti pateikiama ši informacija:</w:t>
                  </w:r>
                </w:p>
                <w:sdt>
                  <w:sdtPr>
                    <w:alias w:val="15.1 pp."/>
                    <w:tag w:val="part_07162e992a664b69b5a82992dd01eb84"/>
                    <w:lock w:val="sdtLocked"/>
                    <w:richText/>
                  </w:sdtPr>
                  <w:sdtContent>
                    <w:p>
                      <w:pPr>
                        <w:widowControl w:val="0"/>
                        <w:tabs>
                          <w:tab w:val="left" w:pos="0"/>
                          <w:tab w:val="left" w:pos="567"/>
                          <w:tab w:val="left" w:pos="993"/>
                          <w:tab w:val="left" w:pos="1418"/>
                          <w:tab w:val="left" w:pos="1560"/>
                          <w:tab w:val="left" w:pos="1843"/>
                          <w:tab w:val="left" w:pos="2127"/>
                        </w:tabs>
                        <w:ind w:left="567"/>
                        <w:jc w:val="both"/>
                        <w:rPr>
                          <w:rFonts w:eastAsia="Arial"/>
                          <w:szCs w:val="24"/>
                        </w:rPr>
                      </w:pPr>
                      <w:sdt>
                        <w:sdtPr>
                          <w:alias w:val="Numeris"/>
                          <w:tag w:val="nr_07162e992a664b69b5a82992dd01eb84"/>
                          <w:lock w:val="sdtLocked"/>
                          <w:richText/>
                        </w:sdtPr>
                        <w:sdtContent>
                          <w:r>
                            <w:rPr>
                              <w:rFonts w:eastAsia="Arial"/>
                              <w:szCs w:val="24"/>
                            </w:rPr>
                            <w:t>1</w:t>
                          </w:r>
                          <w:r>
                            <w:rPr>
                              <w:rFonts w:eastAsia="Arial"/>
                              <w:szCs w:val="24"/>
                              <w:lang w:val="en-US"/>
                            </w:rPr>
                            <w:t>5</w:t>
                          </w:r>
                          <w:r>
                            <w:rPr>
                              <w:rFonts w:eastAsia="Arial"/>
                              <w:szCs w:val="24"/>
                            </w:rPr>
                            <w:t>.1</w:t>
                          </w:r>
                        </w:sdtContent>
                      </w:sdt>
                      <w:r>
                        <w:rPr>
                          <w:rFonts w:eastAsia="Arial"/>
                          <w:szCs w:val="24"/>
                        </w:rPr>
                        <w:t>. padangų atliekų perdirbimo procesų ir metodų stebėsena;</w:t>
                      </w:r>
                    </w:p>
                  </w:sdtContent>
                </w:sdt>
                <w:sdt>
                  <w:sdtPr>
                    <w:alias w:val="15.2 pp."/>
                    <w:tag w:val="part_00d0f1281a934fe68530b2b1ad0b3c76"/>
                    <w:lock w:val="sdtLocked"/>
                    <w:richText/>
                  </w:sdtPr>
                  <w:sdtContent>
                    <w:p>
                      <w:pPr>
                        <w:widowControl w:val="0"/>
                        <w:tabs>
                          <w:tab w:val="left" w:pos="1134"/>
                        </w:tabs>
                        <w:ind w:firstLine="567"/>
                        <w:jc w:val="both"/>
                        <w:rPr>
                          <w:rFonts w:eastAsia="Arial"/>
                          <w:szCs w:val="24"/>
                        </w:rPr>
                      </w:pPr>
                      <w:sdt>
                        <w:sdtPr>
                          <w:alias w:val="Numeris"/>
                          <w:tag w:val="nr_00d0f1281a934fe68530b2b1ad0b3c76"/>
                          <w:lock w:val="sdtLocked"/>
                          <w:richText/>
                        </w:sdtPr>
                        <w:sdtContent>
                          <w:r>
                            <w:rPr>
                              <w:rFonts w:eastAsia="Arial"/>
                              <w:szCs w:val="24"/>
                            </w:rPr>
                            <w:t>15.2</w:t>
                          </w:r>
                        </w:sdtContent>
                      </w:sdt>
                      <w:r>
                        <w:rPr>
                          <w:rFonts w:eastAsia="Arial"/>
                          <w:szCs w:val="24"/>
                        </w:rPr>
                        <w:t>. atitikties kriterijams ir reikalavimams, nurodytiems Aprašo 1 priede, stebėsena;</w:t>
                      </w:r>
                    </w:p>
                  </w:sdtContent>
                </w:sdt>
                <w:sdt>
                  <w:sdtPr>
                    <w:alias w:val="15.3 pp."/>
                    <w:tag w:val="part_c4e66c72840547d488a4476915efe172"/>
                    <w:lock w:val="sdtLocked"/>
                    <w:richText/>
                  </w:sdtPr>
                  <w:sdtContent>
                    <w:p>
                      <w:pPr>
                        <w:widowControl w:val="0"/>
                        <w:tabs>
                          <w:tab w:val="left" w:pos="1134"/>
                          <w:tab w:val="left" w:pos="1418"/>
                          <w:tab w:val="left" w:pos="1560"/>
                          <w:tab w:val="left" w:pos="1843"/>
                          <w:tab w:val="left" w:pos="2127"/>
                        </w:tabs>
                        <w:ind w:firstLine="567"/>
                        <w:jc w:val="both"/>
                        <w:rPr>
                          <w:rFonts w:eastAsia="Arial"/>
                          <w:spacing w:val="-5"/>
                          <w:szCs w:val="24"/>
                        </w:rPr>
                      </w:pPr>
                      <w:sdt>
                        <w:sdtPr>
                          <w:alias w:val="Numeris"/>
                          <w:tag w:val="nr_c4e66c72840547d488a4476915efe172"/>
                          <w:lock w:val="sdtLocked"/>
                          <w:richText/>
                        </w:sdtPr>
                        <w:sdtContent>
                          <w:r>
                            <w:rPr>
                              <w:rFonts w:eastAsia="Arial"/>
                              <w:spacing w:val="-5"/>
                              <w:szCs w:val="24"/>
                            </w:rPr>
                            <w:t>15.3</w:t>
                          </w:r>
                        </w:sdtContent>
                      </w:sdt>
                      <w:r>
                        <w:rPr>
                          <w:rFonts w:eastAsia="Arial"/>
                          <w:spacing w:val="-5"/>
                          <w:szCs w:val="24"/>
                        </w:rPr>
                        <w:t xml:space="preserve">. </w:t>
                      </w:r>
                      <w:r>
                        <w:rPr>
                          <w:rFonts w:eastAsia="Arial"/>
                          <w:szCs w:val="24"/>
                          <w:lang w:eastAsia="lt-LT"/>
                        </w:rPr>
                        <w:t>padangų gumos antrinių žaliavų</w:t>
                      </w:r>
                      <w:r>
                        <w:rPr>
                          <w:rFonts w:eastAsia="Arial"/>
                          <w:szCs w:val="24"/>
                        </w:rPr>
                        <w:t xml:space="preserve"> </w:t>
                      </w:r>
                      <w:r>
                        <w:rPr>
                          <w:rFonts w:eastAsia="Arial"/>
                          <w:spacing w:val="-5"/>
                          <w:szCs w:val="24"/>
                        </w:rPr>
                        <w:t>kokybės stebėsena, įskaitant ėminių ėmimą ir analizę;</w:t>
                      </w:r>
                    </w:p>
                  </w:sdtContent>
                </w:sdt>
                <w:sdt>
                  <w:sdtPr>
                    <w:alias w:val="15.4 pp."/>
                    <w:tag w:val="part_81b8563ee427444bae7a65d2a5834505"/>
                    <w:lock w:val="sdtLocked"/>
                    <w:richText/>
                  </w:sdtPr>
                  <w:sdtContent>
                    <w:p>
                      <w:pPr>
                        <w:widowControl w:val="0"/>
                        <w:tabs>
                          <w:tab w:val="left" w:pos="1134"/>
                        </w:tabs>
                        <w:ind w:left="567"/>
                        <w:jc w:val="both"/>
                        <w:rPr>
                          <w:rFonts w:eastAsia="Arial"/>
                          <w:szCs w:val="24"/>
                        </w:rPr>
                      </w:pPr>
                      <w:sdt>
                        <w:sdtPr>
                          <w:alias w:val="Numeris"/>
                          <w:tag w:val="nr_81b8563ee427444bae7a65d2a5834505"/>
                          <w:lock w:val="sdtLocked"/>
                          <w:richText/>
                        </w:sdtPr>
                        <w:sdtContent>
                          <w:r>
                            <w:rPr>
                              <w:rFonts w:eastAsia="Arial"/>
                              <w:szCs w:val="24"/>
                            </w:rPr>
                            <w:t>15.4</w:t>
                          </w:r>
                        </w:sdtContent>
                      </w:sdt>
                      <w:r>
                        <w:rPr>
                          <w:rFonts w:eastAsia="Arial"/>
                          <w:szCs w:val="24"/>
                        </w:rPr>
                        <w:t>. deklaracijų rengimas, išdavimas ir saugojimas;</w:t>
                      </w:r>
                    </w:p>
                  </w:sdtContent>
                </w:sdt>
                <w:sdt>
                  <w:sdtPr>
                    <w:alias w:val="15.5 pp."/>
                    <w:tag w:val="part_63548406dfb74b9c8575175a0329601b"/>
                    <w:lock w:val="sdtLocked"/>
                    <w:richText/>
                  </w:sdtPr>
                  <w:sdtContent>
                    <w:p>
                      <w:pPr>
                        <w:widowControl w:val="0"/>
                        <w:tabs>
                          <w:tab w:val="left" w:pos="851"/>
                          <w:tab w:val="left" w:pos="1134"/>
                          <w:tab w:val="left" w:pos="1276"/>
                          <w:tab w:val="left" w:pos="1418"/>
                          <w:tab w:val="left" w:pos="1560"/>
                          <w:tab w:val="left" w:pos="1843"/>
                          <w:tab w:val="left" w:pos="2127"/>
                        </w:tabs>
                        <w:ind w:firstLine="567"/>
                        <w:jc w:val="both"/>
                        <w:rPr>
                          <w:rFonts w:eastAsia="Arial"/>
                          <w:spacing w:val="-5"/>
                          <w:szCs w:val="24"/>
                        </w:rPr>
                      </w:pPr>
                      <w:sdt>
                        <w:sdtPr>
                          <w:alias w:val="Numeris"/>
                          <w:tag w:val="nr_63548406dfb74b9c8575175a0329601b"/>
                          <w:lock w:val="sdtLocked"/>
                          <w:richText/>
                        </w:sdtPr>
                        <w:sdtContent>
                          <w:r>
                            <w:rPr>
                              <w:rFonts w:eastAsia="Arial"/>
                              <w:spacing w:val="-5"/>
                              <w:szCs w:val="24"/>
                            </w:rPr>
                            <w:t>15.5</w:t>
                          </w:r>
                        </w:sdtContent>
                      </w:sdt>
                      <w:r>
                        <w:rPr>
                          <w:rFonts w:eastAsia="Arial"/>
                          <w:spacing w:val="-5"/>
                          <w:szCs w:val="24"/>
                        </w:rPr>
                        <w:t xml:space="preserve">. siuntos ženklinimo (nurodomi </w:t>
                      </w:r>
                      <w:r>
                        <w:rPr>
                          <w:rFonts w:eastAsia="Arial"/>
                          <w:szCs w:val="24"/>
                        </w:rPr>
                        <w:t>unikalus</w:t>
                      </w:r>
                      <w:r>
                        <w:rPr>
                          <w:rFonts w:eastAsia="Arial"/>
                          <w:szCs w:val="24"/>
                          <w:lang w:eastAsia="lt-LT"/>
                        </w:rPr>
                        <w:t xml:space="preserve"> padangų gumos antrinių žaliavų</w:t>
                      </w:r>
                      <w:r>
                        <w:rPr>
                          <w:rFonts w:eastAsia="Arial"/>
                          <w:szCs w:val="24"/>
                        </w:rPr>
                        <w:t xml:space="preserve"> siuntos identifikavimo kodas, tipas, partija, serijos numeris ar bet koks kitas elementas, pagal kurį būtų galima identifikuoti </w:t>
                      </w:r>
                      <w:r>
                        <w:rPr>
                          <w:rFonts w:eastAsia="Arial"/>
                          <w:szCs w:val="24"/>
                          <w:lang w:eastAsia="lt-LT"/>
                        </w:rPr>
                        <w:t>padangų gumos antrines žaliavas</w:t>
                      </w:r>
                      <w:r>
                        <w:rPr>
                          <w:rFonts w:eastAsia="Arial"/>
                          <w:szCs w:val="24"/>
                        </w:rPr>
                        <w:t>, jų gamintoją, gamybos ir pakavimo datą, vietą)</w:t>
                      </w:r>
                      <w:r>
                        <w:rPr>
                          <w:rFonts w:eastAsia="Arial"/>
                          <w:spacing w:val="-5"/>
                          <w:szCs w:val="24"/>
                        </w:rPr>
                        <w:t>, pakavimo ir laikymo procesų aprašymai;</w:t>
                      </w:r>
                    </w:p>
                  </w:sdtContent>
                </w:sdt>
                <w:sdt>
                  <w:sdtPr>
                    <w:alias w:val="15.6 pp."/>
                    <w:tag w:val="part_bd98537e094a493da6b5ae3fd025245c"/>
                    <w:lock w:val="sdtLocked"/>
                    <w:richText/>
                  </w:sdtPr>
                  <w:sdtContent>
                    <w:p>
                      <w:pPr>
                        <w:widowControl w:val="0"/>
                        <w:tabs>
                          <w:tab w:val="left" w:pos="1134"/>
                        </w:tabs>
                        <w:ind w:firstLine="567"/>
                        <w:jc w:val="both"/>
                        <w:rPr>
                          <w:rFonts w:eastAsia="Arial"/>
                          <w:spacing w:val="-5"/>
                          <w:szCs w:val="24"/>
                        </w:rPr>
                      </w:pPr>
                      <w:sdt>
                        <w:sdtPr>
                          <w:alias w:val="Numeris"/>
                          <w:tag w:val="nr_bd98537e094a493da6b5ae3fd025245c"/>
                          <w:lock w:val="sdtLocked"/>
                          <w:richText/>
                        </w:sdtPr>
                        <w:sdtContent>
                          <w:r>
                            <w:rPr>
                              <w:rFonts w:eastAsia="Arial"/>
                              <w:spacing w:val="-5"/>
                              <w:szCs w:val="24"/>
                            </w:rPr>
                            <w:t>15.6</w:t>
                          </w:r>
                        </w:sdtContent>
                      </w:sdt>
                      <w:r>
                        <w:rPr>
                          <w:rFonts w:eastAsia="Arial"/>
                          <w:spacing w:val="-5"/>
                          <w:szCs w:val="24"/>
                        </w:rPr>
                        <w:t xml:space="preserve">. specialistų, atsakingų už </w:t>
                      </w:r>
                      <w:r>
                        <w:rPr>
                          <w:rFonts w:eastAsia="Arial"/>
                          <w:szCs w:val="24"/>
                          <w:lang w:eastAsia="lt-LT"/>
                        </w:rPr>
                        <w:t>padangų gumos antrinių žaliavų</w:t>
                      </w:r>
                      <w:r>
                        <w:rPr>
                          <w:rFonts w:eastAsia="Arial"/>
                          <w:szCs w:val="24"/>
                        </w:rPr>
                        <w:t xml:space="preserve"> atitiktį Aprašo 4 punkte nustatytiems kriterijams, </w:t>
                      </w:r>
                      <w:r>
                        <w:rPr>
                          <w:rFonts w:eastAsia="Arial"/>
                          <w:spacing w:val="-5"/>
                          <w:szCs w:val="24"/>
                        </w:rPr>
                        <w:t xml:space="preserve">vardas, pavardė ir pareigos. Duomenys tvarkomi vadovaujantis reikalavimais, nustatytais </w:t>
                      </w:r>
                      <w:r>
                        <w:rPr>
                          <w:rFonts w:eastAsia="Arial"/>
                          <w:iCs/>
                          <w:spacing w:val="-5"/>
                          <w:szCs w:val="24"/>
                        </w:rPr>
                        <w:t>2016 m</w:t>
                      </w:r>
                      <w:r>
                        <w:rPr>
                          <w:rFonts w:eastAsia="Arial"/>
                          <w:spacing w:val="-5"/>
                          <w:szCs w:val="24"/>
                        </w:rPr>
                        <w:t xml:space="preserve">. </w:t>
                      </w:r>
                      <w:r>
                        <w:rPr>
                          <w:rFonts w:eastAsia="Arial"/>
                          <w:iCs/>
                          <w:spacing w:val="-5"/>
                          <w:szCs w:val="24"/>
                        </w:rPr>
                        <w:t>balandžio 27 d</w:t>
                      </w:r>
                      <w:r>
                        <w:rPr>
                          <w:rFonts w:eastAsia="Arial"/>
                          <w:spacing w:val="-5"/>
                          <w:szCs w:val="24"/>
                        </w:rPr>
                        <w:t xml:space="preserve">. </w:t>
                      </w:r>
                      <w:r>
                        <w:rPr>
                          <w:rFonts w:eastAsia="Arial"/>
                          <w:iCs/>
                          <w:spacing w:val="-5"/>
                          <w:szCs w:val="24"/>
                        </w:rPr>
                        <w:t>Europos Parlamento</w:t>
                      </w:r>
                      <w:r>
                        <w:rPr>
                          <w:rFonts w:eastAsia="Arial"/>
                          <w:spacing w:val="-5"/>
                          <w:szCs w:val="24"/>
                        </w:rPr>
                        <w:t xml:space="preserve"> ir </w:t>
                      </w:r>
                      <w:r>
                        <w:rPr>
                          <w:rFonts w:eastAsia="Arial"/>
                          <w:iCs/>
                          <w:spacing w:val="-5"/>
                          <w:szCs w:val="24"/>
                        </w:rPr>
                        <w:t>Tarybos reglamente</w:t>
                      </w:r>
                      <w:r>
                        <w:rPr>
                          <w:rFonts w:eastAsia="Arial"/>
                          <w:spacing w:val="-5"/>
                          <w:szCs w:val="24"/>
                        </w:rPr>
                        <w:t xml:space="preserve"> (</w:t>
                      </w:r>
                      <w:r>
                        <w:rPr>
                          <w:rFonts w:eastAsia="Arial"/>
                          <w:iCs/>
                          <w:spacing w:val="-5"/>
                          <w:szCs w:val="24"/>
                        </w:rPr>
                        <w:t>ES</w:t>
                      </w:r>
                      <w:r>
                        <w:rPr>
                          <w:rFonts w:eastAsia="Arial"/>
                          <w:spacing w:val="-5"/>
                          <w:szCs w:val="24"/>
                        </w:rPr>
                        <w:t xml:space="preserve">) </w:t>
                      </w:r>
                      <w:r>
                        <w:rPr>
                          <w:rFonts w:eastAsia="Arial"/>
                          <w:iCs/>
                          <w:spacing w:val="-5"/>
                          <w:szCs w:val="24"/>
                        </w:rPr>
                        <w:t>2016/679</w:t>
                      </w:r>
                      <w:r>
                        <w:rPr>
                          <w:rFonts w:eastAsia="Arial"/>
                          <w:spacing w:val="-5"/>
                          <w:szCs w:val="24"/>
                        </w:rPr>
                        <w:t xml:space="preserve"> dėl </w:t>
                      </w:r>
                      <w:r>
                        <w:rPr>
                          <w:rFonts w:eastAsia="Arial"/>
                          <w:iCs/>
                          <w:spacing w:val="-5"/>
                          <w:szCs w:val="24"/>
                        </w:rPr>
                        <w:t>fizinių asmenų apsaugos tvarkant asmens duomenis</w:t>
                      </w:r>
                      <w:r>
                        <w:rPr>
                          <w:rFonts w:eastAsia="Arial"/>
                          <w:spacing w:val="-5"/>
                          <w:szCs w:val="24"/>
                        </w:rPr>
                        <w:t xml:space="preserve"> ir dėl </w:t>
                      </w:r>
                      <w:r>
                        <w:rPr>
                          <w:rFonts w:eastAsia="Arial"/>
                          <w:iCs/>
                          <w:spacing w:val="-5"/>
                          <w:szCs w:val="24"/>
                        </w:rPr>
                        <w:t>laisvo tokių duomenų judėjimo</w:t>
                      </w:r>
                      <w:r>
                        <w:rPr>
                          <w:rFonts w:eastAsia="Arial"/>
                          <w:spacing w:val="-5"/>
                          <w:szCs w:val="24"/>
                        </w:rPr>
                        <w:t xml:space="preserve"> ir </w:t>
                      </w:r>
                      <w:r>
                        <w:rPr>
                          <w:rFonts w:eastAsia="Arial"/>
                          <w:iCs/>
                          <w:spacing w:val="-5"/>
                          <w:szCs w:val="24"/>
                        </w:rPr>
                        <w:t>kuriuo panaikinama Direktyva 95/46</w:t>
                      </w:r>
                      <w:r>
                        <w:rPr>
                          <w:rFonts w:eastAsia="Arial"/>
                          <w:spacing w:val="-5"/>
                          <w:szCs w:val="24"/>
                        </w:rPr>
                        <w:t xml:space="preserve">/EB (Bendrasis </w:t>
                      </w:r>
                      <w:r>
                        <w:rPr>
                          <w:rFonts w:eastAsia="Arial"/>
                          <w:iCs/>
                          <w:spacing w:val="-5"/>
                          <w:szCs w:val="24"/>
                        </w:rPr>
                        <w:t>duomenų apsaugos reglamentas</w:t>
                      </w:r>
                      <w:r>
                        <w:rPr>
                          <w:rFonts w:eastAsia="Arial"/>
                          <w:spacing w:val="-5"/>
                          <w:szCs w:val="24"/>
                        </w:rPr>
                        <w:t xml:space="preserve">). Duomenys tvarkomi siekiant prižiūrėti </w:t>
                      </w:r>
                      <w:r>
                        <w:rPr>
                          <w:rFonts w:eastAsia="Arial"/>
                          <w:szCs w:val="24"/>
                        </w:rPr>
                        <w:t xml:space="preserve">ūkio subjektų veiklą ir pateikiami </w:t>
                      </w:r>
                      <w:r>
                        <w:rPr>
                          <w:rFonts w:eastAsia="Arial"/>
                          <w:spacing w:val="-5"/>
                          <w:szCs w:val="24"/>
                        </w:rPr>
                        <w:t xml:space="preserve">AAD </w:t>
                      </w:r>
                      <w:r>
                        <w:rPr>
                          <w:rFonts w:eastAsia="Arial"/>
                          <w:szCs w:val="24"/>
                        </w:rPr>
                        <w:t>ir kitoms ūkio subjektų veiklos priežiūrą vykdančioms</w:t>
                      </w:r>
                      <w:r>
                        <w:rPr>
                          <w:rFonts w:eastAsia="Arial"/>
                          <w:spacing w:val="-5"/>
                          <w:szCs w:val="24"/>
                        </w:rPr>
                        <w:t xml:space="preserve"> institucijoms paprašius susipažinti su kokybės valdymo sistema;</w:t>
                      </w:r>
                    </w:p>
                  </w:sdtContent>
                </w:sdt>
                <w:sdt>
                  <w:sdtPr>
                    <w:alias w:val="15.7 pp."/>
                    <w:tag w:val="part_c96f96043ec7493cadb7aa19c41754ba"/>
                    <w:lock w:val="sdtLocked"/>
                    <w:richText/>
                  </w:sdtPr>
                  <w:sdtContent>
                    <w:p>
                      <w:pPr>
                        <w:widowControl w:val="0"/>
                        <w:tabs>
                          <w:tab w:val="left" w:pos="1134"/>
                        </w:tabs>
                        <w:ind w:firstLine="567"/>
                        <w:jc w:val="both"/>
                        <w:rPr>
                          <w:rFonts w:eastAsia="Arial"/>
                          <w:szCs w:val="24"/>
                          <w:lang w:eastAsia="lt-LT"/>
                        </w:rPr>
                      </w:pPr>
                      <w:sdt>
                        <w:sdtPr>
                          <w:alias w:val="Numeris"/>
                          <w:tag w:val="nr_c96f96043ec7493cadb7aa19c41754ba"/>
                          <w:lock w:val="sdtLocked"/>
                          <w:richText/>
                        </w:sdtPr>
                        <w:sdtContent>
                          <w:r>
                            <w:rPr>
                              <w:rFonts w:eastAsia="Arial"/>
                              <w:spacing w:val="-5"/>
                              <w:szCs w:val="24"/>
                            </w:rPr>
                            <w:t>15.7</w:t>
                          </w:r>
                        </w:sdtContent>
                      </w:sdt>
                      <w:r>
                        <w:rPr>
                          <w:rFonts w:eastAsia="Arial"/>
                          <w:spacing w:val="-5"/>
                          <w:szCs w:val="24"/>
                        </w:rPr>
                        <w:t>. siuntos gavėjų atsiliepimai apie p</w:t>
                      </w:r>
                      <w:r>
                        <w:rPr>
                          <w:rFonts w:eastAsia="Arial"/>
                          <w:szCs w:val="24"/>
                          <w:lang w:eastAsia="lt-LT"/>
                        </w:rPr>
                        <w:t xml:space="preserve">adangų gumos antrines žaliavas. </w:t>
                      </w:r>
                    </w:p>
                  </w:sdtContent>
                </w:sdt>
              </w:sdtContent>
            </w:sdt>
            <w:sdt>
              <w:sdtPr>
                <w:alias w:val="16 p."/>
                <w:tag w:val="part_cf02edc723da41fb9a231e7a0f5d1d8b"/>
                <w:lock w:val="sdtLocked"/>
                <w:richText/>
              </w:sdtPr>
              <w:sdtContent>
                <w:p>
                  <w:pPr>
                    <w:tabs>
                      <w:tab w:val="left" w:pos="851"/>
                    </w:tabs>
                    <w:suppressAutoHyphens/>
                    <w:ind w:firstLine="556"/>
                    <w:jc w:val="both"/>
                    <w:rPr>
                      <w:spacing w:val="-5"/>
                      <w:szCs w:val="24"/>
                      <w:lang w:eastAsia="lt-LT"/>
                    </w:rPr>
                  </w:pPr>
                  <w:sdt>
                    <w:sdtPr>
                      <w:alias w:val="Numeris"/>
                      <w:tag w:val="nr_cf02edc723da41fb9a231e7a0f5d1d8b"/>
                      <w:lock w:val="sdtLocked"/>
                      <w:richText/>
                    </w:sdtPr>
                    <w:sdtContent>
                      <w:r>
                        <w:rPr>
                          <w:rFonts w:eastAsia="Arial"/>
                          <w:spacing w:val="-5"/>
                          <w:szCs w:val="24"/>
                        </w:rPr>
                        <w:t>16</w:t>
                      </w:r>
                    </w:sdtContent>
                  </w:sdt>
                  <w:r>
                    <w:rPr>
                      <w:rFonts w:eastAsia="Arial"/>
                      <w:spacing w:val="-5"/>
                      <w:szCs w:val="24"/>
                    </w:rPr>
                    <w:t>.</w:t>
                    <w:tab/>
                  </w:r>
                  <w:r>
                    <w:rPr>
                      <w:szCs w:val="24"/>
                      <w:lang w:eastAsia="lt-LT"/>
                    </w:rPr>
                    <w:t>Padangų gumos antrinių žaliavų gamintojo atliekamos vidinės kontrolės reikalavimai:</w:t>
                  </w:r>
                </w:p>
                <w:sdt>
                  <w:sdtPr>
                    <w:alias w:val="16.1 pp."/>
                    <w:tag w:val="part_c6cdca05d34a46348b8c6262b7bb9248"/>
                    <w:lock w:val="sdtLocked"/>
                    <w:richText/>
                  </w:sdtPr>
                  <w:sdtContent>
                    <w:p>
                      <w:pPr>
                        <w:tabs>
                          <w:tab w:val="left" w:pos="1134"/>
                        </w:tabs>
                        <w:suppressAutoHyphens/>
                        <w:ind w:firstLine="567"/>
                        <w:jc w:val="both"/>
                        <w:rPr>
                          <w:spacing w:val="-5"/>
                          <w:szCs w:val="24"/>
                          <w:lang w:eastAsia="lt-LT"/>
                        </w:rPr>
                      </w:pPr>
                      <w:sdt>
                        <w:sdtPr>
                          <w:alias w:val="Numeris"/>
                          <w:tag w:val="nr_c6cdca05d34a46348b8c6262b7bb9248"/>
                          <w:lock w:val="sdtLocked"/>
                          <w:richText/>
                        </w:sdtPr>
                        <w:sdtContent>
                          <w:r>
                            <w:rPr>
                              <w:rFonts w:eastAsia="Arial"/>
                              <w:spacing w:val="-5"/>
                              <w:szCs w:val="24"/>
                            </w:rPr>
                            <w:t>16.1</w:t>
                          </w:r>
                        </w:sdtContent>
                      </w:sdt>
                      <w:r>
                        <w:rPr>
                          <w:rFonts w:eastAsia="Arial"/>
                          <w:spacing w:val="-5"/>
                          <w:szCs w:val="24"/>
                        </w:rPr>
                        <w:t>.</w:t>
                        <w:tab/>
                      </w:r>
                      <w:r>
                        <w:rPr>
                          <w:szCs w:val="24"/>
                          <w:lang w:eastAsia="lt-LT"/>
                        </w:rPr>
                        <w:t>padangų atliekų kokybė vertinama vizualiai, atsižvelgiant į Aprašo 1 priedo 2.1 ir 3.6 papunkčius;</w:t>
                      </w:r>
                    </w:p>
                  </w:sdtContent>
                </w:sdt>
                <w:sdt>
                  <w:sdtPr>
                    <w:alias w:val="16.2 pp."/>
                    <w:tag w:val="part_af67d9a847714325b44311580e115c6e"/>
                    <w:lock w:val="sdtLocked"/>
                    <w:richText/>
                  </w:sdtPr>
                  <w:sdtContent>
                    <w:p>
                      <w:pPr>
                        <w:tabs>
                          <w:tab w:val="left" w:pos="1134"/>
                        </w:tabs>
                        <w:suppressAutoHyphens/>
                        <w:ind w:firstLine="567"/>
                        <w:jc w:val="both"/>
                        <w:rPr>
                          <w:spacing w:val="-5"/>
                          <w:szCs w:val="24"/>
                          <w:lang w:eastAsia="lt-LT"/>
                        </w:rPr>
                      </w:pPr>
                      <w:sdt>
                        <w:sdtPr>
                          <w:alias w:val="Numeris"/>
                          <w:tag w:val="nr_af67d9a847714325b44311580e115c6e"/>
                          <w:lock w:val="sdtLocked"/>
                          <w:richText/>
                        </w:sdtPr>
                        <w:sdtContent>
                          <w:r>
                            <w:rPr>
                              <w:rFonts w:eastAsia="Arial"/>
                              <w:spacing w:val="-5"/>
                              <w:szCs w:val="24"/>
                            </w:rPr>
                            <w:t>16.2</w:t>
                          </w:r>
                        </w:sdtContent>
                      </w:sdt>
                      <w:r>
                        <w:rPr>
                          <w:rFonts w:eastAsia="Arial"/>
                          <w:spacing w:val="-5"/>
                          <w:szCs w:val="24"/>
                        </w:rPr>
                        <w:t>.</w:t>
                        <w:tab/>
                      </w:r>
                      <w:r>
                        <w:rPr>
                          <w:spacing w:val="-5"/>
                          <w:szCs w:val="24"/>
                          <w:lang w:eastAsia="lt-LT"/>
                        </w:rPr>
                        <w:t>padangų gumos antrinių žaliavų kokybė vertinama vizualiai, atsižvelgiant į Aprašo 1 priedo 3 punktą, vadovaujantis kokybės valdymo sistema ir atlikus padangų gumos antrinių žaliavų ėminių laboratorinius tyrimus;</w:t>
                      </w:r>
                    </w:p>
                  </w:sdtContent>
                </w:sdt>
                <w:sdt>
                  <w:sdtPr>
                    <w:alias w:val="16.3 pp."/>
                    <w:tag w:val="part_94aed95f1ca340a1ba03dc202521370a"/>
                    <w:lock w:val="sdtLocked"/>
                    <w:richText/>
                  </w:sdtPr>
                  <w:sdtContent>
                    <w:p>
                      <w:pPr>
                        <w:tabs>
                          <w:tab w:val="left" w:pos="1134"/>
                        </w:tabs>
                        <w:suppressAutoHyphens/>
                        <w:ind w:firstLine="567"/>
                        <w:jc w:val="both"/>
                        <w:rPr>
                          <w:spacing w:val="-5"/>
                          <w:szCs w:val="24"/>
                          <w:lang w:eastAsia="lt-LT"/>
                        </w:rPr>
                      </w:pPr>
                      <w:sdt>
                        <w:sdtPr>
                          <w:alias w:val="Numeris"/>
                          <w:tag w:val="nr_94aed95f1ca340a1ba03dc202521370a"/>
                          <w:lock w:val="sdtLocked"/>
                          <w:richText/>
                        </w:sdtPr>
                        <w:sdtContent>
                          <w:r>
                            <w:rPr>
                              <w:rFonts w:eastAsia="Arial"/>
                              <w:spacing w:val="-5"/>
                              <w:szCs w:val="24"/>
                            </w:rPr>
                            <w:t>16.3</w:t>
                          </w:r>
                        </w:sdtContent>
                      </w:sdt>
                      <w:r>
                        <w:rPr>
                          <w:rFonts w:eastAsia="Arial"/>
                          <w:spacing w:val="-5"/>
                          <w:szCs w:val="24"/>
                        </w:rPr>
                        <w:t>.</w:t>
                        <w:tab/>
                      </w:r>
                      <w:r>
                        <w:rPr>
                          <w:spacing w:val="-5"/>
                          <w:szCs w:val="24"/>
                          <w:lang w:eastAsia="lt-LT"/>
                        </w:rPr>
                        <w:t>visoms Aprašo 4 punkte pateiktoms padangų gumos antrinėms žaliavoms atliekama ėminių analizė.</w:t>
                      </w:r>
                    </w:p>
                  </w:sdtContent>
                </w:sdt>
                <w:sdt>
                  <w:sdtPr>
                    <w:alias w:val="16.4 pp."/>
                    <w:tag w:val="part_ea2627e549f24774af3157df3f67c973"/>
                    <w:lock w:val="sdtLocked"/>
                    <w:richText/>
                  </w:sdtPr>
                  <w:sdtContent>
                    <w:p>
                      <w:pPr>
                        <w:tabs>
                          <w:tab w:val="left" w:pos="1134"/>
                        </w:tabs>
                        <w:suppressAutoHyphens/>
                        <w:ind w:firstLine="567"/>
                        <w:jc w:val="both"/>
                        <w:rPr>
                          <w:spacing w:val="-5"/>
                          <w:szCs w:val="24"/>
                          <w:lang w:eastAsia="lt-LT"/>
                        </w:rPr>
                      </w:pPr>
                      <w:sdt>
                        <w:sdtPr>
                          <w:alias w:val="Numeris"/>
                          <w:tag w:val="nr_ea2627e549f24774af3157df3f67c973"/>
                          <w:lock w:val="sdtLocked"/>
                          <w:richText/>
                        </w:sdtPr>
                        <w:sdtContent>
                          <w:r>
                            <w:rPr>
                              <w:rFonts w:eastAsia="Arial"/>
                              <w:spacing w:val="-5"/>
                              <w:szCs w:val="24"/>
                            </w:rPr>
                            <w:t>16.4</w:t>
                          </w:r>
                        </w:sdtContent>
                      </w:sdt>
                      <w:r>
                        <w:rPr>
                          <w:rFonts w:eastAsia="Arial"/>
                          <w:spacing w:val="-5"/>
                          <w:szCs w:val="24"/>
                        </w:rPr>
                        <w:t>.</w:t>
                        <w:tab/>
                      </w:r>
                      <w:r>
                        <w:rPr>
                          <w:spacing w:val="-5"/>
                          <w:szCs w:val="24"/>
                          <w:lang w:eastAsia="lt-LT"/>
                        </w:rPr>
                        <w:t>pagal pateiktą padangų gumos antrinių žaliavų techninę specifikaciją perleidžiant padangų gumos antrines žaliavas gali būti atliekami kiti laboratoriniai tyrimai. Ėminių ėmimas atliekamas vadovaujantis kokybės valdymo sistema.</w:t>
                      </w:r>
                    </w:p>
                  </w:sdtContent>
                </w:sdt>
              </w:sdtContent>
            </w:sdt>
            <w:sdt>
              <w:sdtPr>
                <w:alias w:val="17 p."/>
                <w:tag w:val="part_e34f55bf78114c0fa081159856efe1dc"/>
                <w:lock w:val="sdtLocked"/>
                <w:richText/>
              </w:sdtPr>
              <w:sdtContent>
                <w:p>
                  <w:pPr>
                    <w:tabs>
                      <w:tab w:val="left" w:pos="993"/>
                    </w:tabs>
                    <w:suppressAutoHyphens/>
                    <w:ind w:firstLine="567"/>
                    <w:jc w:val="both"/>
                    <w:rPr>
                      <w:spacing w:val="-5"/>
                      <w:szCs w:val="24"/>
                      <w:lang w:eastAsia="lt-LT"/>
                    </w:rPr>
                  </w:pPr>
                  <w:sdt>
                    <w:sdtPr>
                      <w:alias w:val="Numeris"/>
                      <w:tag w:val="nr_e34f55bf78114c0fa081159856efe1dc"/>
                      <w:lock w:val="sdtLocked"/>
                      <w:richText/>
                    </w:sdtPr>
                    <w:sdtContent>
                      <w:r>
                        <w:rPr>
                          <w:rFonts w:eastAsia="Arial"/>
                          <w:spacing w:val="-5"/>
                          <w:szCs w:val="24"/>
                        </w:rPr>
                        <w:t>17</w:t>
                      </w:r>
                    </w:sdtContent>
                  </w:sdt>
                  <w:r>
                    <w:rPr>
                      <w:rFonts w:eastAsia="Arial"/>
                      <w:spacing w:val="-5"/>
                      <w:szCs w:val="24"/>
                    </w:rPr>
                    <w:t>.</w:t>
                    <w:tab/>
                  </w:r>
                  <w:r>
                    <w:rPr>
                      <w:spacing w:val="-5"/>
                      <w:szCs w:val="24"/>
                      <w:lang w:eastAsia="lt-LT"/>
                    </w:rPr>
                    <w:t xml:space="preserve">AAD </w:t>
                  </w:r>
                  <w:r>
                    <w:rPr>
                      <w:szCs w:val="24"/>
                      <w:lang w:eastAsia="lt-LT"/>
                    </w:rPr>
                    <w:t>ir kitoms ūkio subjektų veiklos priežiūrą vykdančioms</w:t>
                  </w:r>
                  <w:r>
                    <w:rPr>
                      <w:spacing w:val="-5"/>
                      <w:szCs w:val="24"/>
                      <w:lang w:eastAsia="lt-LT"/>
                    </w:rPr>
                    <w:t xml:space="preserve"> institucijoms paprašius, </w:t>
                  </w:r>
                  <w:r>
                    <w:rPr>
                      <w:szCs w:val="24"/>
                      <w:lang w:eastAsia="lt-LT"/>
                    </w:rPr>
                    <w:t>padangų gumos antrinių žaliavų</w:t>
                  </w:r>
                  <w:r>
                    <w:rPr>
                      <w:spacing w:val="-5"/>
                      <w:szCs w:val="24"/>
                      <w:lang w:eastAsia="lt-LT"/>
                    </w:rPr>
                    <w:t xml:space="preserve"> gamintojas leidžia susipažinti su kokybės valdymo sistema</w:t>
                  </w:r>
                  <w:r>
                    <w:rPr>
                      <w:sz w:val="16"/>
                      <w:szCs w:val="16"/>
                      <w:lang w:eastAsia="lt-LT"/>
                    </w:rPr>
                    <w:t>.</w:t>
                  </w:r>
                </w:p>
              </w:sdtContent>
            </w:sdt>
            <w:sdt>
              <w:sdtPr>
                <w:alias w:val="18 p."/>
                <w:tag w:val="part_0b629a3c17854eaba05f9ec34be7f241"/>
                <w:lock w:val="sdtLocked"/>
                <w:richText/>
              </w:sdtPr>
              <w:sdtContent>
                <w:p>
                  <w:pPr>
                    <w:suppressAutoHyphens/>
                    <w:ind w:firstLine="567"/>
                    <w:jc w:val="both"/>
                    <w:rPr>
                      <w:spacing w:val="-5"/>
                      <w:szCs w:val="24"/>
                      <w:lang w:eastAsia="lt-LT"/>
                    </w:rPr>
                  </w:pPr>
                  <w:sdt>
                    <w:sdtPr>
                      <w:alias w:val="Numeris"/>
                      <w:tag w:val="nr_0b629a3c17854eaba05f9ec34be7f241"/>
                      <w:lock w:val="sdtLocked"/>
                      <w:richText/>
                    </w:sdtPr>
                    <w:sdtContent>
                      <w:r>
                        <w:rPr>
                          <w:spacing w:val="-5"/>
                          <w:lang w:eastAsia="lt-LT"/>
                        </w:rPr>
                        <w:t>18</w:t>
                      </w:r>
                    </w:sdtContent>
                  </w:sdt>
                  <w:r>
                    <w:rPr>
                      <w:spacing w:val="-5"/>
                      <w:lang w:eastAsia="lt-LT"/>
                    </w:rPr>
                    <w:t xml:space="preserve">. </w:t>
                  </w:r>
                  <w:r>
                    <w:rPr>
                      <w:lang w:eastAsia="lt-LT"/>
                    </w:rPr>
                    <w:t xml:space="preserve">Jei kokybės valdymo sistema vertinama pagal Reglamentą (EB) Nr. 765/2008 ar 2009 m. lapkričio 25 d. Europos Parlamento ir Tarybos reglamentą (EB) Nr. 1221/2009 dėl organizacijų savanoriško Bendrijos aplinkosaugos vadybos ir audito sistemos (EMAS) taikymo, panaikinantį Reglamentą (EB) Nr. 761/2001 ir Komisijos sprendimus 2001/681/EB bei 2006/193/EB, su paskutiniais pakeitimais, padarytais 2023 m. birželio 21 d. Komisijos reglamentu (ES) 2023/1199, </w:t>
                  </w:r>
                  <w:r>
                    <w:rPr>
                      <w:shd w:val="clear" w:color="auto" w:fill="FFFFFF"/>
                      <w:lang w:eastAsia="lt-LT"/>
                    </w:rPr>
                    <w:t xml:space="preserve">Reglamente (EB) Nr. 765/2008 apibrėžta atitikties vertinimo įstaiga, gavusi akreditaciją pagal tą reglamentą, arba bet kuris kitas Reglamento (EB) Nr. 1221/2009 2 straipsnio 20 dalies b punkte apibrėžtas aplinkosaugos vertintojas įvertina, ar kokybės valdymo sistema atitinka šio skyriaus reikalavimus. Vertinimas atliekamas </w:t>
                  </w:r>
                  <w:r>
                    <w:rPr>
                      <w:lang w:eastAsia="lt-LT"/>
                    </w:rPr>
                    <w:t>šiame punkte nustatytuose reglamentuose nurodytu periodiškumu</w:t>
                  </w:r>
                  <w:r>
                    <w:rPr>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101619ffe11efa605b9842742bf3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2024-11-11,
paskelbta TAR 2024-11-11, i. k. 2024-19588            </w:t>
                  </w:r>
                </w:p>
                <w:p/>
              </w:sdtContent>
            </w:sdt>
            <w:sdt>
              <w:sdtPr>
                <w:alias w:val="19 p."/>
                <w:tag w:val="part_10a62917b9f640228899109deca60ee8"/>
                <w:lock w:val="sdtLocked"/>
                <w:richText/>
              </w:sdtPr>
              <w:sdtContent>
                <w:p>
                  <w:pPr>
                    <w:tabs>
                      <w:tab w:val="left" w:pos="993"/>
                    </w:tabs>
                    <w:suppressAutoHyphens/>
                    <w:ind w:firstLine="567"/>
                    <w:jc w:val="both"/>
                    <w:rPr>
                      <w:spacing w:val="-5"/>
                      <w:szCs w:val="24"/>
                      <w:lang w:eastAsia="lt-LT"/>
                    </w:rPr>
                  </w:pPr>
                  <w:sdt>
                    <w:sdtPr>
                      <w:alias w:val="Numeris"/>
                      <w:tag w:val="nr_10a62917b9f640228899109deca60ee8"/>
                      <w:lock w:val="sdtLocked"/>
                      <w:richText/>
                    </w:sdtPr>
                    <w:sdtContent>
                      <w:r>
                        <w:rPr>
                          <w:rFonts w:eastAsia="Arial"/>
                          <w:spacing w:val="-5"/>
                          <w:szCs w:val="24"/>
                        </w:rPr>
                        <w:t>19</w:t>
                      </w:r>
                    </w:sdtContent>
                  </w:sdt>
                  <w:r>
                    <w:rPr>
                      <w:rFonts w:eastAsia="Arial"/>
                      <w:spacing w:val="-5"/>
                      <w:szCs w:val="24"/>
                    </w:rPr>
                    <w:t>.</w:t>
                    <w:tab/>
                  </w:r>
                  <w:r>
                    <w:rPr>
                      <w:szCs w:val="24"/>
                      <w:lang w:eastAsia="lt-LT"/>
                    </w:rPr>
                    <w:t>Padangų gumos antrinių žaliavų gamintojas turi saugoti kokybės valdymo sistemos aprašymą ne trumpiau kaip penkerius metus nuo padangų atliekų naudojimo veiklos nutraukimo.</w:t>
                  </w:r>
                </w:p>
                <w:p>
                  <w:pPr>
                    <w:tabs>
                      <w:tab w:val="left" w:pos="717"/>
                    </w:tabs>
                    <w:suppressAutoHyphens/>
                    <w:jc w:val="both"/>
                    <w:rPr>
                      <w:szCs w:val="24"/>
                      <w:lang w:eastAsia="lt-LT"/>
                    </w:rPr>
                  </w:pPr>
                </w:p>
              </w:sdtContent>
            </w:sdt>
          </w:sdtContent>
        </w:sdt>
        <w:sdt>
          <w:sdtPr>
            <w:alias w:val="pabaiga"/>
            <w:tag w:val="part_81d8d04b513f44a08f5d75e8376e418b"/>
            <w:lock w:val="sdtLocked"/>
            <w:richText/>
          </w:sdtPr>
          <w:sdtContent>
            <w:p>
              <w:pPr>
                <w:suppressAutoHyphens/>
                <w:ind w:firstLine="567"/>
                <w:jc w:val="center"/>
                <w:rPr>
                  <w:lang w:eastAsia="lt-LT"/>
                </w:rPr>
              </w:pPr>
              <w:r>
                <w:rPr>
                  <w:color w:val="000000"/>
                  <w:szCs w:val="24"/>
                  <w:lang w:eastAsia="lt-LT"/>
                </w:rPr>
                <w:t>___________________________________</w:t>
              </w:r>
            </w:p>
          </w:sdtContent>
        </w:sdt>
      </w:sdtContent>
    </w:sdt>
    <w:sdt>
      <w:sdtPr>
        <w:alias w:val="1 pr."/>
        <w:tag w:val="part_ab2ea07542ed4de79b49dd5ed8e3e1a4"/>
        <w:lock w:val="sdtLocked"/>
        <w:richText/>
      </w:sdtPr>
      <w:sdtContent>
        <w:p>
          <w:pPr>
            <w:tabs>
              <w:tab w:val="left" w:pos="717"/>
            </w:tabs>
            <w:suppressAutoHyphens/>
            <w:jc w:val="both"/>
            <w:rPr>
              <w:szCs w:val="24"/>
              <w:lang w:eastAsia="lt-LT"/>
            </w:rPr>
            <w:sectPr>
              <w:headerReference w:type="first" r:id="rId20"/>
              <w:pgSz w:w="11900" w:h="16840"/>
              <w:pgMar w:top="709" w:right="567" w:bottom="1134" w:left="1701" w:header="567" w:footer="567" w:gutter="0"/>
              <w:pgNumType w:start="1"/>
              <w:cols w:space="1296"/>
              <w:titlePg/>
              <w:docGrid w:linePitch="326"/>
            </w:sectPr>
          </w:pPr>
        </w:p>
        <w:p>
          <w:pPr>
            <w:widowControl w:val="0"/>
            <w:tabs>
              <w:tab w:val="left" w:pos="8821"/>
            </w:tabs>
            <w:ind w:left="6237"/>
            <w:rPr>
              <w:rFonts w:eastAsia="Arial"/>
              <w:szCs w:val="24"/>
            </w:rPr>
          </w:pPr>
          <w:r>
            <w:rPr>
              <w:rFonts w:eastAsia="Arial"/>
              <w:szCs w:val="22"/>
            </w:rPr>
            <w:t xml:space="preserve">Perdirbtų </w:t>
          </w:r>
          <w:r>
            <w:rPr>
              <w:rFonts w:eastAsia="Arial"/>
              <w:szCs w:val="24"/>
            </w:rPr>
            <w:t>padangų atliekų</w:t>
          </w:r>
        </w:p>
        <w:p>
          <w:pPr>
            <w:widowControl w:val="0"/>
            <w:tabs>
              <w:tab w:val="left" w:pos="8821"/>
            </w:tabs>
            <w:ind w:left="6237"/>
            <w:rPr>
              <w:rFonts w:eastAsia="Arial"/>
              <w:szCs w:val="24"/>
            </w:rPr>
          </w:pPr>
          <w:r>
            <w:rPr>
              <w:rFonts w:eastAsia="Arial"/>
              <w:szCs w:val="24"/>
            </w:rPr>
            <w:t>nebelaikymo atliekomis kriterijų</w:t>
          </w:r>
        </w:p>
        <w:p>
          <w:pPr>
            <w:widowControl w:val="0"/>
            <w:tabs>
              <w:tab w:val="left" w:pos="8821"/>
            </w:tabs>
            <w:ind w:left="6237"/>
            <w:rPr>
              <w:rFonts w:eastAsia="Arial"/>
              <w:szCs w:val="24"/>
            </w:rPr>
          </w:pPr>
          <w:r>
            <w:rPr>
              <w:rFonts w:eastAsia="Arial"/>
              <w:szCs w:val="24"/>
            </w:rPr>
            <w:t>aprašo</w:t>
          </w:r>
        </w:p>
        <w:p>
          <w:pPr>
            <w:widowControl w:val="0"/>
            <w:tabs>
              <w:tab w:val="left" w:pos="8821"/>
            </w:tabs>
            <w:ind w:left="6237"/>
            <w:rPr>
              <w:rFonts w:eastAsia="Arial"/>
              <w:szCs w:val="24"/>
            </w:rPr>
          </w:pPr>
          <w:sdt>
            <w:sdtPr>
              <w:alias w:val="Numeris"/>
              <w:tag w:val="nr_ab2ea07542ed4de79b49dd5ed8e3e1a4"/>
              <w:lock w:val="sdtLocked"/>
              <w:richText/>
            </w:sdtPr>
            <w:sdtContent>
              <w:r>
                <w:rPr>
                  <w:rFonts w:eastAsia="Arial"/>
                  <w:szCs w:val="24"/>
                </w:rPr>
                <w:t>1</w:t>
              </w:r>
            </w:sdtContent>
          </w:sdt>
          <w:r>
            <w:rPr>
              <w:rFonts w:eastAsia="Arial"/>
              <w:szCs w:val="24"/>
            </w:rPr>
            <w:t xml:space="preserve"> priedas </w:t>
          </w:r>
        </w:p>
        <w:p>
          <w:pPr>
            <w:suppressAutoHyphens/>
            <w:ind w:left="5670"/>
            <w:rPr>
              <w:szCs w:val="24"/>
              <w:lang w:eastAsia="lt-LT"/>
            </w:rPr>
          </w:pPr>
        </w:p>
        <w:sdt>
          <w:sdtPr>
            <w:alias w:val="Pavadinimas"/>
            <w:tag w:val="title_ab2ea07542ed4de79b49dd5ed8e3e1a4"/>
            <w:lock w:val="sdtLocked"/>
            <w:richText/>
          </w:sdtPr>
          <w:sdtContent>
            <w:p>
              <w:pPr>
                <w:keepNext/>
                <w:suppressAutoHyphens/>
                <w:jc w:val="center"/>
                <w:rPr>
                  <w:b/>
                  <w:kern w:val="1"/>
                  <w:szCs w:val="24"/>
                  <w:lang w:eastAsia="lt-LT"/>
                </w:rPr>
              </w:pPr>
              <w:r>
                <w:rPr>
                  <w:b/>
                  <w:kern w:val="1"/>
                  <w:szCs w:val="24"/>
                  <w:lang w:eastAsia="lt-LT"/>
                </w:rPr>
                <w:t xml:space="preserve">PERDIRBTŲ PADANGŲ ATLIEKŲ NEBELAIKYMO ATLIEKOMIS KRITERIJAI </w:t>
              </w:r>
            </w:p>
          </w:sdtContent>
        </w:sdt>
        <w:p/>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859"/>
            <w:gridCol w:w="8644"/>
          </w:tblGrid>
          <w:tr>
            <w:trPr>
              <w:trHeight w:val="424"/>
            </w:trPr>
            <w:tc>
              <w:tcPr>
                <w:tcW w:w="859" w:type="dxa"/>
                <w:tcBorders>
                  <w:right w:val="single" w:sz="4" w:space="0" w:color="auto"/>
                </w:tcBorders>
                <w:vAlign w:val="center"/>
              </w:tcPr>
              <w:p>
                <w:pPr>
                  <w:suppressAutoHyphens/>
                  <w:rPr>
                    <w:b/>
                    <w:szCs w:val="24"/>
                    <w:lang w:eastAsia="lt-LT"/>
                  </w:rPr>
                </w:pPr>
                <w:r>
                  <w:rPr>
                    <w:b/>
                    <w:szCs w:val="24"/>
                    <w:lang w:eastAsia="lt-LT"/>
                  </w:rPr>
                  <w:t>Eil. Nr.</w:t>
                </w:r>
              </w:p>
            </w:tc>
            <w:tc>
              <w:tcPr>
                <w:tcW w:w="8644" w:type="dxa"/>
                <w:tcBorders>
                  <w:left w:val="single" w:sz="4" w:space="0" w:color="auto"/>
                  <w:right w:val="single" w:sz="6" w:space="0" w:color="414142"/>
                </w:tcBorders>
                <w:vAlign w:val="center"/>
              </w:tcPr>
              <w:p>
                <w:pPr>
                  <w:suppressAutoHyphens/>
                  <w:rPr>
                    <w:b/>
                    <w:color w:val="000000"/>
                    <w:szCs w:val="24"/>
                    <w:lang w:eastAsia="lt-LT"/>
                  </w:rPr>
                </w:pPr>
                <w:r>
                  <w:rPr>
                    <w:b/>
                    <w:szCs w:val="24"/>
                    <w:lang w:eastAsia="lt-LT"/>
                  </w:rPr>
                  <w:t>Kriterijai</w:t>
                </w:r>
              </w:p>
            </w:tc>
          </w:tr>
          <w:tr>
            <w:trPr>
              <w:trHeight w:val="220"/>
            </w:trPr>
            <w:tc>
              <w:tcPr>
                <w:tcW w:w="859" w:type="dxa"/>
                <w:tcBorders>
                  <w:right w:val="single" w:sz="4" w:space="0" w:color="auto"/>
                </w:tcBorders>
                <w:vAlign w:val="center"/>
              </w:tcPr>
              <w:p>
                <w:pPr>
                  <w:suppressAutoHyphens/>
                  <w:jc w:val="center"/>
                  <w:rPr>
                    <w:szCs w:val="24"/>
                    <w:lang w:eastAsia="lt-LT"/>
                  </w:rPr>
                </w:pPr>
                <w:r>
                  <w:rPr>
                    <w:szCs w:val="24"/>
                    <w:lang w:eastAsia="lt-LT"/>
                  </w:rPr>
                  <w:t>1.</w:t>
                </w:r>
              </w:p>
            </w:tc>
            <w:tc>
              <w:tcPr>
                <w:tcW w:w="8644" w:type="dxa"/>
                <w:tcBorders>
                  <w:left w:val="single" w:sz="4" w:space="0" w:color="auto"/>
                  <w:right w:val="single" w:sz="6" w:space="0" w:color="414142"/>
                </w:tcBorders>
              </w:tcPr>
              <w:p>
                <w:pPr>
                  <w:suppressAutoHyphens/>
                  <w:jc w:val="both"/>
                  <w:rPr>
                    <w:szCs w:val="24"/>
                    <w:lang w:eastAsia="lt-LT"/>
                  </w:rPr>
                </w:pPr>
                <w:r>
                  <w:rPr>
                    <w:color w:val="000000"/>
                    <w:szCs w:val="24"/>
                    <w:lang w:eastAsia="lt-LT"/>
                  </w:rPr>
                  <w:t>leistinos naudoti atliekos ir jų kiekis atliekų naudojimo veikloje</w:t>
                </w:r>
              </w:p>
            </w:tc>
          </w:tr>
          <w:tr>
            <w:trPr>
              <w:trHeight w:val="175"/>
            </w:trPr>
            <w:tc>
              <w:tcPr>
                <w:tcW w:w="859" w:type="dxa"/>
                <w:tcBorders>
                  <w:right w:val="single" w:sz="4" w:space="0" w:color="auto"/>
                </w:tcBorders>
                <w:vAlign w:val="center"/>
              </w:tcPr>
              <w:p>
                <w:pPr>
                  <w:suppressAutoHyphens/>
                  <w:jc w:val="center"/>
                  <w:rPr>
                    <w:szCs w:val="24"/>
                    <w:lang w:eastAsia="lt-LT"/>
                  </w:rPr>
                </w:pPr>
                <w:r>
                  <w:rPr>
                    <w:szCs w:val="24"/>
                    <w:lang w:eastAsia="lt-LT"/>
                  </w:rPr>
                  <w:t>1.1.</w:t>
                </w:r>
              </w:p>
            </w:tc>
            <w:tc>
              <w:tcPr>
                <w:tcW w:w="8644" w:type="dxa"/>
                <w:tcBorders>
                  <w:left w:val="single" w:sz="4" w:space="0" w:color="auto"/>
                  <w:right w:val="single" w:sz="6" w:space="0" w:color="414142"/>
                </w:tcBorders>
              </w:tcPr>
              <w:p>
                <w:pPr>
                  <w:suppressAutoHyphens/>
                  <w:jc w:val="both"/>
                  <w:rPr>
                    <w:szCs w:val="24"/>
                    <w:lang w:eastAsia="lt-LT"/>
                  </w:rPr>
                </w:pPr>
                <w:r>
                  <w:rPr>
                    <w:szCs w:val="24"/>
                    <w:lang w:eastAsia="lt-LT"/>
                  </w:rPr>
                  <w:t>naudojamos naudoti netinkamos padangos (toliau – padangų atliekos) identifikuojamos 16 01 03 atliekų kodu</w:t>
                </w:r>
              </w:p>
            </w:tc>
          </w:tr>
          <w:tr>
            <w:trPr>
              <w:trHeight w:val="387"/>
            </w:trPr>
            <w:tc>
              <w:tcPr>
                <w:tcW w:w="859" w:type="dxa"/>
                <w:tcBorders>
                  <w:right w:val="single" w:sz="4" w:space="0" w:color="auto"/>
                </w:tcBorders>
                <w:vAlign w:val="center"/>
              </w:tcPr>
              <w:p>
                <w:pPr>
                  <w:suppressAutoHyphens/>
                  <w:jc w:val="center"/>
                  <w:rPr>
                    <w:szCs w:val="24"/>
                    <w:lang w:eastAsia="lt-LT"/>
                  </w:rPr>
                </w:pPr>
                <w:r>
                  <w:rPr>
                    <w:szCs w:val="24"/>
                    <w:lang w:eastAsia="lt-LT"/>
                  </w:rPr>
                  <w:t>1.2.</w:t>
                </w:r>
              </w:p>
            </w:tc>
            <w:tc>
              <w:tcPr>
                <w:tcW w:w="8644" w:type="dxa"/>
                <w:tcBorders>
                  <w:left w:val="single" w:sz="4" w:space="0" w:color="auto"/>
                  <w:right w:val="single" w:sz="6" w:space="0" w:color="414142"/>
                </w:tcBorders>
              </w:tcPr>
              <w:p>
                <w:pPr>
                  <w:suppressAutoHyphens/>
                  <w:jc w:val="both"/>
                  <w:rPr>
                    <w:szCs w:val="24"/>
                    <w:lang w:eastAsia="lt-LT"/>
                  </w:rPr>
                </w:pPr>
                <w:r>
                  <w:rPr>
                    <w:szCs w:val="24"/>
                    <w:lang w:eastAsia="lt-LT"/>
                  </w:rPr>
                  <w:t>Taršos ar taršos integruotos prevencijos ir kontrolės leidime eksploatuoti padangų atliekų naudojimo ar šalinimo įrenginį turi būti nurodytas didžiausias numatomas apdoroti padangų atliekų kiekis, padangų atliekų perdirbimo pajėgumai, leidžiamos padangų atliekų perdirbimo veiklos, padangų atliekų laikymo sąlygos, perdirbimo technologinio proceso aprašymas, padangų atliekų kiekis ir kiti reikalavimai, nustatyti vadovaujantis teisės aktais, reglamentuojančiais šio leidimo išdavimą ir pakeitimą</w:t>
                </w:r>
              </w:p>
            </w:tc>
          </w:tr>
          <w:tr>
            <w:trPr>
              <w:trHeight w:val="182"/>
            </w:trPr>
            <w:tc>
              <w:tcPr>
                <w:tcW w:w="859"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w:t>
                </w:r>
              </w:p>
            </w:tc>
            <w:tc>
              <w:tcPr>
                <w:tcW w:w="8644" w:type="dxa"/>
                <w:tcBorders>
                  <w:top w:val="single" w:sz="6" w:space="0" w:color="414142"/>
                  <w:left w:val="single" w:sz="6" w:space="0" w:color="414142"/>
                  <w:bottom w:val="nil"/>
                  <w:right w:val="single" w:sz="6" w:space="0" w:color="414142"/>
                </w:tcBorders>
              </w:tcPr>
              <w:p>
                <w:pPr>
                  <w:suppressAutoHyphens/>
                  <w:jc w:val="both"/>
                  <w:rPr>
                    <w:szCs w:val="24"/>
                    <w:lang w:eastAsia="lt-LT"/>
                  </w:rPr>
                </w:pPr>
                <w:r>
                  <w:rPr>
                    <w:color w:val="000000"/>
                    <w:szCs w:val="24"/>
                    <w:lang w:eastAsia="lt-LT"/>
                  </w:rPr>
                  <w:t>leistini atliekų naudojimo procesai ir metodai</w:t>
                </w:r>
              </w:p>
            </w:tc>
          </w:tr>
          <w:tr>
            <w:trPr>
              <w:trHeight w:val="266"/>
            </w:trPr>
            <w:tc>
              <w:tcPr>
                <w:tcW w:w="859"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2.1.</w:t>
                </w:r>
              </w:p>
            </w:tc>
            <w:tc>
              <w:tcPr>
                <w:tcW w:w="8644" w:type="dxa"/>
                <w:tcBorders>
                  <w:top w:val="single" w:sz="6" w:space="0" w:color="414142"/>
                  <w:left w:val="single" w:sz="6" w:space="0" w:color="414142"/>
                  <w:bottom w:val="nil"/>
                  <w:right w:val="single" w:sz="6" w:space="0" w:color="414142"/>
                </w:tcBorders>
              </w:tcPr>
              <w:p>
                <w:pPr>
                  <w:suppressAutoHyphens/>
                  <w:jc w:val="both"/>
                  <w:rPr>
                    <w:szCs w:val="24"/>
                    <w:lang w:eastAsia="lt-LT"/>
                  </w:rPr>
                </w:pPr>
                <w:r>
                  <w:rPr>
                    <w:szCs w:val="24"/>
                    <w:lang w:eastAsia="lt-LT"/>
                  </w:rPr>
                  <w:t>prieš perdirbant padangų atliekas pašalinamos neleistinos priemaišos (pvz., akmenys, metalo priedai, įvairios medžiagos ar atliekos, tekstilės priedai, jei perdirbama į Perdirbtų padangų atliekų nebelaikymo atliekomis kriterijų aprašo (toliau – Aprašas) 4.1 ir 4.2 papunkčiuose nurodytas medžiagų rūšis)</w:t>
                </w:r>
              </w:p>
            </w:tc>
          </w:tr>
          <w:tr>
            <w:trPr>
              <w:trHeight w:val="434"/>
            </w:trPr>
            <w:tc>
              <w:tcPr>
                <w:tcW w:w="859"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2.2.</w:t>
                </w:r>
              </w:p>
            </w:tc>
            <w:tc>
              <w:tcPr>
                <w:tcW w:w="8644" w:type="dxa"/>
                <w:tcBorders>
                  <w:top w:val="single" w:sz="6" w:space="0" w:color="414142"/>
                  <w:left w:val="single" w:sz="6" w:space="0" w:color="414142"/>
                  <w:bottom w:val="nil"/>
                  <w:right w:val="single" w:sz="6" w:space="0" w:color="414142"/>
                </w:tcBorders>
              </w:tcPr>
              <w:p>
                <w:pPr>
                  <w:suppressAutoHyphens/>
                  <w:jc w:val="both"/>
                  <w:rPr>
                    <w:szCs w:val="24"/>
                    <w:lang w:eastAsia="lt-LT"/>
                  </w:rPr>
                </w:pPr>
                <w:r>
                  <w:rPr>
                    <w:szCs w:val="24"/>
                    <w:lang w:eastAsia="lt-LT"/>
                  </w:rPr>
                  <w:t>Taršos ar taršos integruotos prevencijos ir kontrolės leidime nustatyta, kad vykdomas padangų atliekų naudojimas priskirtinas R3 (Organinių medžiagų, nenaudojamų kaip tirpikliai, perdirbimas ir (arba) atnaujinimas (įskaitant kompostavimą ir kitus biologinio keitimo procesus) kodui</w:t>
                </w:r>
              </w:p>
            </w:tc>
          </w:tr>
          <w:tr>
            <w:trPr>
              <w:trHeight w:val="476"/>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w:t>
                </w:r>
              </w:p>
            </w:tc>
            <w:tc>
              <w:tcPr>
                <w:tcW w:w="8644" w:type="dxa"/>
                <w:tcBorders>
                  <w:top w:val="single" w:sz="6" w:space="0" w:color="414142"/>
                  <w:left w:val="single" w:sz="6" w:space="0" w:color="414142"/>
                  <w:right w:val="single" w:sz="6" w:space="0" w:color="414142"/>
                </w:tcBorders>
              </w:tcPr>
              <w:p>
                <w:pPr>
                  <w:suppressAutoHyphens/>
                  <w:jc w:val="both"/>
                  <w:rPr>
                    <w:szCs w:val="24"/>
                    <w:lang w:eastAsia="lt-LT"/>
                  </w:rPr>
                </w:pPr>
                <w:r>
                  <w:rPr>
                    <w:color w:val="000000"/>
                    <w:szCs w:val="24"/>
                    <w:lang w:eastAsia="lt-LT"/>
                  </w:rPr>
                  <w:t>padangų gumos antrinių žaliavų kokybės kriterijai pagal taikytinus produktų standartus, medžiagos ar daikto kokybės reikalavimus, įskaitant, jeigu taikoma, teršalų ribines vertes ir priemaišų kiekį</w:t>
                </w:r>
              </w:p>
            </w:tc>
          </w:tr>
          <w:tr>
            <w:trPr>
              <w:trHeight w:val="476"/>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3.1.</w:t>
                </w:r>
              </w:p>
            </w:tc>
            <w:tc>
              <w:tcPr>
                <w:tcW w:w="8644"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mechaniniu būdu perdirbus padangų atliekas gaunama gumos medžiaga priskiriama prie vienos iš Aprašo 4 punkte nurodytų medžiagų rūšių</w:t>
                </w:r>
              </w:p>
            </w:tc>
          </w:tr>
          <w:tr>
            <w:trPr>
              <w:trHeight w:val="197"/>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3.2.</w:t>
                </w:r>
              </w:p>
            </w:tc>
            <w:tc>
              <w:tcPr>
                <w:tcW w:w="8644" w:type="dxa"/>
                <w:tcBorders>
                  <w:top w:val="single" w:sz="6" w:space="0" w:color="414142"/>
                  <w:left w:val="single" w:sz="6" w:space="0" w:color="414142"/>
                  <w:right w:val="single" w:sz="6" w:space="0" w:color="414142"/>
                </w:tcBorders>
              </w:tcPr>
              <w:p>
                <w:pPr>
                  <w:suppressAutoHyphens/>
                  <w:jc w:val="both"/>
                  <w:rPr>
                    <w:color w:val="000000"/>
                    <w:szCs w:val="24"/>
                    <w:lang w:eastAsia="lt-LT"/>
                  </w:rPr>
                </w:pPr>
                <w:r>
                  <w:rPr>
                    <w:szCs w:val="24"/>
                    <w:lang w:eastAsia="lt-LT"/>
                  </w:rPr>
                  <w:t>atitinka techninius reikalavimus, produktams taikytinus teisės aktus ir standartus</w:t>
                </w:r>
              </w:p>
            </w:tc>
          </w:tr>
          <w:tr>
            <w:trPr>
              <w:trHeight w:val="276"/>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3.3.</w:t>
                </w:r>
              </w:p>
            </w:tc>
            <w:tc>
              <w:tcPr>
                <w:tcW w:w="8644" w:type="dxa"/>
                <w:tcBorders>
                  <w:top w:val="single" w:sz="6" w:space="0" w:color="414142"/>
                  <w:left w:val="single" w:sz="6" w:space="0" w:color="414142"/>
                  <w:right w:val="single" w:sz="6" w:space="0" w:color="414142"/>
                </w:tcBorders>
              </w:tcPr>
              <w:p>
                <w:pPr>
                  <w:suppressAutoHyphens/>
                  <w:jc w:val="both"/>
                  <w:rPr>
                    <w:color w:val="000000"/>
                    <w:szCs w:val="24"/>
                    <w:lang w:eastAsia="lt-LT"/>
                  </w:rPr>
                </w:pPr>
                <w:r>
                  <w:rPr>
                    <w:szCs w:val="24"/>
                    <w:lang w:eastAsia="lt-LT"/>
                  </w:rPr>
                  <w:t>atitinka siuntos gavėjo pateiktą techninę specifikaciją</w:t>
                </w:r>
              </w:p>
            </w:tc>
          </w:tr>
          <w:tr>
            <w:trPr>
              <w:trHeight w:val="476"/>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3.4.</w:t>
                </w:r>
              </w:p>
            </w:tc>
            <w:tc>
              <w:tcPr>
                <w:tcW w:w="8644" w:type="dxa"/>
                <w:tcBorders>
                  <w:top w:val="single" w:sz="6" w:space="0" w:color="414142"/>
                  <w:left w:val="single" w:sz="6" w:space="0" w:color="414142"/>
                  <w:right w:val="single" w:sz="6" w:space="0" w:color="414142"/>
                </w:tcBorders>
              </w:tcPr>
              <w:p>
                <w:pPr>
                  <w:suppressAutoHyphens/>
                  <w:jc w:val="both"/>
                  <w:rPr>
                    <w:color w:val="000000"/>
                    <w:szCs w:val="24"/>
                    <w:lang w:eastAsia="lt-LT"/>
                  </w:rPr>
                </w:pPr>
                <w:r>
                  <w:rPr>
                    <w:szCs w:val="24"/>
                    <w:lang w:eastAsia="lt-LT"/>
                  </w:rPr>
                  <w:t>neturi pavojingų savybių, nustatytų 2014 m. gruodžio 18 d. Komisijos reglamento (ES) Nr. 1357/2014, kuriuo pakeičiamas Europos Parlamento ir Tarybos direktyvos 2008/98/EB dėl atliekų ir panaikinančios kai kurias direktyvas su visais pakeitimais, III priede, neturi ir nėra užterštos 2019 m. birželio 20 d. Europos Parlamento ir Tarybos reglamento (ES) 2019/1021 dėl patvariųjų organinių teršalų su visais pakeitimais, IV priede nurodytomis cheminėmis medžiagomis, kurių koncentracija viršija nurodytas ribines koncentracijas</w:t>
                </w:r>
              </w:p>
            </w:tc>
          </w:tr>
          <w:tr>
            <w:trPr>
              <w:trHeight w:val="476"/>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3.5.</w:t>
                </w:r>
              </w:p>
            </w:tc>
            <w:tc>
              <w:tcPr>
                <w:tcW w:w="8644" w:type="dxa"/>
                <w:tcBorders>
                  <w:top w:val="single" w:sz="6" w:space="0" w:color="414142"/>
                  <w:left w:val="single" w:sz="6" w:space="0" w:color="414142"/>
                  <w:right w:val="single" w:sz="6" w:space="0" w:color="414142"/>
                </w:tcBorders>
              </w:tcPr>
              <w:p>
                <w:pPr>
                  <w:suppressAutoHyphens/>
                  <w:jc w:val="both"/>
                  <w:rPr>
                    <w:color w:val="000000"/>
                    <w:szCs w:val="24"/>
                    <w:lang w:eastAsia="lt-LT"/>
                  </w:rPr>
                </w:pPr>
                <w:r>
                  <w:rPr>
                    <w:szCs w:val="24"/>
                    <w:lang w:eastAsia="lt-LT"/>
                  </w:rPr>
                  <w:t xml:space="preserve">atitinka pavojingų cheminių medžiagų, mišinių ir gaminių gamybos, tiekimo rinkai ir naudojimo apribojimų sąlygas, nustatytas </w:t>
                </w:r>
                <w:r>
                  <w:rPr>
                    <w:spacing w:val="-4"/>
                    <w:szCs w:val="24"/>
                    <w:lang w:eastAsia="lt-LT"/>
                  </w:rPr>
                  <w:t xml:space="preserve">2006 m. </w:t>
                </w:r>
                <w:r>
                  <w:rPr>
                    <w:spacing w:val="-3"/>
                    <w:szCs w:val="24"/>
                    <w:lang w:eastAsia="lt-LT"/>
                  </w:rPr>
                  <w:t xml:space="preserve">gruodžio 18 d. </w:t>
                </w:r>
                <w:r>
                  <w:rPr>
                    <w:szCs w:val="24"/>
                    <w:lang w:eastAsia="lt-LT"/>
                  </w:rPr>
                  <w:t xml:space="preserve">Europos Parlamento ir Tarybos reglamento (EB) </w:t>
                </w:r>
                <w:r>
                  <w:rPr>
                    <w:spacing w:val="-4"/>
                    <w:szCs w:val="24"/>
                    <w:lang w:eastAsia="lt-LT"/>
                  </w:rPr>
                  <w:t xml:space="preserve">Nr. </w:t>
                </w:r>
                <w:r>
                  <w:rPr>
                    <w:spacing w:val="-3"/>
                    <w:szCs w:val="24"/>
                    <w:lang w:eastAsia="lt-LT"/>
                  </w:rPr>
                  <w:t xml:space="preserve">1907/2006 </w:t>
                </w:r>
                <w:r>
                  <w:rPr>
                    <w:szCs w:val="24"/>
                    <w:lang w:eastAsia="lt-LT"/>
                  </w:rPr>
                  <w:t xml:space="preserve">dėl cheminių medžiagų registracijos, įvertinimo, autorizacijos ir apribojimų (REACH), įsteigiantis Europos cheminių medžiagų agentūrą, iš dalies keičiantis Direktyvą 1999/45/EB ir panaikinantis Tarybos reglamentą (EEB) Nr. 793/93 ir Komisijos reglamentą (EB) Nr. 1488/94, Tarybos direktyvą 76/769/EEB ir Komisijos direktyvas 91/155/EEB, 93/67/EEB, 93/105/EB ir 2000/21/EB su visais pakeitimais, </w:t>
                </w:r>
                <w:r>
                  <w:rPr>
                    <w:spacing w:val="-8"/>
                    <w:szCs w:val="24"/>
                    <w:lang w:eastAsia="lt-LT"/>
                  </w:rPr>
                  <w:t xml:space="preserve">XVII </w:t>
                </w:r>
                <w:r>
                  <w:rPr>
                    <w:szCs w:val="24"/>
                    <w:lang w:eastAsia="lt-LT"/>
                  </w:rPr>
                  <w:t>priede</w:t>
                </w:r>
              </w:p>
            </w:tc>
          </w:tr>
          <w:tr>
            <w:trPr>
              <w:trHeight w:val="272"/>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3.6.</w:t>
                </w:r>
              </w:p>
            </w:tc>
            <w:tc>
              <w:tcPr>
                <w:tcW w:w="8644" w:type="dxa"/>
                <w:tcBorders>
                  <w:top w:val="single" w:sz="6" w:space="0" w:color="414142"/>
                  <w:left w:val="single" w:sz="6" w:space="0" w:color="414142"/>
                  <w:right w:val="single" w:sz="6" w:space="0" w:color="414142"/>
                </w:tcBorders>
              </w:tcPr>
              <w:p>
                <w:pPr>
                  <w:suppressAutoHyphens/>
                  <w:jc w:val="both"/>
                  <w:rPr>
                    <w:color w:val="000000"/>
                    <w:szCs w:val="24"/>
                    <w:lang w:eastAsia="lt-LT"/>
                  </w:rPr>
                </w:pPr>
                <w:r>
                  <w:rPr>
                    <w:szCs w:val="24"/>
                    <w:lang w:eastAsia="lt-LT"/>
                  </w:rPr>
                  <w:t>nėra užterštos alyva, tepalais ar kitomis medžiagomis, nenurodytomis Aprašo 4.3–4.5 papunkčiuose</w:t>
                </w:r>
              </w:p>
            </w:tc>
          </w:tr>
          <w:tr>
            <w:trPr>
              <w:trHeight w:val="227"/>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3.7.</w:t>
                </w:r>
              </w:p>
            </w:tc>
            <w:tc>
              <w:tcPr>
                <w:tcW w:w="8644"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siekiant naudoti produktų gamyboje nereikalingas papildomas apdorojimas</w:t>
                </w:r>
              </w:p>
            </w:tc>
          </w:tr>
          <w:tr>
            <w:trPr>
              <w:trHeight w:val="199"/>
            </w:trPr>
            <w:tc>
              <w:tcPr>
                <w:tcW w:w="859"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3.8.</w:t>
                </w:r>
              </w:p>
            </w:tc>
            <w:tc>
              <w:tcPr>
                <w:tcW w:w="8644"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atskyrimas ir kiekybinis nustatymas atliekami pagal dalelių dydį remiantis Aprašo 4 punktu</w:t>
                </w:r>
              </w:p>
            </w:tc>
          </w:tr>
          <w:tr>
            <w:trPr>
              <w:trHeight w:val="550"/>
            </w:trPr>
            <w:tc>
              <w:tcPr>
                <w:tcW w:w="859" w:type="dxa"/>
                <w:tcBorders>
                  <w:top w:val="single" w:sz="6" w:space="0" w:color="414142"/>
                  <w:right w:val="single" w:sz="4" w:space="0" w:color="auto"/>
                </w:tcBorders>
                <w:vAlign w:val="center"/>
              </w:tcPr>
              <w:p>
                <w:pPr>
                  <w:suppressAutoHyphens/>
                  <w:jc w:val="center"/>
                  <w:rPr>
                    <w:szCs w:val="24"/>
                    <w:lang w:eastAsia="lt-LT"/>
                  </w:rPr>
                </w:pPr>
                <w:r>
                  <w:rPr>
                    <w:szCs w:val="24"/>
                    <w:lang w:eastAsia="lt-LT"/>
                  </w:rPr>
                  <w:t>4.</w:t>
                </w:r>
              </w:p>
            </w:tc>
            <w:tc>
              <w:tcPr>
                <w:tcW w:w="8644" w:type="dxa"/>
                <w:tcBorders>
                  <w:top w:val="single" w:sz="6" w:space="0" w:color="414142"/>
                  <w:left w:val="single" w:sz="4" w:space="0" w:color="auto"/>
                  <w:right w:val="single" w:sz="6" w:space="0" w:color="414142"/>
                </w:tcBorders>
              </w:tcPr>
              <w:p>
                <w:pPr>
                  <w:suppressAutoHyphens/>
                  <w:jc w:val="both"/>
                  <w:rPr>
                    <w:szCs w:val="24"/>
                    <w:lang w:eastAsia="lt-LT"/>
                  </w:rPr>
                </w:pPr>
                <w:r>
                  <w:rPr>
                    <w:color w:val="000000"/>
                    <w:szCs w:val="24"/>
                    <w:lang w:eastAsia="lt-LT"/>
                  </w:rPr>
                  <w:t>padangų gumos antrinių žaliavų atitikties nustatytoms sąlygoms ir kriterijams, pagal kuriuos atliekos nebelaikomos atliekomis, įrodymų pateikimo reikalavimai ir tvarka, įskaitant kokybės kontrolę ir savikontrolę</w:t>
                </w:r>
              </w:p>
            </w:tc>
          </w:tr>
          <w:tr>
            <w:trPr>
              <w:trHeight w:val="301"/>
            </w:trPr>
            <w:tc>
              <w:tcPr>
                <w:tcW w:w="859" w:type="dxa"/>
                <w:tcBorders>
                  <w:top w:val="single" w:sz="6" w:space="0" w:color="414142"/>
                  <w:bottom w:val="single" w:sz="4" w:space="0" w:color="auto"/>
                  <w:right w:val="single" w:sz="6" w:space="0" w:color="414142"/>
                </w:tcBorders>
                <w:vAlign w:val="center"/>
              </w:tcPr>
              <w:p>
                <w:pPr>
                  <w:suppressAutoHyphens/>
                  <w:jc w:val="center"/>
                  <w:rPr>
                    <w:szCs w:val="24"/>
                    <w:lang w:eastAsia="lt-LT"/>
                  </w:rPr>
                </w:pPr>
                <w:r>
                  <w:rPr>
                    <w:szCs w:val="24"/>
                    <w:lang w:eastAsia="lt-LT"/>
                  </w:rPr>
                  <w:t>4.1.</w:t>
                </w:r>
              </w:p>
            </w:tc>
            <w:tc>
              <w:tcPr>
                <w:tcW w:w="8644" w:type="dxa"/>
                <w:tcBorders>
                  <w:top w:val="single" w:sz="6" w:space="0" w:color="414142"/>
                  <w:left w:val="single" w:sz="6" w:space="0" w:color="414142"/>
                  <w:bottom w:val="single" w:sz="4" w:space="0" w:color="auto"/>
                  <w:right w:val="single" w:sz="6" w:space="0" w:color="414142"/>
                </w:tcBorders>
              </w:tcPr>
              <w:p>
                <w:pPr>
                  <w:widowControl w:val="0"/>
                  <w:ind w:left="-3"/>
                  <w:jc w:val="both"/>
                  <w:rPr>
                    <w:rFonts w:eastAsia="Arial"/>
                    <w:szCs w:val="24"/>
                  </w:rPr>
                </w:pPr>
                <w:r>
                  <w:rPr>
                    <w:rFonts w:eastAsia="Arial"/>
                    <w:szCs w:val="24"/>
                  </w:rPr>
                  <w:t>padangų gumos antrinių žaliavų gamintojas atitinka Aprašo III ir IV skyriuose nustatytus reikalavimus</w:t>
                </w:r>
              </w:p>
            </w:tc>
          </w:tr>
          <w:tr>
            <w:trPr>
              <w:trHeight w:val="434"/>
            </w:trPr>
            <w:tc>
              <w:tcPr>
                <w:tcW w:w="859"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w:t>
                </w:r>
              </w:p>
            </w:tc>
            <w:tc>
              <w:tcPr>
                <w:tcW w:w="8644" w:type="dxa"/>
                <w:tcBorders>
                  <w:top w:val="single" w:sz="6" w:space="0" w:color="414142"/>
                  <w:left w:val="single" w:sz="6" w:space="0" w:color="414142"/>
                  <w:bottom w:val="single" w:sz="6" w:space="0" w:color="414142"/>
                  <w:right w:val="single" w:sz="6" w:space="0" w:color="414142"/>
                </w:tcBorders>
              </w:tcPr>
              <w:p>
                <w:pPr>
                  <w:suppressAutoHyphens/>
                  <w:jc w:val="both"/>
                  <w:rPr>
                    <w:szCs w:val="24"/>
                    <w:lang w:eastAsia="lt-LT"/>
                  </w:rPr>
                </w:pPr>
                <w:r>
                  <w:rPr>
                    <w:color w:val="000000"/>
                    <w:szCs w:val="24"/>
                    <w:lang w:eastAsia="lt-LT"/>
                  </w:rPr>
                  <w:t>padangų gumos antrinių žaliavų atitiktį patvirtinančių dokumentų išdavimo, laikymo ir saugojimo reikalavimai</w:t>
                </w:r>
              </w:p>
            </w:tc>
          </w:tr>
          <w:tr>
            <w:trPr>
              <w:trHeight w:val="434"/>
            </w:trPr>
            <w:tc>
              <w:tcPr>
                <w:tcW w:w="859"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5.1.</w:t>
                </w:r>
              </w:p>
            </w:tc>
            <w:tc>
              <w:tcPr>
                <w:tcW w:w="8644" w:type="dxa"/>
                <w:tcBorders>
                  <w:top w:val="single" w:sz="6" w:space="0" w:color="414142"/>
                  <w:left w:val="single" w:sz="6" w:space="0" w:color="414142"/>
                  <w:bottom w:val="single" w:sz="6" w:space="0" w:color="414142"/>
                  <w:right w:val="single" w:sz="6" w:space="0" w:color="414142"/>
                </w:tcBorders>
              </w:tcPr>
              <w:p>
                <w:pPr>
                  <w:suppressAutoHyphens/>
                  <w:jc w:val="both"/>
                  <w:rPr>
                    <w:spacing w:val="-3"/>
                    <w:szCs w:val="24"/>
                    <w:lang w:eastAsia="lt-LT"/>
                  </w:rPr>
                </w:pPr>
                <w:r>
                  <w:rPr>
                    <w:szCs w:val="24"/>
                    <w:lang w:eastAsia="lt-LT"/>
                  </w:rPr>
                  <w:t>padangų gumos antrinių žaliavų</w:t>
                </w:r>
                <w:r>
                  <w:rPr>
                    <w:spacing w:val="-9"/>
                    <w:szCs w:val="24"/>
                    <w:lang w:eastAsia="lt-LT"/>
                  </w:rPr>
                  <w:t xml:space="preserve"> gamintojas parengia ir išduoda perdirbtų </w:t>
                </w:r>
                <w:r>
                  <w:rPr>
                    <w:spacing w:val="-3"/>
                    <w:szCs w:val="24"/>
                    <w:lang w:eastAsia="lt-LT"/>
                  </w:rPr>
                  <w:t>padangų atliekų nebelaikymo atliekomis atitikties deklaraciją (toliau – deklaracija) remdamasis Aprašo 5 punktu ir Aprašo III skyriaus nuostatomis</w:t>
                </w:r>
              </w:p>
            </w:tc>
          </w:tr>
          <w:tr>
            <w:trPr>
              <w:trHeight w:val="434"/>
            </w:trPr>
            <w:tc>
              <w:tcPr>
                <w:tcW w:w="859"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5.2.</w:t>
                </w:r>
              </w:p>
            </w:tc>
            <w:tc>
              <w:tcPr>
                <w:tcW w:w="8644" w:type="dxa"/>
                <w:tcBorders>
                  <w:top w:val="single" w:sz="6" w:space="0" w:color="414142"/>
                  <w:left w:val="single" w:sz="6" w:space="0" w:color="414142"/>
                  <w:bottom w:val="single" w:sz="6" w:space="0" w:color="414142"/>
                  <w:right w:val="single" w:sz="6" w:space="0" w:color="414142"/>
                </w:tcBorders>
              </w:tcPr>
              <w:p>
                <w:pPr>
                  <w:suppressAutoHyphens/>
                  <w:jc w:val="both"/>
                  <w:rPr>
                    <w:color w:val="000000"/>
                    <w:szCs w:val="24"/>
                    <w:lang w:eastAsia="lt-LT"/>
                  </w:rPr>
                </w:pPr>
                <w:r>
                  <w:rPr>
                    <w:color w:val="000000"/>
                    <w:szCs w:val="24"/>
                    <w:lang w:eastAsia="lt-LT"/>
                  </w:rPr>
                  <w:t xml:space="preserve">deklaracijos ir </w:t>
                </w:r>
                <w:r>
                  <w:rPr>
                    <w:spacing w:val="-3"/>
                    <w:szCs w:val="24"/>
                    <w:lang w:eastAsia="lt-LT"/>
                  </w:rPr>
                  <w:t xml:space="preserve">padangų gumos antrinių žaliavų siuntos </w:t>
                </w:r>
                <w:r>
                  <w:rPr>
                    <w:szCs w:val="24"/>
                    <w:lang w:eastAsia="lt-LT"/>
                  </w:rPr>
                  <w:t>fizinių ir cheminių savybių laboratorinių tyrimų rezultatai saugomi remiantis Aprašo 9.4 papunkčio nuostatomis</w:t>
                </w:r>
              </w:p>
            </w:tc>
          </w:tr>
        </w:tbl>
        <w:p>
          <w:pPr>
            <w:suppressAutoHyphens/>
            <w:rPr>
              <w:b/>
              <w:szCs w:val="24"/>
              <w:lang w:eastAsia="lt-LT"/>
            </w:rPr>
          </w:pPr>
        </w:p>
        <w:p>
          <w:pPr>
            <w:suppressAutoHyphens/>
            <w:jc w:val="center"/>
            <w:rPr>
              <w:szCs w:val="24"/>
              <w:lang w:eastAsia="lt-LT"/>
            </w:rPr>
          </w:pPr>
          <w:r>
            <w:rPr>
              <w:color w:val="000000"/>
              <w:szCs w:val="24"/>
              <w:lang w:eastAsia="lt-LT"/>
            </w:rPr>
            <w:t>___________________________________</w:t>
          </w:r>
        </w:p>
      </w:sdtContent>
    </w:sdt>
    <w:sdt>
      <w:sdtPr>
        <w:alias w:val="2 pr."/>
        <w:tag w:val="part_3d669fae2c5a483ca3026e61c442f6db"/>
        <w:lock w:val="sdtLocked"/>
        <w:richText/>
      </w:sdtPr>
      <w:sdtContent>
        <w:p>
          <w:pPr>
            <w:suppressAutoHyphens/>
            <w:ind w:firstLine="567"/>
            <w:jc w:val="center"/>
            <w:rPr>
              <w:szCs w:val="24"/>
              <w:lang w:eastAsia="lt-LT"/>
            </w:rPr>
            <w:sectPr>
              <w:headerReference w:type="first" r:id="rId21"/>
              <w:pgSz w:w="11900" w:h="16840"/>
              <w:pgMar w:top="1134" w:right="567" w:bottom="1134" w:left="1701" w:header="426" w:footer="210" w:gutter="0"/>
              <w:pgNumType w:start="1"/>
              <w:cols w:space="1296"/>
              <w:titlePg/>
              <w:docGrid w:linePitch="326"/>
            </w:sectPr>
          </w:pPr>
        </w:p>
        <w:p>
          <w:pPr>
            <w:widowControl w:val="0"/>
            <w:tabs>
              <w:tab w:val="left" w:pos="8821"/>
            </w:tabs>
            <w:ind w:left="6237"/>
            <w:rPr>
              <w:rFonts w:eastAsia="Arial"/>
              <w:szCs w:val="22"/>
            </w:rPr>
          </w:pPr>
          <w:r>
            <w:rPr>
              <w:rFonts w:eastAsia="Arial"/>
              <w:szCs w:val="22"/>
            </w:rPr>
            <w:t>Perdirbtų padangų atliekų</w:t>
          </w:r>
        </w:p>
        <w:p>
          <w:pPr>
            <w:widowControl w:val="0"/>
            <w:tabs>
              <w:tab w:val="left" w:pos="8821"/>
            </w:tabs>
            <w:ind w:left="6237"/>
            <w:rPr>
              <w:rFonts w:eastAsia="Arial"/>
              <w:szCs w:val="22"/>
            </w:rPr>
          </w:pPr>
          <w:r>
            <w:rPr>
              <w:rFonts w:eastAsia="Arial"/>
              <w:szCs w:val="22"/>
            </w:rPr>
            <w:t>nebelaikymo atliekomis kriterijų</w:t>
          </w:r>
        </w:p>
        <w:p>
          <w:pPr>
            <w:widowControl w:val="0"/>
            <w:tabs>
              <w:tab w:val="left" w:pos="8821"/>
            </w:tabs>
            <w:ind w:left="6237"/>
            <w:rPr>
              <w:rFonts w:eastAsia="Arial"/>
              <w:szCs w:val="22"/>
            </w:rPr>
          </w:pPr>
          <w:r>
            <w:rPr>
              <w:rFonts w:eastAsia="Arial"/>
              <w:szCs w:val="22"/>
            </w:rPr>
            <w:t>aprašo</w:t>
          </w:r>
        </w:p>
        <w:p>
          <w:pPr>
            <w:widowControl w:val="0"/>
            <w:tabs>
              <w:tab w:val="left" w:pos="8821"/>
            </w:tabs>
            <w:ind w:left="6237"/>
            <w:rPr>
              <w:rFonts w:eastAsia="Arial"/>
              <w:szCs w:val="22"/>
            </w:rPr>
          </w:pPr>
          <w:sdt>
            <w:sdtPr>
              <w:alias w:val="Numeris"/>
              <w:tag w:val="nr_3d669fae2c5a483ca3026e61c442f6db"/>
              <w:lock w:val="sdtLocked"/>
              <w:richText/>
            </w:sdtPr>
            <w:sdtContent>
              <w:r>
                <w:rPr>
                  <w:rFonts w:eastAsia="Arial"/>
                  <w:szCs w:val="22"/>
                </w:rPr>
                <w:t>2</w:t>
              </w:r>
            </w:sdtContent>
          </w:sdt>
          <w:r>
            <w:rPr>
              <w:rFonts w:eastAsia="Arial"/>
              <w:szCs w:val="22"/>
            </w:rPr>
            <w:t xml:space="preserve"> priedas </w:t>
          </w:r>
        </w:p>
        <w:p>
          <w:pPr>
            <w:suppressAutoHyphens/>
            <w:ind w:firstLine="567"/>
            <w:rPr>
              <w:szCs w:val="24"/>
              <w:lang w:eastAsia="lt-LT"/>
            </w:rPr>
          </w:pPr>
        </w:p>
        <w:sdt>
          <w:sdtPr>
            <w:alias w:val="Pavadinimas"/>
            <w:tag w:val="title_3d669fae2c5a483ca3026e61c442f6db"/>
            <w:lock w:val="sdtLocked"/>
            <w:richText/>
          </w:sdtPr>
          <w:sdtContent>
            <w:p>
              <w:pPr>
                <w:keepNext/>
                <w:suppressAutoHyphens/>
                <w:ind w:firstLine="567"/>
                <w:jc w:val="center"/>
                <w:rPr>
                  <w:b/>
                  <w:kern w:val="1"/>
                  <w:sz w:val="22"/>
                  <w:szCs w:val="24"/>
                  <w:lang w:eastAsia="lt-LT"/>
                </w:rPr>
              </w:pPr>
              <w:r>
                <w:rPr>
                  <w:b/>
                  <w:kern w:val="1"/>
                  <w:sz w:val="22"/>
                  <w:szCs w:val="24"/>
                  <w:lang w:eastAsia="lt-LT"/>
                </w:rPr>
                <w:t>(Perdirbtų padangų atliekų nebelaikymo atliekomis atitikties deklaracijos forma)</w:t>
              </w:r>
            </w:p>
          </w:sdtContent>
        </w:sdt>
        <w:p>
          <w:pPr>
            <w:keepNext/>
            <w:suppressAutoHyphens/>
            <w:jc w:val="center"/>
            <w:rPr>
              <w:kern w:val="1"/>
              <w:szCs w:val="24"/>
              <w:lang w:eastAsia="lt-LT"/>
            </w:rPr>
          </w:pPr>
        </w:p>
        <w:tbl>
          <w:tblPr>
            <w:tblW w:w="9747" w:type="dxa"/>
            <w:tblLayout w:type="fixed"/>
            <w:tblLook w:val="04A0" w:firstRow="1" w:lastRow="0" w:firstColumn="1" w:lastColumn="0" w:noHBand="0" w:noVBand="1"/>
          </w:tblPr>
          <w:tblGrid>
            <w:gridCol w:w="817"/>
            <w:gridCol w:w="1368"/>
            <w:gridCol w:w="4019"/>
            <w:gridCol w:w="3543"/>
          </w:tblGrid>
          <w:tr>
            <w:tc>
              <w:tcPr>
                <w:tcW w:w="2185" w:type="dxa"/>
                <w:gridSpan w:val="2"/>
                <w:vMerge w:val="restart"/>
                <w:shd w:val="clear" w:color="auto" w:fill="FFFFFF" w:themeFill="background1"/>
              </w:tcPr>
              <w:p>
                <w:pPr>
                  <w:suppressAutoHyphens/>
                  <w:rPr>
                    <w:szCs w:val="24"/>
                    <w:lang w:eastAsia="lt-LT"/>
                  </w:rPr>
                </w:pPr>
              </w:p>
              <w:p>
                <w:pPr>
                  <w:suppressAutoHyphens/>
                  <w:rPr>
                    <w:sz w:val="22"/>
                    <w:szCs w:val="22"/>
                    <w:lang w:eastAsia="lt-LT"/>
                  </w:rPr>
                </w:pPr>
                <w:r>
                  <w:rPr>
                    <w:sz w:val="22"/>
                    <w:szCs w:val="22"/>
                    <w:lang w:eastAsia="lt-LT"/>
                  </w:rPr>
                  <w:t>Herbas</w:t>
                </w:r>
                <w:r>
                  <w:rPr>
                    <w:i/>
                    <w:iCs/>
                    <w:sz w:val="22"/>
                    <w:szCs w:val="22"/>
                    <w:lang w:eastAsia="lt-LT"/>
                  </w:rPr>
                  <w:t xml:space="preserve"> </w:t>
                </w:r>
                <w:r>
                  <w:rPr>
                    <w:sz w:val="22"/>
                    <w:szCs w:val="22"/>
                    <w:lang w:eastAsia="lt-LT"/>
                  </w:rPr>
                  <w:t>arba prekių ženklas</w:t>
                </w:r>
              </w:p>
              <w:p>
                <w:pPr>
                  <w:suppressAutoHyphens/>
                  <w:rPr>
                    <w:szCs w:val="24"/>
                    <w:lang w:eastAsia="lt-LT"/>
                  </w:rPr>
                </w:pPr>
              </w:p>
            </w:tc>
            <w:tc>
              <w:tcPr>
                <w:tcW w:w="7562" w:type="dxa"/>
                <w:gridSpan w:val="2"/>
                <w:shd w:val="clear" w:color="auto" w:fill="FFFFFF" w:themeFill="background1"/>
              </w:tcPr>
              <w:p>
                <w:pPr>
                  <w:suppressAutoHyphens/>
                  <w:rPr>
                    <w:szCs w:val="24"/>
                    <w:lang w:eastAsia="lt-LT"/>
                  </w:rPr>
                </w:pPr>
                <w:r>
                  <w:rPr>
                    <w:szCs w:val="24"/>
                    <w:lang w:eastAsia="lt-LT"/>
                  </w:rPr>
                  <w:t>_____________________________________________________________</w:t>
                </w:r>
              </w:p>
              <w:p>
                <w:pPr>
                  <w:suppressAutoHyphens/>
                  <w:jc w:val="center"/>
                  <w:rPr>
                    <w:szCs w:val="24"/>
                    <w:lang w:eastAsia="lt-LT"/>
                  </w:rPr>
                </w:pPr>
                <w:r>
                  <w:rPr>
                    <w:sz w:val="22"/>
                    <w:szCs w:val="24"/>
                    <w:lang w:eastAsia="lt-LT"/>
                  </w:rPr>
                  <w:t>(</w:t>
                </w:r>
                <w:r>
                  <w:rPr>
                    <w:bCs/>
                    <w:sz w:val="22"/>
                    <w:szCs w:val="24"/>
                    <w:lang w:eastAsia="lt-LT"/>
                  </w:rPr>
                  <w:t>gamintojo</w:t>
                </w:r>
                <w:r>
                  <w:rPr>
                    <w:b/>
                    <w:bCs/>
                    <w:sz w:val="22"/>
                    <w:szCs w:val="24"/>
                    <w:lang w:eastAsia="lt-LT"/>
                  </w:rPr>
                  <w:t xml:space="preserve"> </w:t>
                </w:r>
                <w:r>
                  <w:rPr>
                    <w:bCs/>
                    <w:sz w:val="22"/>
                    <w:szCs w:val="24"/>
                    <w:lang w:eastAsia="lt-LT"/>
                  </w:rPr>
                  <w:t>pavadinimas)</w:t>
                </w:r>
              </w:p>
            </w:tc>
          </w:tr>
          <w:tr>
            <w:tc>
              <w:tcPr>
                <w:tcW w:w="2185" w:type="dxa"/>
                <w:gridSpan w:val="2"/>
                <w:vMerge/>
                <w:shd w:val="clear" w:color="auto" w:fill="FFFFFF" w:themeFill="background1"/>
              </w:tcPr>
              <w:p>
                <w:pPr>
                  <w:suppressAutoHyphens/>
                  <w:rPr>
                    <w:szCs w:val="24"/>
                    <w:lang w:eastAsia="lt-LT"/>
                  </w:rPr>
                </w:pPr>
              </w:p>
            </w:tc>
            <w:tc>
              <w:tcPr>
                <w:tcW w:w="7562" w:type="dxa"/>
                <w:gridSpan w:val="2"/>
                <w:shd w:val="clear" w:color="auto" w:fill="FFFFFF" w:themeFill="background1"/>
              </w:tcPr>
              <w:p>
                <w:pPr>
                  <w:suppressAutoHyphens/>
                  <w:rPr>
                    <w:szCs w:val="24"/>
                    <w:lang w:eastAsia="lt-LT"/>
                  </w:rPr>
                </w:pPr>
                <w:r>
                  <w:rPr>
                    <w:szCs w:val="24"/>
                    <w:lang w:eastAsia="lt-LT"/>
                  </w:rPr>
                  <w:t>_____________________________________________________________</w:t>
                </w:r>
              </w:p>
              <w:p>
                <w:pPr>
                  <w:suppressAutoHyphens/>
                  <w:jc w:val="center"/>
                  <w:rPr>
                    <w:b/>
                    <w:szCs w:val="24"/>
                    <w:lang w:eastAsia="lt-LT"/>
                  </w:rPr>
                </w:pPr>
                <w:r>
                  <w:rPr>
                    <w:b/>
                    <w:sz w:val="22"/>
                    <w:szCs w:val="24"/>
                    <w:lang w:eastAsia="lt-LT"/>
                  </w:rPr>
                  <w:t>(</w:t>
                </w:r>
                <w:r>
                  <w:rPr>
                    <w:sz w:val="22"/>
                    <w:szCs w:val="24"/>
                    <w:lang w:eastAsia="lt-LT"/>
                  </w:rPr>
                  <w:t>gamintojo įmonės kodas, veiklavietės adresas)</w:t>
                </w:r>
              </w:p>
            </w:tc>
          </w:tr>
          <w:tr>
            <w:tc>
              <w:tcPr>
                <w:tcW w:w="9747" w:type="dxa"/>
                <w:gridSpan w:val="4"/>
                <w:shd w:val="clear" w:color="auto" w:fill="FFFFFF" w:themeFill="background1"/>
              </w:tcPr>
              <w:p>
                <w:pPr>
                  <w:suppressAutoHyphens/>
                  <w:rPr>
                    <w:b/>
                    <w:szCs w:val="24"/>
                    <w:lang w:eastAsia="lt-LT"/>
                  </w:rPr>
                </w:pPr>
              </w:p>
              <w:p>
                <w:pPr>
                  <w:rPr>
                    <w:sz w:val="20"/>
                  </w:rPr>
                </w:pPr>
              </w:p>
              <w:p>
                <w:pPr>
                  <w:keepNext/>
                  <w:suppressAutoHyphens/>
                  <w:ind w:firstLine="567"/>
                  <w:jc w:val="center"/>
                  <w:rPr>
                    <w:b/>
                    <w:kern w:val="1"/>
                    <w:szCs w:val="24"/>
                    <w:lang w:eastAsia="lt-LT"/>
                  </w:rPr>
                </w:pPr>
                <w:r>
                  <w:rPr>
                    <w:b/>
                    <w:kern w:val="1"/>
                    <w:szCs w:val="24"/>
                    <w:lang w:eastAsia="lt-LT"/>
                  </w:rPr>
                  <w:t>PERDIRBTŲ PADANGŲ ATLIEKŲ NEBELAIKYMO ATLIEKOMIS ATITIKTIES DEKLARACIJA</w:t>
                </w:r>
              </w:p>
              <w:p>
                <w:pPr>
                  <w:rPr>
                    <w:sz w:val="6"/>
                    <w:szCs w:val="6"/>
                  </w:rPr>
                </w:pPr>
              </w:p>
              <w:p>
                <w:pPr>
                  <w:suppressAutoHyphens/>
                  <w:rPr>
                    <w:b/>
                    <w:szCs w:val="24"/>
                    <w:lang w:eastAsia="lt-LT"/>
                  </w:rPr>
                </w:pPr>
              </w:p>
            </w:tc>
          </w:tr>
          <w:tr>
            <w:tc>
              <w:tcPr>
                <w:tcW w:w="9747" w:type="dxa"/>
                <w:gridSpan w:val="4"/>
                <w:shd w:val="clear" w:color="auto" w:fill="FFFFFF" w:themeFill="background1"/>
                <w:hideMark/>
              </w:tcPr>
              <w:p>
                <w:pPr>
                  <w:suppressAutoHyphens/>
                  <w:jc w:val="center"/>
                  <w:rPr>
                    <w:szCs w:val="24"/>
                    <w:lang w:eastAsia="lt-LT"/>
                  </w:rPr>
                </w:pPr>
                <w:r>
                  <w:rPr>
                    <w:szCs w:val="24"/>
                    <w:lang w:eastAsia="lt-LT"/>
                  </w:rPr>
                  <w:t>________________________</w:t>
                </w:r>
              </w:p>
              <w:p>
                <w:pPr>
                  <w:suppressAutoHyphens/>
                  <w:jc w:val="center"/>
                  <w:rPr>
                    <w:sz w:val="22"/>
                    <w:szCs w:val="24"/>
                    <w:lang w:eastAsia="lt-LT"/>
                  </w:rPr>
                </w:pPr>
                <w:r>
                  <w:rPr>
                    <w:sz w:val="22"/>
                    <w:szCs w:val="24"/>
                    <w:lang w:eastAsia="lt-LT"/>
                  </w:rPr>
                  <w:t>(data ir registracijos numeris)</w:t>
                </w:r>
              </w:p>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1.</w:t>
                  <w:tab/>
                </w:r>
              </w:p>
            </w:tc>
            <w:tc>
              <w:tcPr>
                <w:tcW w:w="5387" w:type="dxa"/>
                <w:gridSpan w:val="2"/>
                <w:shd w:val="clear" w:color="auto" w:fill="FFFFFF" w:themeFill="background1"/>
              </w:tcPr>
              <w:p>
                <w:pPr>
                  <w:suppressAutoHyphens/>
                  <w:jc w:val="both"/>
                  <w:rPr>
                    <w:bCs/>
                    <w:szCs w:val="24"/>
                    <w:lang w:eastAsia="lt-LT"/>
                  </w:rPr>
                </w:pPr>
                <w:r>
                  <w:rPr>
                    <w:szCs w:val="24"/>
                    <w:lang w:eastAsia="lt-LT"/>
                  </w:rPr>
                  <w:t>Unikalus padangų gumos antrinių žaliavų siuntos identifikavimo kodas, tipo, partijos, serijos numeris ar bet koks kitas elementas, pagal kurį galima identifikuoti padangų gumos antrines žaliavas, jų gamintoją, perdirbimo vietą ir kt.</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2.</w:t>
                  <w:tab/>
                </w:r>
              </w:p>
            </w:tc>
            <w:tc>
              <w:tcPr>
                <w:tcW w:w="5387" w:type="dxa"/>
                <w:gridSpan w:val="2"/>
                <w:shd w:val="clear" w:color="auto" w:fill="FFFFFF" w:themeFill="background1"/>
              </w:tcPr>
              <w:p>
                <w:pPr>
                  <w:suppressAutoHyphens/>
                  <w:jc w:val="both"/>
                  <w:rPr>
                    <w:szCs w:val="24"/>
                    <w:lang w:eastAsia="lt-LT"/>
                  </w:rPr>
                </w:pPr>
                <w:r>
                  <w:rPr>
                    <w:szCs w:val="24"/>
                    <w:lang w:eastAsia="lt-LT"/>
                  </w:rPr>
                  <w:t>Padangų gumos antrinėms žaliavoms priskiriama medžiaga (pavadinimas)</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3.</w:t>
                  <w:tab/>
                </w:r>
              </w:p>
            </w:tc>
            <w:tc>
              <w:tcPr>
                <w:tcW w:w="5387" w:type="dxa"/>
                <w:gridSpan w:val="2"/>
                <w:shd w:val="clear" w:color="auto" w:fill="FFFFFF" w:themeFill="background1"/>
              </w:tcPr>
              <w:p>
                <w:pPr>
                  <w:suppressAutoHyphens/>
                  <w:jc w:val="both"/>
                  <w:rPr>
                    <w:bCs/>
                    <w:szCs w:val="24"/>
                    <w:lang w:eastAsia="lt-LT"/>
                  </w:rPr>
                </w:pPr>
                <w:r>
                  <w:rPr>
                    <w:szCs w:val="24"/>
                    <w:lang w:eastAsia="lt-LT"/>
                  </w:rPr>
                  <w:t>Naudojimo paskirtis</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4.</w:t>
                  <w:tab/>
                </w:r>
              </w:p>
            </w:tc>
            <w:tc>
              <w:tcPr>
                <w:tcW w:w="5387" w:type="dxa"/>
                <w:gridSpan w:val="2"/>
                <w:shd w:val="clear" w:color="auto" w:fill="FFFFFF" w:themeFill="background1"/>
              </w:tcPr>
              <w:p>
                <w:pPr>
                  <w:suppressAutoHyphens/>
                  <w:jc w:val="both"/>
                  <w:rPr>
                    <w:bCs/>
                    <w:szCs w:val="24"/>
                    <w:lang w:eastAsia="lt-LT"/>
                  </w:rPr>
                </w:pPr>
                <w:r>
                  <w:rPr>
                    <w:bCs/>
                    <w:szCs w:val="24"/>
                    <w:lang w:eastAsia="lt-LT"/>
                  </w:rPr>
                  <w:t>Siuntos masė, t</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5.</w:t>
                  <w:tab/>
                </w:r>
              </w:p>
            </w:tc>
            <w:tc>
              <w:tcPr>
                <w:tcW w:w="5387" w:type="dxa"/>
                <w:gridSpan w:val="2"/>
                <w:shd w:val="clear" w:color="auto" w:fill="FFFFFF" w:themeFill="background1"/>
              </w:tcPr>
              <w:p>
                <w:pPr>
                  <w:suppressAutoHyphens/>
                  <w:jc w:val="both"/>
                  <w:rPr>
                    <w:bCs/>
                    <w:szCs w:val="24"/>
                    <w:lang w:eastAsia="lt-LT"/>
                  </w:rPr>
                </w:pPr>
                <w:r>
                  <w:rPr>
                    <w:szCs w:val="24"/>
                    <w:lang w:eastAsia="lt-LT"/>
                  </w:rPr>
                  <w:t>Padangų gumos antrinių žaliavų techninių specifikacijų rekvizitai ir taikomi reikalavimai</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6.</w:t>
                  <w:tab/>
                </w:r>
              </w:p>
            </w:tc>
            <w:tc>
              <w:tcPr>
                <w:tcW w:w="5387" w:type="dxa"/>
                <w:gridSpan w:val="2"/>
                <w:shd w:val="clear" w:color="auto" w:fill="FFFFFF" w:themeFill="background1"/>
              </w:tcPr>
              <w:p>
                <w:pPr>
                  <w:suppressAutoHyphens/>
                  <w:jc w:val="both"/>
                  <w:rPr>
                    <w:bCs/>
                    <w:szCs w:val="24"/>
                    <w:lang w:eastAsia="lt-LT"/>
                  </w:rPr>
                </w:pPr>
                <w:r>
                  <w:rPr>
                    <w:bCs/>
                    <w:szCs w:val="24"/>
                    <w:lang w:eastAsia="lt-LT"/>
                  </w:rPr>
                  <w:t>Laboratorinių tyrimų, jei buvo atlikti, rezultatų numeris ir data</w:t>
                </w:r>
              </w:p>
            </w:tc>
            <w:tc>
              <w:tcPr>
                <w:tcW w:w="3543" w:type="dxa"/>
                <w:shd w:val="clear" w:color="auto" w:fill="FFFFFF" w:themeFill="background1"/>
              </w:tcPr>
              <w:p>
                <w:pPr>
                  <w:suppressAutoHyphens/>
                  <w:jc w:val="center"/>
                  <w:rPr>
                    <w:szCs w:val="24"/>
                    <w:lang w:eastAsia="lt-LT"/>
                  </w:rPr>
                </w:pPr>
              </w:p>
            </w:tc>
          </w:tr>
          <w:tr>
            <w:tc>
              <w:tcPr>
                <w:tcW w:w="817" w:type="dxa"/>
                <w:shd w:val="clear" w:color="auto" w:fill="FFFFFF" w:themeFill="background1"/>
              </w:tcPr>
              <w:p>
                <w:pPr>
                  <w:suppressAutoHyphens/>
                  <w:ind w:left="720" w:hanging="360"/>
                  <w:rPr>
                    <w:szCs w:val="24"/>
                    <w:lang w:eastAsia="lt-LT"/>
                  </w:rPr>
                </w:pPr>
                <w:r>
                  <w:rPr>
                    <w:rFonts w:eastAsia="Arial"/>
                    <w:szCs w:val="24"/>
                    <w:lang w:val="en-US"/>
                  </w:rPr>
                  <w:t>7.</w:t>
                  <w:tab/>
                </w:r>
              </w:p>
            </w:tc>
            <w:tc>
              <w:tcPr>
                <w:tcW w:w="5387" w:type="dxa"/>
                <w:gridSpan w:val="2"/>
                <w:shd w:val="clear" w:color="auto" w:fill="FFFFFF" w:themeFill="background1"/>
              </w:tcPr>
              <w:p>
                <w:pPr>
                  <w:suppressAutoHyphens/>
                  <w:jc w:val="both"/>
                  <w:rPr>
                    <w:bCs/>
                    <w:szCs w:val="24"/>
                    <w:lang w:eastAsia="lt-LT"/>
                  </w:rPr>
                </w:pPr>
                <w:r>
                  <w:rPr>
                    <w:bCs/>
                    <w:szCs w:val="24"/>
                    <w:lang w:eastAsia="lt-LT"/>
                  </w:rPr>
                  <w:t>Kita informacija</w:t>
                </w:r>
              </w:p>
            </w:tc>
            <w:tc>
              <w:tcPr>
                <w:tcW w:w="3543" w:type="dxa"/>
                <w:shd w:val="clear" w:color="auto" w:fill="FFFFFF" w:themeFill="background1"/>
              </w:tcPr>
              <w:p>
                <w:pPr>
                  <w:suppressAutoHyphens/>
                  <w:jc w:val="center"/>
                  <w:rPr>
                    <w:szCs w:val="24"/>
                    <w:lang w:eastAsia="lt-LT"/>
                  </w:rPr>
                </w:pPr>
              </w:p>
            </w:tc>
          </w:tr>
          <w:tr>
            <w:trPr>
              <w:trHeight w:val="3046"/>
            </w:trPr>
            <w:tc>
              <w:tcPr>
                <w:tcW w:w="9747" w:type="dxa"/>
                <w:gridSpan w:val="4"/>
                <w:shd w:val="clear" w:color="auto" w:fill="FFFFFF" w:themeFill="background1"/>
              </w:tcPr>
              <w:p>
                <w:pPr>
                  <w:suppressAutoHyphens/>
                  <w:rPr>
                    <w:bCs/>
                    <w:szCs w:val="24"/>
                    <w:lang w:eastAsia="lt-LT"/>
                  </w:rPr>
                </w:pPr>
              </w:p>
              <w:p>
                <w:pPr>
                  <w:widowControl w:val="0"/>
                  <w:tabs>
                    <w:tab w:val="left" w:pos="606"/>
                  </w:tabs>
                  <w:jc w:val="both"/>
                  <w:rPr>
                    <w:rFonts w:eastAsia="Arial"/>
                    <w:spacing w:val="-3"/>
                    <w:szCs w:val="24"/>
                  </w:rPr>
                </w:pPr>
                <w:r>
                  <w:rPr>
                    <w:rFonts w:eastAsia="Arial"/>
                    <w:szCs w:val="24"/>
                    <w:lang w:val="en-US"/>
                  </w:rPr>
                  <w:t xml:space="preserve">Patvirtinu, kad </w:t>
                </w:r>
                <w:r>
                  <w:rPr>
                    <w:rFonts w:eastAsia="Arial"/>
                    <w:spacing w:val="-3"/>
                    <w:szCs w:val="24"/>
                  </w:rPr>
                  <w:t>šios padangų gumos antrinės žaliavos atitinka Perdirbtų padangų atliekų nebelaikymo atliekomis kriterijų aprašo, patvirtinto Lietuvos Respublikos aplinkos ministro įsakymu, 1 priede nurodytus reikalavimus.</w:t>
                </w:r>
              </w:p>
              <w:p>
                <w:pPr>
                  <w:suppressAutoHyphens/>
                  <w:rPr>
                    <w:szCs w:val="24"/>
                    <w:lang w:eastAsia="lt-LT"/>
                  </w:rPr>
                </w:pPr>
              </w:p>
              <w:p>
                <w:pPr>
                  <w:suppressAutoHyphens/>
                  <w:rPr>
                    <w:szCs w:val="24"/>
                    <w:lang w:eastAsia="lt-LT"/>
                  </w:rPr>
                </w:pPr>
                <w:r>
                  <w:rPr>
                    <w:szCs w:val="24"/>
                    <w:lang w:eastAsia="lt-LT"/>
                  </w:rPr>
                  <w:t xml:space="preserve">Patvirtinu, kad </w:t>
                </w:r>
                <w:r>
                  <w:rPr>
                    <w:spacing w:val="-4"/>
                    <w:szCs w:val="24"/>
                    <w:lang w:eastAsia="lt-LT"/>
                  </w:rPr>
                  <w:t xml:space="preserve">visa </w:t>
                </w:r>
                <w:r>
                  <w:rPr>
                    <w:szCs w:val="24"/>
                    <w:lang w:eastAsia="lt-LT"/>
                  </w:rPr>
                  <w:t>deklaracijoje pateikta informacija yra išsami ir teisinga.</w:t>
                </w:r>
              </w:p>
              <w:p>
                <w:pPr>
                  <w:suppressAutoHyphens/>
                  <w:rPr>
                    <w:szCs w:val="24"/>
                    <w:lang w:eastAsia="lt-LT"/>
                  </w:rPr>
                </w:pPr>
              </w:p>
              <w:p>
                <w:pPr>
                  <w:tabs>
                    <w:tab w:val="left" w:pos="1276"/>
                    <w:tab w:val="left" w:pos="1843"/>
                  </w:tabs>
                  <w:suppressAutoHyphens/>
                  <w:jc w:val="both"/>
                  <w:rPr>
                    <w:szCs w:val="24"/>
                    <w:lang w:eastAsia="lt-LT"/>
                  </w:rPr>
                </w:pPr>
                <w:r>
                  <w:rPr>
                    <w:szCs w:val="24"/>
                    <w:lang w:eastAsia="lt-LT"/>
                  </w:rPr>
                  <w:t>PRIDEDAMA. Padangų gumos antrinių žaliavų siuntos laboratorinių tyrimų rezultatai (jei laboratoriniai tyrimai buvo atlikti).</w:t>
                </w:r>
              </w:p>
              <w:p>
                <w:pPr>
                  <w:suppressAutoHyphens/>
                  <w:rPr>
                    <w:b/>
                    <w:szCs w:val="24"/>
                    <w:lang w:eastAsia="lt-LT"/>
                  </w:rPr>
                </w:pPr>
              </w:p>
              <w:p>
                <w:pPr>
                  <w:suppressAutoHyphens/>
                  <w:ind w:firstLine="1240"/>
                  <w:rPr>
                    <w:szCs w:val="24"/>
                    <w:lang w:eastAsia="lt-LT"/>
                  </w:rPr>
                </w:pPr>
                <w:r>
                  <w:rPr>
                    <w:szCs w:val="24"/>
                    <w:lang w:eastAsia="lt-LT"/>
                  </w:rPr>
                  <w:t>______________________________________________________________</w:t>
                </w:r>
              </w:p>
              <w:p>
                <w:pPr>
                  <w:suppressAutoHyphens/>
                  <w:jc w:val="center"/>
                  <w:rPr>
                    <w:szCs w:val="24"/>
                    <w:lang w:eastAsia="lt-LT"/>
                  </w:rPr>
                </w:pPr>
                <w:r>
                  <w:rPr>
                    <w:sz w:val="22"/>
                    <w:szCs w:val="24"/>
                    <w:lang w:eastAsia="lt-LT"/>
                  </w:rPr>
                  <w:t>(vadovo arba įgalioto asmens vardas, pavardė, pareigos ir parašas)</w:t>
                </w:r>
              </w:p>
            </w:tc>
          </w:tr>
        </w:tbl>
        <w:p>
          <w:pPr>
            <w:rPr>
              <w:sz w:val="6"/>
              <w:szCs w:val="6"/>
            </w:rPr>
          </w:pPr>
        </w:p>
      </w:sdtContent>
    </w:sdt>
    <w:sdt>
      <w:sdtPr>
        <w:alias w:val="3 pr."/>
        <w:tag w:val="part_63f26eb5d39447ae912be5fc17620924"/>
        <w:lock w:val="sdtLocked"/>
        <w:richText/>
      </w:sdtPr>
      <w:sdtContent>
        <w:p>
          <w:pPr>
            <w:tabs>
              <w:tab w:val="left" w:pos="1276"/>
              <w:tab w:val="left" w:pos="1843"/>
            </w:tabs>
            <w:suppressAutoHyphens/>
            <w:jc w:val="both"/>
            <w:rPr>
              <w:szCs w:val="24"/>
              <w:lang w:eastAsia="lt-LT"/>
            </w:rPr>
            <w:sectPr>
              <w:pgSz w:w="11900" w:h="16840"/>
              <w:pgMar w:top="1134" w:right="567" w:bottom="1134" w:left="1701" w:header="0" w:footer="210" w:gutter="0"/>
              <w:pgNumType w:start="1"/>
              <w:cols w:space="1296"/>
              <w:titlePg/>
              <w:docGrid w:linePitch="299"/>
            </w:sectPr>
          </w:pPr>
        </w:p>
        <w:p>
          <w:pPr>
            <w:widowControl w:val="0"/>
            <w:tabs>
              <w:tab w:val="left" w:pos="8821"/>
            </w:tabs>
            <w:ind w:left="6237"/>
            <w:rPr>
              <w:rFonts w:eastAsia="Arial"/>
              <w:szCs w:val="22"/>
            </w:rPr>
          </w:pPr>
          <w:r>
            <w:rPr>
              <w:rFonts w:eastAsia="Arial"/>
              <w:szCs w:val="22"/>
            </w:rPr>
            <w:t xml:space="preserve">Perdirbtų </w:t>
          </w:r>
          <w:r>
            <w:rPr>
              <w:rFonts w:eastAsia="Arial"/>
              <w:spacing w:val="20"/>
              <w:szCs w:val="22"/>
            </w:rPr>
            <w:t>p</w:t>
          </w:r>
          <w:r>
            <w:rPr>
              <w:rFonts w:eastAsia="Arial"/>
              <w:szCs w:val="22"/>
            </w:rPr>
            <w:t>adangų atliekų</w:t>
          </w:r>
        </w:p>
        <w:p>
          <w:pPr>
            <w:widowControl w:val="0"/>
            <w:tabs>
              <w:tab w:val="left" w:pos="8821"/>
            </w:tabs>
            <w:ind w:left="6237"/>
            <w:rPr>
              <w:rFonts w:eastAsia="Arial"/>
              <w:szCs w:val="22"/>
            </w:rPr>
          </w:pPr>
          <w:r>
            <w:rPr>
              <w:rFonts w:eastAsia="Arial"/>
              <w:szCs w:val="22"/>
            </w:rPr>
            <w:t>nebelaikymo atliekomis kriterijų</w:t>
          </w:r>
        </w:p>
        <w:p>
          <w:pPr>
            <w:widowControl w:val="0"/>
            <w:tabs>
              <w:tab w:val="left" w:pos="8821"/>
            </w:tabs>
            <w:ind w:left="6237"/>
            <w:rPr>
              <w:rFonts w:eastAsia="Arial"/>
              <w:szCs w:val="22"/>
            </w:rPr>
          </w:pPr>
          <w:r>
            <w:rPr>
              <w:rFonts w:eastAsia="Arial"/>
              <w:szCs w:val="22"/>
            </w:rPr>
            <w:t>aprašo</w:t>
          </w:r>
        </w:p>
        <w:p>
          <w:pPr>
            <w:widowControl w:val="0"/>
            <w:tabs>
              <w:tab w:val="left" w:pos="8821"/>
            </w:tabs>
            <w:ind w:left="6237"/>
            <w:rPr>
              <w:rFonts w:eastAsia="Arial"/>
              <w:szCs w:val="22"/>
            </w:rPr>
          </w:pPr>
          <w:sdt>
            <w:sdtPr>
              <w:alias w:val="Numeris"/>
              <w:tag w:val="nr_63f26eb5d39447ae912be5fc17620924"/>
              <w:lock w:val="sdtLocked"/>
              <w:richText/>
            </w:sdtPr>
            <w:sdtContent>
              <w:r>
                <w:rPr>
                  <w:rFonts w:eastAsia="Arial"/>
                  <w:szCs w:val="22"/>
                </w:rPr>
                <w:t>3</w:t>
              </w:r>
            </w:sdtContent>
          </w:sdt>
          <w:r>
            <w:rPr>
              <w:rFonts w:eastAsia="Arial"/>
              <w:szCs w:val="22"/>
            </w:rPr>
            <w:t xml:space="preserve"> priedas</w:t>
          </w:r>
        </w:p>
        <w:p>
          <w:pPr>
            <w:suppressAutoHyphens/>
            <w:jc w:val="center"/>
            <w:rPr>
              <w:szCs w:val="24"/>
              <w:lang w:eastAsia="lt-LT"/>
            </w:rPr>
          </w:pPr>
        </w:p>
        <w:sdt>
          <w:sdtPr>
            <w:alias w:val="Pavadinimas"/>
            <w:tag w:val="title_63f26eb5d39447ae912be5fc17620924"/>
            <w:lock w:val="sdtLocked"/>
            <w:richText/>
          </w:sdtPr>
          <w:sdtContent>
            <w:p>
              <w:pPr>
                <w:suppressAutoHyphens/>
                <w:jc w:val="center"/>
                <w:rPr>
                  <w:b/>
                  <w:szCs w:val="24"/>
                  <w:lang w:eastAsia="lt-LT"/>
                </w:rPr>
              </w:pPr>
              <w:r>
                <w:rPr>
                  <w:b/>
                  <w:szCs w:val="24"/>
                  <w:lang w:eastAsia="lt-LT"/>
                </w:rPr>
                <w:t>(Prašymo pratęsti padangų gumos antrinių žaliavų naudojimo terminą forma)</w:t>
              </w:r>
            </w:p>
          </w:sdtContent>
        </w:sdt>
        <w:tbl>
          <w:tblPr>
            <w:tblW w:w="9217" w:type="dxa"/>
            <w:tblLayout w:type="fixed"/>
            <w:tblLook w:val="04A0" w:firstRow="1" w:lastRow="0" w:firstColumn="1" w:lastColumn="0" w:noHBand="0" w:noVBand="1"/>
          </w:tblPr>
          <w:tblGrid>
            <w:gridCol w:w="2235"/>
            <w:gridCol w:w="1452"/>
            <w:gridCol w:w="1985"/>
            <w:gridCol w:w="3545"/>
          </w:tblGrid>
          <w:tr>
            <w:trPr>
              <w:trHeight w:val="1887"/>
            </w:trPr>
            <w:tc>
              <w:tcPr>
                <w:tcW w:w="2235" w:type="dxa"/>
                <w:shd w:val="clear" w:color="auto" w:fill="FFFFFF" w:themeFill="background1"/>
              </w:tcPr>
              <w:p>
                <w:pPr>
                  <w:suppressAutoHyphens/>
                  <w:overflowPunct w:val="0"/>
                  <w:jc w:val="center"/>
                  <w:textAlignment w:val="baseline"/>
                  <w:rPr>
                    <w:sz w:val="22"/>
                    <w:szCs w:val="22"/>
                    <w:lang w:eastAsia="lt-LT"/>
                  </w:rPr>
                </w:pPr>
              </w:p>
              <w:p>
                <w:pPr>
                  <w:suppressAutoHyphens/>
                  <w:overflowPunct w:val="0"/>
                  <w:jc w:val="center"/>
                  <w:textAlignment w:val="baseline"/>
                  <w:rPr>
                    <w:sz w:val="22"/>
                    <w:szCs w:val="22"/>
                    <w:lang w:eastAsia="lt-LT"/>
                  </w:rPr>
                </w:pPr>
                <w:r>
                  <w:rPr>
                    <w:sz w:val="22"/>
                    <w:szCs w:val="22"/>
                    <w:lang w:eastAsia="lt-LT"/>
                  </w:rPr>
                  <w:t>Herbas</w:t>
                </w:r>
                <w:r>
                  <w:rPr>
                    <w:i/>
                    <w:iCs/>
                    <w:sz w:val="22"/>
                    <w:szCs w:val="22"/>
                    <w:lang w:eastAsia="lt-LT"/>
                  </w:rPr>
                  <w:t xml:space="preserve"> </w:t>
                </w:r>
                <w:r>
                  <w:rPr>
                    <w:sz w:val="22"/>
                    <w:szCs w:val="22"/>
                    <w:lang w:eastAsia="lt-LT"/>
                  </w:rPr>
                  <w:t>arba prekių ženklas</w:t>
                </w:r>
              </w:p>
            </w:tc>
            <w:tc>
              <w:tcPr>
                <w:tcW w:w="6982" w:type="dxa"/>
                <w:gridSpan w:val="3"/>
                <w:shd w:val="clear" w:color="auto" w:fill="FFFFFF" w:themeFill="background1"/>
              </w:tcPr>
              <w:p>
                <w:pPr>
                  <w:suppressAutoHyphens/>
                  <w:overflowPunct w:val="0"/>
                  <w:jc w:val="center"/>
                  <w:textAlignment w:val="baseline"/>
                  <w:rPr>
                    <w:sz w:val="22"/>
                    <w:szCs w:val="22"/>
                    <w:lang w:eastAsia="lt-LT"/>
                  </w:rPr>
                </w:pPr>
              </w:p>
              <w:p>
                <w:pPr>
                  <w:suppressAutoHyphens/>
                  <w:overflowPunct w:val="0"/>
                  <w:jc w:val="center"/>
                  <w:textAlignment w:val="baseline"/>
                  <w:rPr>
                    <w:sz w:val="22"/>
                    <w:szCs w:val="22"/>
                    <w:lang w:eastAsia="lt-LT"/>
                  </w:rPr>
                </w:pPr>
                <w:r>
                  <w:rPr>
                    <w:sz w:val="22"/>
                    <w:szCs w:val="22"/>
                    <w:lang w:eastAsia="lt-LT"/>
                  </w:rPr>
                  <w:t>_____________________________________________________</w:t>
                </w:r>
              </w:p>
              <w:p>
                <w:pPr>
                  <w:suppressAutoHyphens/>
                  <w:overflowPunct w:val="0"/>
                  <w:jc w:val="center"/>
                  <w:textAlignment w:val="baseline"/>
                  <w:rPr>
                    <w:sz w:val="22"/>
                    <w:szCs w:val="22"/>
                    <w:lang w:eastAsia="lt-LT"/>
                  </w:rPr>
                </w:pPr>
                <w:r>
                  <w:rPr>
                    <w:sz w:val="22"/>
                    <w:szCs w:val="22"/>
                    <w:lang w:eastAsia="lt-LT"/>
                  </w:rPr>
                  <w:t>(siuntos gavėjo pavadinimas)</w:t>
                </w:r>
              </w:p>
              <w:p>
                <w:pPr>
                  <w:suppressAutoHyphens/>
                  <w:overflowPunct w:val="0"/>
                  <w:jc w:val="center"/>
                  <w:textAlignment w:val="baseline"/>
                  <w:rPr>
                    <w:sz w:val="22"/>
                    <w:szCs w:val="22"/>
                    <w:lang w:eastAsia="lt-LT"/>
                  </w:rPr>
                </w:pPr>
                <w:r>
                  <w:rPr>
                    <w:sz w:val="22"/>
                    <w:szCs w:val="22"/>
                    <w:lang w:eastAsia="lt-LT"/>
                  </w:rPr>
                  <w:t>____________________________________________________</w:t>
                </w:r>
              </w:p>
              <w:p>
                <w:pPr>
                  <w:suppressAutoHyphens/>
                  <w:overflowPunct w:val="0"/>
                  <w:jc w:val="center"/>
                  <w:textAlignment w:val="baseline"/>
                  <w:rPr>
                    <w:sz w:val="22"/>
                    <w:szCs w:val="22"/>
                    <w:lang w:eastAsia="lt-LT"/>
                  </w:rPr>
                </w:pPr>
                <w:r>
                  <w:rPr>
                    <w:sz w:val="22"/>
                    <w:szCs w:val="22"/>
                    <w:lang w:eastAsia="lt-LT"/>
                  </w:rPr>
                  <w:t>(siuntos gavėjo juridinio asmens kodas ar individualios veiklos pažymos nr.)</w:t>
                </w:r>
              </w:p>
            </w:tc>
          </w:tr>
          <w:tr>
            <w:tc>
              <w:tcPr>
                <w:tcW w:w="3687" w:type="dxa"/>
                <w:gridSpan w:val="2"/>
                <w:shd w:val="clear" w:color="auto" w:fill="auto"/>
                <w:hideMark/>
              </w:tcPr>
              <w:p>
                <w:pPr>
                  <w:suppressAutoHyphens/>
                  <w:overflowPunct w:val="0"/>
                  <w:textAlignment w:val="baseline"/>
                  <w:rPr>
                    <w:b/>
                    <w:szCs w:val="24"/>
                    <w:lang w:eastAsia="lt-LT"/>
                  </w:rPr>
                </w:pPr>
                <w:r>
                  <w:rPr>
                    <w:b/>
                    <w:szCs w:val="24"/>
                    <w:lang w:eastAsia="lt-LT"/>
                  </w:rPr>
                  <w:t>Aplinkos apsaugos departamentui prie Aplinkos ministerijos</w:t>
                </w:r>
              </w:p>
            </w:tc>
            <w:tc>
              <w:tcPr>
                <w:tcW w:w="1985" w:type="dxa"/>
                <w:shd w:val="clear" w:color="auto" w:fill="auto"/>
                <w:hideMark/>
              </w:tcPr>
              <w:p>
                <w:pPr>
                  <w:suppressAutoHyphens/>
                  <w:overflowPunct w:val="0"/>
                  <w:jc w:val="center"/>
                  <w:textAlignment w:val="baseline"/>
                  <w:rPr>
                    <w:sz w:val="22"/>
                    <w:szCs w:val="24"/>
                    <w:lang w:eastAsia="lt-LT"/>
                  </w:rPr>
                </w:pPr>
                <w:r>
                  <w:rPr>
                    <w:sz w:val="22"/>
                    <w:szCs w:val="24"/>
                    <w:lang w:eastAsia="lt-LT"/>
                  </w:rPr>
                  <w:t>________________</w:t>
                </w:r>
              </w:p>
              <w:p>
                <w:pPr>
                  <w:suppressAutoHyphens/>
                  <w:overflowPunct w:val="0"/>
                  <w:jc w:val="center"/>
                  <w:textAlignment w:val="baseline"/>
                  <w:rPr>
                    <w:sz w:val="22"/>
                    <w:szCs w:val="24"/>
                    <w:lang w:eastAsia="lt-LT"/>
                  </w:rPr>
                </w:pPr>
                <w:r>
                  <w:rPr>
                    <w:sz w:val="22"/>
                    <w:szCs w:val="24"/>
                    <w:lang w:eastAsia="lt-LT"/>
                  </w:rPr>
                  <w:t xml:space="preserve"> (dokumento data)</w:t>
                </w:r>
              </w:p>
            </w:tc>
            <w:tc>
              <w:tcPr>
                <w:tcW w:w="3545" w:type="dxa"/>
                <w:shd w:val="clear" w:color="auto" w:fill="auto"/>
                <w:hideMark/>
              </w:tcPr>
              <w:p>
                <w:pPr>
                  <w:suppressAutoHyphens/>
                  <w:overflowPunct w:val="0"/>
                  <w:ind w:right="-112"/>
                  <w:jc w:val="center"/>
                  <w:textAlignment w:val="baseline"/>
                  <w:rPr>
                    <w:sz w:val="22"/>
                    <w:szCs w:val="24"/>
                    <w:lang w:eastAsia="lt-LT"/>
                  </w:rPr>
                </w:pPr>
                <w:r>
                  <w:rPr>
                    <w:sz w:val="22"/>
                    <w:szCs w:val="24"/>
                  </w:rPr>
                  <w:t>_______________________________</w:t>
                </w:r>
                <w:r>
                  <w:rPr>
                    <w:sz w:val="22"/>
                    <w:szCs w:val="24"/>
                    <w:lang w:eastAsia="lt-LT"/>
                  </w:rPr>
                  <w:t xml:space="preserve"> </w:t>
                </w:r>
              </w:p>
              <w:p>
                <w:pPr>
                  <w:suppressAutoHyphens/>
                  <w:overflowPunct w:val="0"/>
                  <w:ind w:right="-112"/>
                  <w:jc w:val="center"/>
                  <w:textAlignment w:val="baseline"/>
                  <w:rPr>
                    <w:sz w:val="22"/>
                    <w:szCs w:val="24"/>
                    <w:lang w:eastAsia="lt-LT"/>
                  </w:rPr>
                </w:pPr>
                <w:r>
                  <w:rPr>
                    <w:sz w:val="22"/>
                    <w:szCs w:val="24"/>
                    <w:lang w:eastAsia="lt-LT"/>
                  </w:rPr>
                  <w:t>(dokumento registracijos numeris)</w:t>
                </w:r>
              </w:p>
            </w:tc>
          </w:tr>
          <w:tr>
            <w:tc>
              <w:tcPr>
                <w:tcW w:w="9217" w:type="dxa"/>
                <w:gridSpan w:val="4"/>
                <w:shd w:val="clear" w:color="auto" w:fill="auto"/>
              </w:tcPr>
              <w:p>
                <w:pPr>
                  <w:suppressAutoHyphens/>
                  <w:overflowPunct w:val="0"/>
                  <w:textAlignment w:val="baseline"/>
                  <w:rPr>
                    <w:b/>
                    <w:szCs w:val="24"/>
                    <w:lang w:eastAsia="lt-LT"/>
                  </w:rPr>
                </w:pPr>
              </w:p>
              <w:p>
                <w:pPr>
                  <w:suppressAutoHyphens/>
                  <w:jc w:val="center"/>
                  <w:rPr>
                    <w:b/>
                    <w:szCs w:val="24"/>
                    <w:lang w:eastAsia="lt-LT"/>
                  </w:rPr>
                </w:pPr>
                <w:r>
                  <w:rPr>
                    <w:b/>
                    <w:szCs w:val="24"/>
                    <w:lang w:eastAsia="lt-LT"/>
                  </w:rPr>
                  <w:t>PRAŠYMAS PRATĘSTI PADANGŲ GUMOS ANTRINIŲ ŽALIAVŲ NAUDOJIMO TERMINĄ</w:t>
                </w:r>
              </w:p>
              <w:p>
                <w:pPr>
                  <w:suppressAutoHyphens/>
                  <w:overflowPunct w:val="0"/>
                  <w:textAlignment w:val="baseline"/>
                  <w:rPr>
                    <w:strike/>
                    <w:szCs w:val="24"/>
                    <w:lang w:eastAsia="lt-LT"/>
                  </w:rPr>
                </w:pPr>
              </w:p>
            </w:tc>
          </w:tr>
          <w:tr>
            <w:tc>
              <w:tcPr>
                <w:tcW w:w="9217" w:type="dxa"/>
                <w:gridSpan w:val="4"/>
                <w:shd w:val="clear" w:color="auto" w:fill="auto"/>
              </w:tcPr>
              <w:p>
                <w:pPr>
                  <w:suppressAutoHyphens/>
                  <w:overflowPunct w:val="0"/>
                  <w:jc w:val="center"/>
                  <w:textAlignment w:val="baseline"/>
                  <w:rPr>
                    <w:szCs w:val="24"/>
                    <w:lang w:eastAsia="lt-LT"/>
                  </w:rPr>
                </w:pPr>
              </w:p>
              <w:p>
                <w:pPr>
                  <w:widowControl w:val="0"/>
                  <w:tabs>
                    <w:tab w:val="left" w:pos="606"/>
                    <w:tab w:val="left" w:pos="851"/>
                  </w:tabs>
                  <w:jc w:val="both"/>
                  <w:rPr>
                    <w:rFonts w:eastAsia="Arial"/>
                    <w:szCs w:val="24"/>
                  </w:rPr>
                </w:pPr>
                <w:r>
                  <w:rPr>
                    <w:rFonts w:eastAsia="Arial"/>
                    <w:szCs w:val="24"/>
                  </w:rPr>
                  <w:t>Prašau pratęsti 1 lentelėje nurodytų padangų gumos antrinių žaliavų, kurias pagamino ir perdavė ___________________________________________________________________,</w:t>
                </w:r>
              </w:p>
              <w:p>
                <w:pPr>
                  <w:widowControl w:val="0"/>
                  <w:tabs>
                    <w:tab w:val="left" w:pos="606"/>
                    <w:tab w:val="left" w:pos="851"/>
                  </w:tabs>
                  <w:jc w:val="center"/>
                  <w:rPr>
                    <w:rFonts w:eastAsia="Arial"/>
                    <w:sz w:val="22"/>
                    <w:szCs w:val="24"/>
                  </w:rPr>
                </w:pPr>
                <w:r>
                  <w:rPr>
                    <w:rFonts w:eastAsia="Arial"/>
                    <w:sz w:val="22"/>
                    <w:szCs w:val="24"/>
                  </w:rPr>
                  <w:t>(padangų gumos antrinių žaliavų</w:t>
                </w:r>
                <w:r>
                  <w:rPr>
                    <w:rFonts w:eastAsia="Arial"/>
                    <w:spacing w:val="-3"/>
                    <w:sz w:val="22"/>
                    <w:szCs w:val="24"/>
                  </w:rPr>
                  <w:t xml:space="preserve"> </w:t>
                </w:r>
                <w:r>
                  <w:rPr>
                    <w:rFonts w:eastAsia="Arial"/>
                    <w:sz w:val="22"/>
                    <w:szCs w:val="24"/>
                  </w:rPr>
                  <w:t>gamintojo pavadinimas)</w:t>
                </w:r>
              </w:p>
              <w:p>
                <w:pPr>
                  <w:widowControl w:val="0"/>
                  <w:tabs>
                    <w:tab w:val="left" w:pos="606"/>
                    <w:tab w:val="left" w:pos="851"/>
                  </w:tabs>
                  <w:jc w:val="both"/>
                  <w:rPr>
                    <w:rFonts w:eastAsia="Arial"/>
                    <w:szCs w:val="24"/>
                  </w:rPr>
                </w:pPr>
                <w:r>
                  <w:rPr>
                    <w:rFonts w:eastAsia="Arial"/>
                    <w:szCs w:val="24"/>
                  </w:rPr>
                  <w:t>panaudojimo terminą dėl šių priežasčių:</w:t>
                </w:r>
              </w:p>
              <w:p>
                <w:pPr>
                  <w:widowControl w:val="0"/>
                  <w:tabs>
                    <w:tab w:val="left" w:pos="606"/>
                    <w:tab w:val="left" w:pos="851"/>
                  </w:tabs>
                  <w:jc w:val="both"/>
                  <w:rPr>
                    <w:rFonts w:eastAsia="Arial"/>
                    <w:szCs w:val="24"/>
                  </w:rPr>
                </w:pPr>
                <w:r>
                  <w:rPr>
                    <w:rFonts w:eastAsia="Arial"/>
                    <w:szCs w:val="24"/>
                  </w:rPr>
                  <w:t>_________________________________________________________________________________________________________________________________________________________________________________________________________________________________</w:t>
                </w:r>
              </w:p>
              <w:p>
                <w:pPr>
                  <w:suppressAutoHyphens/>
                  <w:jc w:val="right"/>
                  <w:rPr>
                    <w:szCs w:val="24"/>
                    <w:lang w:eastAsia="lt-LT"/>
                  </w:rPr>
                </w:pPr>
              </w:p>
              <w:p>
                <w:pPr>
                  <w:suppressAutoHyphens/>
                  <w:jc w:val="both"/>
                  <w:rPr>
                    <w:szCs w:val="24"/>
                    <w:lang w:eastAsia="lt-LT"/>
                  </w:rPr>
                </w:pPr>
                <w:r>
                  <w:rPr>
                    <w:szCs w:val="24"/>
                    <w:lang w:eastAsia="lt-LT"/>
                  </w:rPr>
                  <w:t>1 lentelė. Duomenys apie padangų gumos antrines žaliavas, kurių naudojimo terminą prašoma pratęsti:</w:t>
                </w:r>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3754"/>
                  <w:gridCol w:w="1772"/>
                  <w:gridCol w:w="1072"/>
                </w:tblGrid>
                <w:tr>
                  <w:tc>
                    <w:tcPr>
                      <w:tcW w:w="1336" w:type="pct"/>
                    </w:tcPr>
                    <w:p>
                      <w:pPr>
                        <w:widowControl w:val="0"/>
                        <w:tabs>
                          <w:tab w:val="left" w:pos="353"/>
                          <w:tab w:val="left" w:pos="993"/>
                        </w:tabs>
                        <w:jc w:val="both"/>
                        <w:rPr>
                          <w:rFonts w:eastAsia="Arial"/>
                          <w:szCs w:val="24"/>
                        </w:rPr>
                      </w:pPr>
                      <w:r>
                        <w:rPr>
                          <w:rFonts w:eastAsia="Arial"/>
                          <w:szCs w:val="24"/>
                        </w:rPr>
                        <w:t>Padangų gumos antrinėms žaliavoms priskiriama medžiaga (pavadinimas)</w:t>
                      </w:r>
                    </w:p>
                  </w:tc>
                  <w:tc>
                    <w:tcPr>
                      <w:tcW w:w="2084" w:type="pct"/>
                    </w:tcPr>
                    <w:p>
                      <w:pPr>
                        <w:widowControl w:val="0"/>
                        <w:tabs>
                          <w:tab w:val="left" w:pos="353"/>
                          <w:tab w:val="left" w:pos="993"/>
                        </w:tabs>
                        <w:jc w:val="both"/>
                        <w:rPr>
                          <w:rFonts w:eastAsia="Arial"/>
                          <w:szCs w:val="24"/>
                        </w:rPr>
                      </w:pPr>
                      <w:r>
                        <w:rPr>
                          <w:rFonts w:eastAsia="Arial"/>
                          <w:szCs w:val="24"/>
                        </w:rPr>
                        <w:t>Unikalus</w:t>
                      </w:r>
                      <w:r>
                        <w:rPr>
                          <w:rFonts w:eastAsia="Arial"/>
                          <w:szCs w:val="24"/>
                          <w:lang w:eastAsia="lt-LT"/>
                        </w:rPr>
                        <w:t xml:space="preserve"> padangų gumos antrinių žaliavų</w:t>
                      </w:r>
                      <w:r>
                        <w:rPr>
                          <w:rFonts w:eastAsia="Arial"/>
                          <w:szCs w:val="24"/>
                        </w:rPr>
                        <w:t xml:space="preserve"> siuntos identifikavimo kodas, tipo, partijos, serijos numeris ar bet koks kitas elementas, pagal kurį galima identifikuoti </w:t>
                      </w:r>
                      <w:r>
                        <w:rPr>
                          <w:rFonts w:eastAsia="Arial"/>
                          <w:szCs w:val="24"/>
                          <w:lang w:eastAsia="lt-LT"/>
                        </w:rPr>
                        <w:t>padangų gumos antrines žaliavas</w:t>
                      </w:r>
                      <w:r>
                        <w:rPr>
                          <w:rFonts w:eastAsia="Arial"/>
                          <w:szCs w:val="24"/>
                        </w:rPr>
                        <w:t>, jų gamintoją, perdirbimo vietą ir kt.</w:t>
                      </w:r>
                    </w:p>
                  </w:tc>
                  <w:tc>
                    <w:tcPr>
                      <w:tcW w:w="984" w:type="pct"/>
                    </w:tcPr>
                    <w:p>
                      <w:pPr>
                        <w:widowControl w:val="0"/>
                        <w:tabs>
                          <w:tab w:val="left" w:pos="353"/>
                          <w:tab w:val="left" w:pos="993"/>
                        </w:tabs>
                        <w:jc w:val="both"/>
                        <w:rPr>
                          <w:rFonts w:eastAsia="Arial"/>
                          <w:szCs w:val="24"/>
                        </w:rPr>
                      </w:pPr>
                      <w:r>
                        <w:rPr>
                          <w:rFonts w:eastAsia="Arial"/>
                          <w:szCs w:val="24"/>
                        </w:rPr>
                        <w:t>Naudojimo paskirtis</w:t>
                      </w:r>
                    </w:p>
                  </w:tc>
                  <w:tc>
                    <w:tcPr>
                      <w:tcW w:w="595" w:type="pct"/>
                    </w:tcPr>
                    <w:p>
                      <w:pPr>
                        <w:widowControl w:val="0"/>
                        <w:tabs>
                          <w:tab w:val="left" w:pos="353"/>
                          <w:tab w:val="left" w:pos="993"/>
                        </w:tabs>
                        <w:jc w:val="both"/>
                        <w:rPr>
                          <w:rFonts w:eastAsia="Arial"/>
                          <w:szCs w:val="24"/>
                        </w:rPr>
                      </w:pPr>
                      <w:r>
                        <w:rPr>
                          <w:rFonts w:eastAsia="Arial"/>
                          <w:szCs w:val="24"/>
                        </w:rPr>
                        <w:t>Siuntos masė, t</w:t>
                      </w:r>
                    </w:p>
                  </w:tc>
                </w:tr>
                <w:tr>
                  <w:tc>
                    <w:tcPr>
                      <w:tcW w:w="1336" w:type="pct"/>
                    </w:tcPr>
                    <w:p>
                      <w:pPr>
                        <w:widowControl w:val="0"/>
                        <w:tabs>
                          <w:tab w:val="left" w:pos="353"/>
                          <w:tab w:val="left" w:pos="993"/>
                        </w:tabs>
                        <w:jc w:val="center"/>
                        <w:rPr>
                          <w:rFonts w:eastAsia="Arial"/>
                          <w:szCs w:val="24"/>
                        </w:rPr>
                      </w:pPr>
                    </w:p>
                  </w:tc>
                  <w:tc>
                    <w:tcPr>
                      <w:tcW w:w="2084" w:type="pct"/>
                    </w:tcPr>
                    <w:p>
                      <w:pPr>
                        <w:widowControl w:val="0"/>
                        <w:tabs>
                          <w:tab w:val="left" w:pos="353"/>
                          <w:tab w:val="left" w:pos="993"/>
                        </w:tabs>
                        <w:jc w:val="center"/>
                        <w:rPr>
                          <w:rFonts w:eastAsia="Arial"/>
                          <w:szCs w:val="24"/>
                        </w:rPr>
                      </w:pPr>
                    </w:p>
                  </w:tc>
                  <w:tc>
                    <w:tcPr>
                      <w:tcW w:w="984" w:type="pct"/>
                    </w:tcPr>
                    <w:p>
                      <w:pPr>
                        <w:widowControl w:val="0"/>
                        <w:tabs>
                          <w:tab w:val="left" w:pos="353"/>
                          <w:tab w:val="left" w:pos="993"/>
                        </w:tabs>
                        <w:jc w:val="center"/>
                        <w:rPr>
                          <w:rFonts w:eastAsia="Arial"/>
                          <w:szCs w:val="24"/>
                        </w:rPr>
                      </w:pPr>
                    </w:p>
                  </w:tc>
                  <w:tc>
                    <w:tcPr>
                      <w:tcW w:w="595" w:type="pct"/>
                    </w:tcPr>
                    <w:p>
                      <w:pPr>
                        <w:widowControl w:val="0"/>
                        <w:tabs>
                          <w:tab w:val="left" w:pos="353"/>
                          <w:tab w:val="left" w:pos="993"/>
                        </w:tabs>
                        <w:jc w:val="center"/>
                        <w:rPr>
                          <w:rFonts w:eastAsia="Arial"/>
                          <w:szCs w:val="24"/>
                        </w:rPr>
                      </w:pPr>
                    </w:p>
                  </w:tc>
                </w:tr>
              </w:tbl>
              <w:p>
                <w:pPr>
                  <w:widowControl w:val="0"/>
                  <w:tabs>
                    <w:tab w:val="left" w:pos="993"/>
                  </w:tabs>
                  <w:jc w:val="both"/>
                  <w:rPr>
                    <w:rFonts w:eastAsia="Arial"/>
                    <w:szCs w:val="24"/>
                  </w:rPr>
                </w:pPr>
              </w:p>
              <w:p>
                <w:pPr>
                  <w:widowControl w:val="0"/>
                  <w:tabs>
                    <w:tab w:val="left" w:pos="993"/>
                  </w:tabs>
                  <w:ind w:left="142"/>
                  <w:jc w:val="both"/>
                  <w:rPr>
                    <w:rFonts w:eastAsia="Arial"/>
                    <w:bCs/>
                    <w:szCs w:val="24"/>
                  </w:rPr>
                </w:pPr>
                <w:r>
                  <w:rPr>
                    <w:rFonts w:eastAsia="Arial"/>
                    <w:szCs w:val="24"/>
                  </w:rPr>
                  <w:t>PRIDEDAMA. Padangų gumos antrinių žaliavų</w:t>
                </w:r>
                <w:r>
                  <w:rPr>
                    <w:rFonts w:eastAsia="Arial"/>
                    <w:spacing w:val="-3"/>
                    <w:szCs w:val="24"/>
                  </w:rPr>
                  <w:t xml:space="preserve"> </w:t>
                </w:r>
                <w:r>
                  <w:rPr>
                    <w:rFonts w:eastAsia="Arial"/>
                    <w:szCs w:val="24"/>
                  </w:rPr>
                  <w:t>gamintojo išduotos p</w:t>
                </w:r>
                <w:r>
                  <w:rPr>
                    <w:rFonts w:eastAsia="Arial"/>
                    <w:bCs/>
                    <w:szCs w:val="24"/>
                  </w:rPr>
                  <w:t>erdirbtų padangų atliekų nebelaikymo atliekomis atitikties deklaracijos kopija.</w:t>
                </w:r>
              </w:p>
              <w:p>
                <w:pPr>
                  <w:suppressAutoHyphens/>
                  <w:overflowPunct w:val="0"/>
                  <w:jc w:val="center"/>
                  <w:textAlignment w:val="baseline"/>
                  <w:rPr>
                    <w:szCs w:val="24"/>
                    <w:lang w:eastAsia="lt-LT"/>
                  </w:rPr>
                </w:pPr>
              </w:p>
            </w:tc>
          </w:tr>
          <w:tr>
            <w:tc>
              <w:tcPr>
                <w:tcW w:w="9217" w:type="dxa"/>
                <w:gridSpan w:val="4"/>
              </w:tcPr>
              <w:p>
                <w:pPr>
                  <w:suppressAutoHyphens/>
                  <w:overflowPunct w:val="0"/>
                  <w:jc w:val="center"/>
                  <w:textAlignment w:val="baseline"/>
                  <w:rPr>
                    <w:b/>
                    <w:sz w:val="22"/>
                    <w:szCs w:val="24"/>
                    <w:lang w:eastAsia="lt-LT"/>
                  </w:rPr>
                </w:pPr>
              </w:p>
              <w:p>
                <w:pPr>
                  <w:suppressAutoHyphens/>
                  <w:overflowPunct w:val="0"/>
                  <w:jc w:val="center"/>
                  <w:textAlignment w:val="baseline"/>
                  <w:rPr>
                    <w:sz w:val="22"/>
                    <w:szCs w:val="24"/>
                    <w:lang w:eastAsia="lt-LT"/>
                  </w:rPr>
                </w:pPr>
                <w:r>
                  <w:rPr>
                    <w:sz w:val="22"/>
                    <w:szCs w:val="24"/>
                    <w:lang w:eastAsia="lt-LT"/>
                  </w:rPr>
                  <w:t>_________________________________________________________________________________</w:t>
                </w:r>
              </w:p>
            </w:tc>
          </w:tr>
          <w:tr>
            <w:trPr>
              <w:trHeight w:val="289"/>
            </w:trPr>
            <w:tc>
              <w:tcPr>
                <w:tcW w:w="9217" w:type="dxa"/>
                <w:gridSpan w:val="4"/>
                <w:hideMark/>
              </w:tcPr>
              <w:p>
                <w:pPr>
                  <w:suppressAutoHyphens/>
                  <w:overflowPunct w:val="0"/>
                  <w:jc w:val="center"/>
                  <w:textAlignment w:val="baseline"/>
                  <w:rPr>
                    <w:sz w:val="22"/>
                    <w:szCs w:val="24"/>
                    <w:lang w:eastAsia="lt-LT"/>
                  </w:rPr>
                </w:pPr>
                <w:r>
                  <w:rPr>
                    <w:sz w:val="22"/>
                    <w:szCs w:val="24"/>
                    <w:lang w:eastAsia="lt-LT"/>
                  </w:rPr>
                  <w:t>(vadovo arba įgalioto asmens vardas, pavardė, pareigos, parašas, telefono nr., el. pašto adresas)</w:t>
                </w:r>
              </w:p>
            </w:tc>
          </w:tr>
        </w:tbl>
        <w:p>
          <w:pPr>
            <w:rPr>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6101619ffe11efa605b9842742bf3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2024-11-11,
paskelbta TAR 2024-11-11, i. k. 2024-19588                </w:t>
          </w:r>
        </w:p>
        <w:p>
          <w:pPr>
            <w:jc w:val="both"/>
            <w:rPr>
              <w:rFonts w:ascii="Times New Roman" w:hAnsi="Times New Roman"/>
            </w:rPr>
          </w:pPr>
          <w:r>
            <w:rPr>
              <w:rFonts w:ascii="Times New Roman" w:hAnsi="Times New Roman"/>
              <w:sz w:val="20"/>
            </w:rPr>
            <w:t>Dėl Lietuvos Respublikos aplinkos ministro 2022 m. vasario 14 d. įsakymo Nr. D1-48 „Dėl Perdirbtų padangų atliekų nebelaikymo atliekomis kriterijų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notePr>
        <w:pos w:val="beneathText"/>
      </w:footnotePr>
      <w:pgSz w:w="11905" w:h="16837"/>
      <w:pgMar w:top="1134" w:right="567" w:bottom="1134" w:left="1701" w:header="1140" w:footer="919" w:gutter="0"/>
      <w:cols w:space="1296"/>
      <w:formProt w:val="0"/>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9393"/>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7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396DB8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7950050">
      <w:bodyDiv w:val="1"/>
      <w:marLeft w:val="0"/>
      <w:marRight w:val="0"/>
      <w:marTop w:val="0"/>
      <w:marBottom w:val="0"/>
      <w:divBdr>
        <w:top w:val="none" w:sz="0" w:space="0" w:color="auto"/>
        <w:left w:val="none" w:sz="0" w:space="0" w:color="auto"/>
        <w:bottom w:val="none" w:sz="0" w:space="0" w:color="auto"/>
        <w:right w:val="none" w:sz="0" w:space="0" w:color="auto"/>
      </w:divBdr>
    </w:div>
    <w:div w:id="1123964902">
      <w:bodyDiv w:val="1"/>
      <w:marLeft w:val="0"/>
      <w:marRight w:val="0"/>
      <w:marTop w:val="0"/>
      <w:marBottom w:val="0"/>
      <w:divBdr>
        <w:top w:val="none" w:sz="0" w:space="0" w:color="auto"/>
        <w:left w:val="none" w:sz="0" w:space="0" w:color="auto"/>
        <w:bottom w:val="none" w:sz="0" w:space="0" w:color="auto"/>
        <w:right w:val="none" w:sz="0" w:space="0" w:color="auto"/>
      </w:divBdr>
      <w:divsChild>
        <w:div w:id="1825587266">
          <w:marLeft w:val="480"/>
          <w:marRight w:val="180"/>
          <w:marTop w:val="180"/>
          <w:marBottom w:val="0"/>
          <w:divBdr>
            <w:top w:val="single" w:sz="2" w:space="0" w:color="000000"/>
            <w:left w:val="single" w:sz="2" w:space="0" w:color="000000"/>
            <w:bottom w:val="single" w:sz="2" w:space="0" w:color="000000"/>
            <w:right w:val="single" w:sz="2" w:space="0" w:color="000000"/>
          </w:divBdr>
        </w:div>
        <w:div w:id="1343050766">
          <w:marLeft w:val="480"/>
          <w:marRight w:val="180"/>
          <w:marTop w:val="60"/>
          <w:marBottom w:val="0"/>
          <w:divBdr>
            <w:top w:val="single" w:sz="2" w:space="0" w:color="00B000"/>
            <w:left w:val="single" w:sz="2" w:space="0" w:color="00B000"/>
            <w:bottom w:val="single" w:sz="2" w:space="0" w:color="00B000"/>
            <w:right w:val="single" w:sz="2" w:space="0" w:color="00B000"/>
          </w:divBdr>
        </w:div>
      </w:divsChild>
    </w:div>
    <w:div w:id="204710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6.xml"/>
  <Relationship Id="rId15" Type="http://schemas.openxmlformats.org/officeDocument/2006/relationships/header" Target="header7.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8.xml"/>
  <Relationship Id="rId19" Type="http://schemas.openxmlformats.org/officeDocument/2006/relationships/footer" Target="footer6.xml"/>
  <Relationship Id="rId2" Type="http://schemas.openxmlformats.org/officeDocument/2006/relationships/customXml" Target="../customXml/item1.xml"/>
  <Relationship Id="rId20" Type="http://schemas.openxmlformats.org/officeDocument/2006/relationships/header" Target="header9.xml"/>
  <Relationship Id="rId21" Type="http://schemas.openxmlformats.org/officeDocument/2006/relationships/header" Target="header10.xml"/>
  <Relationship Id="rId22" Type="http://schemas.openxmlformats.org/officeDocument/2006/relationships/customXml" Target="../customXml/item4.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23716D2-CC15-42EA-9CBB-DB69B4B86A2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02B"/>
    <w:rsid w:val="0075120F"/>
    <w:rsid w:val="00F060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0602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e56b791edff4c19bdb35e8af004fb76" PartId="d318a119ed734c93bef35567ccf97fc7">
    <Part Type="preambule" DocPartId="a8fe7712071645c0b4d562e3f1b7ad20" PartId="d36a04759e7644aa9539e84b3e1a9fd4"/>
    <Part Type="punktas" Nr="1" Abbr="1 p." DocPartId="340539e62c674e01b9930a61db399d1d" PartId="19fc711ec25248bf8ee02969ee52de4c"/>
    <Part Type="punktas" Nr="2" Abbr="2 p." DocPartId="4af34d6b80ca4cdab53ca7586bef967b" PartId="24bfb1ce3710459493660c89810b6a1c"/>
    <Part Type="punktas" Nr="3" Abbr="3 p." DocPartId="17a396e7b71740d88483d794f23db01d" PartId="abba43e38e604967ba5cbb6465e9c071">
      <Part Type="papunktis" Nr="3.1" Abbr="3.1 pp." DocPartId="8fc74cdf1d26400e9878d336853b98e3" PartId="f978f0fb1b594655b7612e111d0cbc75"/>
      <Part Type="papunktis" Nr="3.2" Abbr="3.2 pp." DocPartId="1e91eec7f72549b7a2b6bc85df369f6b" PartId="f840caf7d578484e89087d5b5a9e9aa4"/>
    </Part>
    <Part Type="signatura" DocPartId="a64a9d991db042f2b1589d11e2d0fed9" PartId="9c46a5d6a2e4439196ab5a4ee2a7aeec"/>
  </Part>
  <Part Type="patvirtinta" Title="PERDIRBTŲ PADANGŲ ATLIEKŲ NEBELAIKYMO ATLIEKOMIS KRITERIJŲ APRAŠAS" DocPartId="8b2380dc0d9b4481943120116f7beccf" PartId="71134df752e748ed8c3f0c9ff1c88516">
    <Part Type="skyrius" Nr="1" Title="BENDROSIOS NUOSTATOS" DocPartId="c589737ead414f8ba0c21740b594abf3" PartId="defa534a219e41a382ac1a0d43c8adec">
      <Part Type="punktas" Nr="1" Abbr="1 p." DocPartId="2825885c56f44dcfb26d22eb4a0b6d3e" PartId="1046a17c3a644d708f1887ff6e3a6c79"/>
      <Part Type="punktas" Nr="2" Abbr="2 p." DocPartId="1c25ad54e99b4757b1ae3ce447906525" PartId="702511ccc5884c2da590b6ea16dcdfbf"/>
    </Part>
    <Part Type="skyrius" Nr="2" Title="PERDIRBTŲ PADANGŲ ATLIEKŲ NEBELAIKYMAS ATLIEKOMIS" DocPartId="f8ebfec2b8084ae5821616784442956b" PartId="59bd5d2f0e05493ab6670fdffad04813">
      <Part Type="punktas" Nr="3" Abbr="3 p." DocPartId="570f27e947104621bf08d2e34c20c163" PartId="3a34d8eb4ef14195ad1772e0a8022bfe"/>
      <Part Type="punktas" Nr="4" Abbr="4 p." DocPartId="e98517ef566346a6a1659b391bfc8e6e" PartId="7b344853cb1b4982bf686010439b7974">
        <Part Type="papunktis" Nr="4.1" Abbr="4.1 pp." DocPartId="2b4e3e9f4e09467b9700910d3fe3ef83" PartId="10b9ef44989249e19390c338ba4545cc"/>
        <Part Type="papunktis" Nr="4.2" Abbr="4.2 pp." DocPartId="b14a13e0bee0474087a4382857a02920" PartId="53ac44a687394a3594a72bc441c529c4"/>
        <Part Type="papunktis" Nr="4.3" Abbr="4.3 pp." DocPartId="d1a6f07fa0854512a418e77372b67039" PartId="92eebf65b496462c83471e9e2a365001"/>
        <Part Type="papunktis" Nr="4.4" Abbr="4.4 pp." DocPartId="f2292ffb80fe42118bc8643f755d1b98" PartId="6c27010df3054a41a6c2c294143b6122"/>
        <Part Type="papunktis" Nr="4.5" Abbr="4.5 pp." DocPartId="8b83286dac274217b700cb8ad91270df" PartId="f4c4531200704eea870f316de9b3c7de"/>
      </Part>
      <Part Type="punktas" Nr="5" Abbr="5 p." DocPartId="ea337f35da4b4ffba5367e27cf2d2cfd" PartId="e1af341c38394b11a8a3957c0b0c7731"/>
      <Part Type="punktas" Nr="6" Abbr="6 p." DocPartId="e34fdb1e033f4a009d463443e86e670c" PartId="4b6e0fc7de684e04a2527e3afca3d878">
        <Part Type="papunktis" Nr="6.1" Abbr="6.1 pp." DocPartId="33c29f22fe0647baa8bd347b52590c07" PartId="ac7812739bb84e0c895eb6fdeecd0d33"/>
        <Part Type="papunktis" Nr="6.2" Abbr="6.2 pp." DocPartId="d311d9ad95634028819a9c62371690a9" PartId="b0e50d7fc993430f895b712f7385f0c5"/>
        <Part Type="papunktis" Nr="6.3" Abbr="6.3 pp." DocPartId="4c8cf00761f24a04b8d7fc07d30a7865" PartId="cf6a8639c2574ed4953926670e80e668"/>
        <Part Type="papunktis" Nr="6.4" Abbr="6.4 pp." DocPartId="b41631a0d9604ab191ccf40deaad8f89" PartId="1c20e3f13c4a443290ee9bcaceea919f"/>
      </Part>
      <Part Type="punktas" Nr="7" Abbr="7 p." DocPartId="a18eb7d9d0cd4f5db93b5fdd6b21faee" PartId="47dd6904943e46c5bffef775e791e807"/>
      <Part Type="punktas" Nr="8" Abbr="8 p." DocPartId="ec46e71499b24cf2bf94dde7233c1c72" PartId="c2f4fb90cd0a49769a0dfe3a5e07535e"/>
      <Part Type="punktas" Nr="8-1" Abbr="8-1 p." DocPartId="88faa516d69a43218557b7e6d25e8eb3" PartId="16b6963157a34203849fa4254e28bd38"/>
    </Part>
    <Part Type="skyrius" Nr="3" Title="PERDIRBTŲ PADANGŲ ATLIEKŲ NEBELAIKYMO ATLIEKOMIS ATITIKTIES DEKLARACIJA" DocPartId="ae0fafb9783a4ff89b801fa602240e67" PartId="5adda18444e243c78eb17f4c7dbaf678">
      <Part Type="punktas" Nr="9" Abbr="9 p." DocPartId="61c0b020721d4dcf8ea4f0f44f8dc8d8" PartId="4c7a76254a8f41f19429b5d91f7de7f8">
        <Part Type="papunktis" Nr="9.1" Abbr="9.1 pp." DocPartId="501b028f148b4ded9c1b68e77700c14b" PartId="0e0c49db1b984077b7526f9aa80e13e3"/>
        <Part Type="papunktis" Nr="9.2" Abbr="9.2 pp." DocPartId="ebff5b75a7bb4685bbe6b678449884ce" PartId="13785773add04594af8864f81fb54ae1"/>
        <Part Type="papunktis" Nr="9.3" Abbr="9.3 pp." DocPartId="46b78870452d43f9be24d5bad06815cc" PartId="c4ded211260d4335bebcc2324b11f2c1"/>
        <Part Type="papunktis" Nr="9.4" Abbr="9.4 pp." DocPartId="f13cc6b6c6a243489e878b40ebee185b" PartId="f41971ef2f974eb0a8ca7a58557f6f86"/>
      </Part>
      <Part Type="punktas" Nr="10" Abbr="10 p." DocPartId="236871e7cd7c46d3bb70eec4c4d8cad8" PartId="404574c3d0c548aa96cc81ac9878355f"/>
      <Part Type="punktas" Nr="11" Abbr="11 p." DocPartId="170e56343b88438bb9cd254d4ba6935d" PartId="62f70852fecb441eb16fb6ac6c396803"/>
      <Part Type="punktas" Nr="12" Abbr="12 p." DocPartId="c3f2cef696a64fe89f9934e1a3aa94a1" PartId="3a3ccbc8caae4f3e82ffdbd13286a6e7"/>
      <Part Type="punktas" Nr="13" Abbr="13 p." DocPartId="5f15c607f5c94626adca07769a4511e1" PartId="d9e0ca3afa0c4e73908041528240ca7f"/>
      <Part Type="punktas" Nr="13-1" Abbr="13-1 p." DocPartId="0405bba758df42b8b29afb2503b77c51" PartId="a11b25609901422db6bbc499a5753c62"/>
    </Part>
    <Part Type="skyrius" Nr="4" Title="KOKYBĖS VALDYMO SISTEMA" DocPartId="39a45dd6ec674083ba2a314af9ed6a0b" PartId="fb170273c2b947d4b7d3168068310461">
      <Part Type="punktas" Nr="14" Abbr="14 p." DocPartId="d864b188d362456bba29a438461ad607" PartId="2dd78ed8fb7d472f85a8c084f3186d8e"/>
      <Part Type="punktas" Nr="15" Abbr="15 p." DocPartId="73fe17a8b4e24d768380788dd04058ef" PartId="2e2598cc24c440bb96ba96e245afbc90">
        <Part Type="papunktis" Nr="15.1" Abbr="15.1 pp." DocPartId="b0dde4bf08a0492080b976a6f11f9585" PartId="07162e992a664b69b5a82992dd01eb84"/>
        <Part Type="papunktis" Nr="15.2" Abbr="15.2 pp." DocPartId="aca4de1fb1ed40be9085bd948e008a12" PartId="00d0f1281a934fe68530b2b1ad0b3c76"/>
        <Part Type="papunktis" Nr="15.3" Abbr="15.3 pp." DocPartId="15f956732f124d1896a9707f9d7ec00b" PartId="c4e66c72840547d488a4476915efe172"/>
        <Part Type="papunktis" Nr="15.4" Abbr="15.4 pp." DocPartId="ccbb5956947b4f5d8de0514edca78456" PartId="81b8563ee427444bae7a65d2a5834505"/>
        <Part Type="papunktis" Nr="15.5" Abbr="15.5 pp." DocPartId="dda10901522e4d2a833b0d2bf732c828" PartId="63548406dfb74b9c8575175a0329601b"/>
        <Part Type="papunktis" Nr="15.6" Abbr="15.6 pp." DocPartId="1591877034d247008ba13cae54e21df2" PartId="bd98537e094a493da6b5ae3fd025245c"/>
        <Part Type="papunktis" Nr="15.7" Abbr="15.7 pp." DocPartId="72cd3a426cb241ff926b1db7d086b131" PartId="c96f96043ec7493cadb7aa19c41754ba"/>
      </Part>
      <Part Type="punktas" Nr="16" Abbr="16 p." DocPartId="86db0bb9caa24cdba74de8fd0153d0b2" PartId="cf02edc723da41fb9a231e7a0f5d1d8b">
        <Part Type="papunktis" Nr="16.1" Abbr="16.1 pp." DocPartId="2a532682582747c5b691c0f90a3e251d" PartId="c6cdca05d34a46348b8c6262b7bb9248"/>
        <Part Type="papunktis" Nr="16.2" Abbr="16.2 pp." DocPartId="2aa0cde1c6d04e1a8479a37ecb0412d4" PartId="af67d9a847714325b44311580e115c6e"/>
        <Part Type="papunktis" Nr="16.3" Abbr="16.3 pp." DocPartId="07b06ff4229f47f5830e6ae240073fab" PartId="94aed95f1ca340a1ba03dc202521370a"/>
        <Part Type="papunktis" Nr="16.4" Abbr="16.4 pp." DocPartId="d6458cb617dc49f69516e4cab408545e" PartId="ea2627e549f24774af3157df3f67c973"/>
      </Part>
      <Part Type="punktas" Nr="17" Abbr="17 p." DocPartId="5eff8e9624f44404aa882bf688aae657" PartId="e34f55bf78114c0fa081159856efe1dc"/>
      <Part Type="punktas" Nr="18" Abbr="18 p." DocPartId="9552d11529b84444909dfdddff44408e" PartId="0b629a3c17854eaba05f9ec34be7f241"/>
      <Part Type="punktas" Nr="19" Abbr="19 p." DocPartId="fb306451c88b420380f5f34a738136e8" PartId="10a62917b9f640228899109deca60ee8"/>
    </Part>
    <Part Type="pabaiga" DocPartId="1da91e452841411d8665c356dd9a9388" PartId="81d8d04b513f44a08f5d75e8376e418b"/>
  </Part>
  <Part Type="priedas" Nr="1" Abbr="1 pr." Title="PERDIRBTŲ PADANGŲ ATLIEKŲ NEBELAIKYMO ATLIEKOMIS KRITERIJAI" DocPartId="bc328ff31fa945d4afde5184b58c4142" PartId="ab2ea07542ed4de79b49dd5ed8e3e1a4"/>
  <Part Type="priedas" Nr="2" Abbr="2 pr." Title="(Perdirbtų padangų atliekų nebelaikymo atliekomis atitikties deklaracijos forma)" DocPartId="0813860b3b744e2f9702305afb3016fe" PartId="3d669fae2c5a483ca3026e61c442f6db"/>
  <Part Type="priedas" Nr="3" Abbr="3 pr." Title="(Prašymo pratęsti padangų gumos antrinių žaliavų naudojimo terminą forma)" DocPartId="c4f63180aef04b9d90b485ab5fd09424" PartId="63f26eb5d39447ae912be5fc17620924"/>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0D0707D-BC98-4E6E-ABFB-B1949EEAA751}">
  <ds:schemaRefs>
    <ds:schemaRef ds:uri="http://schemas.microsoft.com/sharepoint/v3/contenttype/forms"/>
  </ds:schemaRefs>
</ds:datastoreItem>
</file>

<file path=customXml/itemProps2.xml><?xml version="1.0" encoding="utf-8"?>
<ds:datastoreItem xmlns:ds="http://schemas.openxmlformats.org/officeDocument/2006/customXml" ds:itemID="{9C573BA1-5387-472E-9FBC-1C521431B19F}">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35BA39DE-4B35-4401-8481-269B125769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427F9F-D388-4578-860C-1239D44A3B99}">
  <ds:schemaRefs>
    <ds:schemaRef ds:uri="http://lrs.lt/TAIS/DocParts"/>
  </ds:schemaRefs>
</ds:datastoreItem>
</file>

<file path=customXml/itemProps5.xml><?xml version="1.0" encoding="utf-8"?>
<ds:datastoreItem xmlns:ds="http://schemas.openxmlformats.org/officeDocument/2006/customXml" ds:itemID="{DE7C62F7-0ACB-434F-8656-02E5297EF6CC}">
  <ds:schemaRefs>
    <ds:schemaRef ds:uri="http://schemas.openxmlformats.org/officeDocument/2006/bibliography"/>
  </ds:schemaRefs>
</ds:datastoreItem>
</file>

<file path=customXml/itemProps6.xml><?xml version="1.0" encoding="utf-8"?>
<ds:datastoreItem xmlns:ds="http://schemas.openxmlformats.org/officeDocument/2006/customXml" ds:itemID="{9B8DCDB9-D577-43B7-B665-D5F50B1909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9</Pages>
  <Words>14742</Words>
  <Characters>8404</Characters>
  <Application>Microsoft Office Word</Application>
  <DocSecurity>0</DocSecurity>
  <Lines>70</Lines>
  <Paragraphs>46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LinksUpToDate>false</LinksUpToDate>
  <CharactersWithSpaces>23100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2022-02-14T05:34:00Z</dcterms:created>
  <dcterms:modified xsi:type="dcterms:W3CDTF">2024-11-12T19:41:00Z</dcterms:modified>
  <revision>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