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5ce183a7b01a48009592f6c38391b38f"/>
        <w:lock w:val="sdtLocked"/>
        <w:richText/>
      </w:sdtPr>
      <w:sdtContent>
        <w:p>
          <w:pPr>
            <w:jc w:val="both"/>
            <w:rPr>
              <w:rFonts w:ascii="Times New Roman" w:hAnsi="Times New Roman"/>
            </w:rPr>
          </w:pPr>
          <w:r>
            <w:rPr>
              <w:rFonts w:ascii="Times New Roman" w:hAnsi="Times New Roman"/>
              <w:b/>
              <w:i/>
            </w:rPr>
            <w:t>Suvestinė redakcija nuo 2026-05-29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2017-02-27, i. k. 2017-03102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2026-05-29:</w:t>
          </w:r>
        </w:p>
        <w:p>
          <w:pPr>
            <w:rPr>
              <w:rFonts w:ascii="Times New Roman" w:hAnsi="Times New Roman"/>
              <w:sz w:val="20"/>
              <w:i/>
            </w:rPr>
          </w:pPr>
          <w:r>
            <w:rPr>
              <w:rFonts w:ascii="Times New Roman" w:hAnsi="Times New Roman"/>
              <w:sz w:val="20"/>
              <w:i/>
            </w:rPr>
            <w:t xml:space="preserve">Nr. </w:t>
          </w:r>
          <w:fldSimple w:instr="HYPERLINK https://www.e-tar.lt/portal/legalAct.html?documentId=d99f8cf45aa211f180c9c618618421ed">
            <w:r w:rsidRPr="00532B9F">
              <w:rPr>
                <w:rFonts w:ascii="Times New Roman" w:eastAsia="MS Mincho" w:hAnsi="Times New Roman"/>
                <w:sz w:val="20"/>
                <w:i/>
                <w:iCs/>
                <w:color w:val="0000FF" w:themeColor="hyperlink"/>
                <w:u w:val="single"/>
              </w:rPr>
              <w:t>1-134</w:t>
            </w:r>
          </w:fldSimple>
          <w:r>
            <w:rPr>
              <w:rFonts w:ascii="Times New Roman" w:eastAsia="MS Mincho" w:hAnsi="Times New Roman"/>
              <w:sz w:val="20"/>
              <w:i/>
              <w:iCs/>
            </w:rPr>
            <w:t>,
2026-05-28,
paskelbta TAR 2026-05-28, i. k. 2026-09182                </w:t>
          </w:r>
        </w:p>
        <w:p>
          <w:pPr>
            <w:rPr>
              <w:rFonts w:ascii="Times New Roman" w:hAnsi="Times New Roman"/>
              <w:sz w:val="22"/>
            </w:rPr>
          </w:pPr>
        </w:p>
        <w:p>
          <w:pPr>
            <w:jc w:val="center"/>
            <w:rPr>
              <w:b/>
              <w:bCs/>
              <w:caps/>
            </w:rPr>
          </w:pPr>
          <w:r>
            <w:rPr>
              <w:b/>
              <w:bCs/>
              <w:caps/>
            </w:rPr>
            <w:t>LIETUVOS RESPUBLIKOS ENERGETIKOS MINISTRAS</w:t>
          </w:r>
        </w:p>
        <w:p>
          <w:pPr>
            <w:jc w:val="center"/>
            <w:rPr>
              <w:b/>
              <w:caps/>
            </w:rPr>
          </w:pPr>
        </w:p>
        <w:p>
          <w:pPr>
            <w:jc w:val="center"/>
            <w:rPr>
              <w:caps/>
            </w:rPr>
          </w:pPr>
          <w:r>
            <w:rPr>
              <w:b/>
              <w:caps/>
            </w:rPr>
            <w:t>ĮSAKYMAS</w:t>
          </w:r>
        </w:p>
        <w:p>
          <w:pPr>
            <w:suppressAutoHyphens/>
            <w:ind w:firstLine="62"/>
            <w:jc w:val="center"/>
            <w:textAlignment w:val="baseline"/>
          </w:pPr>
          <w:r>
            <w:rPr>
              <w:b/>
              <w:caps/>
              <w:szCs w:val="24"/>
              <w:lang w:eastAsia="lt-LT"/>
            </w:rPr>
            <w:t>DĖL ĮMONIŲ PAREIGŲ ĮGYVENDINANT ENERGIJOS NAUDOJIMO VADYBOS SISTEMĄ ARBA ENERGIJOS VARTOJIMO AUDITĄ BEI ŠIŲ PAREIGŲ LAIKYMOSI PRIEŽIŪROS IR energijos vartojimo audito atlikimo kokybės priežiūrOS TVARKOS APRAŠO PATVIRTINIMO</w:t>
          </w:r>
        </w:p>
        <w:p>
          <w:pPr>
            <w:suppressAutoHyphens/>
            <w:jc w:val="center"/>
            <w:textAlignment w:val="baseline"/>
          </w:pPr>
        </w:p>
        <w:p>
          <w:pPr>
            <w:suppressAutoHyphens/>
            <w:jc w:val="center"/>
            <w:textAlignment w:val="baseline"/>
          </w:pPr>
          <w:r>
            <w:t>2017 m. vasario 22 d. Nr. 1-46</w:t>
          </w:r>
        </w:p>
        <w:p>
          <w:pPr>
            <w:suppressAutoHyphens/>
            <w:jc w:val="center"/>
            <w:textAlignment w:val="baseline"/>
          </w:pPr>
          <w:r>
            <w:t>Vilnius</w:t>
          </w:r>
        </w:p>
        <w:p>
          <w:pPr>
            <w:suppressAutoHyphens/>
            <w:jc w:val="center"/>
            <w:textAlignment w:val="baseline"/>
          </w:pPr>
        </w:p>
        <w:p>
          <w:pPr>
            <w:suppressAutoHyphens/>
            <w:jc w:val="center"/>
            <w:textAlignment w:val="baseline"/>
          </w:pPr>
        </w:p>
        <w:sdt>
          <w:sdtPr>
            <w:alias w:val="preambule"/>
            <w:tag w:val="part_fbd6e8ef77ad4a03b65c7ba60a876107"/>
            <w:lock w:val="sdtLocked"/>
            <w:richText/>
          </w:sdtPr>
          <w:sdtContent>
            <w:p>
              <w:pPr>
                <w:suppressAutoHyphens/>
                <w:ind w:firstLine="709"/>
                <w:jc w:val="both"/>
                <w:textAlignment w:val="baseline"/>
                <w:rPr>
                  <w:lang w:eastAsia="lt-LT"/>
                </w:rPr>
              </w:pPr>
              <w:r>
                <w:rPr>
                  <w:color w:val="000000"/>
                  <w:szCs w:val="24"/>
                </w:rPr>
                <w:t xml:space="preserve">Vadovaudamasis Lietuvos Respublikos energijos vartojimo efektyvumo didinimo įstatymo 13 straipsnio 10 dalimi bei įgyvendindamas 2023 m. rugsėjo 13 d. Europos Parlamento ir Tarybos direktyvą </w:t>
              </w:r>
              <w:hyperlink r:id="rId17" w:tgtFrame="_blank" w:history="1">
                <w:r>
                  <w:rPr>
                    <w:color w:val="0563C1" w:themeColor="hyperlink"/>
                    <w:szCs w:val="24"/>
                    <w:u w:val="single"/>
                  </w:rPr>
                  <w:t>(ES) 2023/1791</w:t>
                </w:r>
              </w:hyperlink>
              <w:r>
                <w:rPr>
                  <w:color w:val="000000"/>
                  <w:szCs w:val="24"/>
                </w:rPr>
                <w:t xml:space="preserve"> dėl energijos vartojimo efektyvumo, kuria iš dalies keičiamas Reglamentas </w:t>
              </w:r>
              <w:hyperlink r:id="rId18" w:tgtFrame="_blank" w:history="1">
                <w:r>
                  <w:rPr>
                    <w:color w:val="0563C1" w:themeColor="hyperlink"/>
                    <w:szCs w:val="24"/>
                    <w:u w:val="single"/>
                  </w:rPr>
                  <w:t>(ES) 2023/955</w:t>
                </w:r>
              </w:hyperlink>
              <w:r>
                <w:rPr>
                  <w:color w:val="000000"/>
                  <w:szCs w:val="24"/>
                </w:rPr>
                <w:t>:</w:t>
              </w:r>
            </w:p>
          </w:sdtContent>
        </w:sdt>
        <w:sdt>
          <w:sdtPr>
            <w:alias w:val="1 p."/>
            <w:tag w:val="part_82d83868da9e49a3aae7c9f3aa46d578"/>
            <w:lock w:val="sdtLocked"/>
            <w:richText/>
          </w:sdtPr>
          <w:sdtContent>
            <w:p>
              <w:pPr>
                <w:suppressAutoHyphens/>
                <w:ind w:firstLine="709"/>
                <w:jc w:val="both"/>
                <w:textAlignment w:val="baseline"/>
                <w:rPr>
                  <w:lang w:eastAsia="lt-LT"/>
                </w:rPr>
              </w:pPr>
              <w:sdt>
                <w:sdtPr>
                  <w:alias w:val="Numeris"/>
                  <w:tag w:val="nr_82d83868da9e49a3aae7c9f3aa46d578"/>
                  <w:lock w:val="sdtLocked"/>
                  <w:richText/>
                </w:sdtPr>
                <w:sdtContent>
                  <w:r>
                    <w:rPr>
                      <w:lang w:eastAsia="lt-LT"/>
                    </w:rPr>
                    <w:t>1</w:t>
                  </w:r>
                </w:sdtContent>
              </w:sdt>
              <w:r>
                <w:rPr>
                  <w:lang w:eastAsia="lt-LT"/>
                </w:rPr>
                <w:t>.</w:t>
                <w:tab/>
                <w:t xml:space="preserve"> </w:t>
              </w:r>
              <w:r>
                <w:rPr>
                  <w:spacing w:val="60"/>
                  <w:lang w:eastAsia="lt-LT"/>
                </w:rPr>
                <w:t>Tvirtin</w:t>
              </w:r>
              <w:r>
                <w:rPr>
                  <w:lang w:eastAsia="lt-LT"/>
                </w:rPr>
                <w:t>u</w:t>
              </w:r>
              <w:r>
                <w:rPr>
                  <w:szCs w:val="24"/>
                  <w:highlight w:val="white"/>
                  <w:lang w:eastAsia="lt-LT"/>
                </w:rPr>
                <w:t xml:space="preserve"> Įmonių pareigų įgyvendinant energijos naudojimo vadybos sistemą arba energijos vartojimo auditą bei šių pareigų laikymosi priežiūros ir energijos vartojimo audito atlikimo kokybės priežiūros tvarkos</w:t>
              </w:r>
              <w:r>
                <w:rPr>
                  <w:color w:val="000000"/>
                  <w:szCs w:val="24"/>
                  <w:highlight w:val="white"/>
                  <w:lang w:eastAsia="lt-LT"/>
                </w:rPr>
                <w:t xml:space="preserve"> aprašą</w:t>
              </w:r>
              <w:r>
                <w:rPr>
                  <w:highlight w:val="white"/>
                  <w:lang w:eastAsia="lt-LT"/>
                </w:rPr>
                <w:t xml:space="preserve"> (pridedama).</w:t>
              </w:r>
            </w:p>
          </w:sdtContent>
        </w:sdt>
        <w:sdt>
          <w:sdtPr>
            <w:alias w:val="2 p."/>
            <w:tag w:val="part_83fcff6d35b04657967bf439aa272249"/>
            <w:lock w:val="sdtLocked"/>
            <w:richText/>
          </w:sdtPr>
          <w:sdtContent>
            <w:p>
              <w:pPr>
                <w:ind w:firstLine="720"/>
                <w:jc w:val="both"/>
              </w:pPr>
              <w:sdt>
                <w:sdtPr>
                  <w:alias w:val="Numeris"/>
                  <w:tag w:val="nr_83fcff6d35b04657967bf439aa272249"/>
                  <w:lock w:val="sdtLocked"/>
                  <w:richText/>
                </w:sdtPr>
                <w:sdtContent>
                  <w:r>
                    <w:rPr>
                      <w:szCs w:val="24"/>
                    </w:rPr>
                    <w:t>2</w:t>
                  </w:r>
                </w:sdtContent>
              </w:sdt>
              <w:r>
                <w:rPr>
                  <w:szCs w:val="24"/>
                </w:rPr>
                <w:t xml:space="preserve">. </w:t>
              </w:r>
              <w:r>
                <w:rPr>
                  <w:spacing w:val="60"/>
                  <w:szCs w:val="24"/>
                </w:rPr>
                <w:t>Paved</w:t>
              </w:r>
              <w:r>
                <w:rPr>
                  <w:spacing w:val="100"/>
                  <w:szCs w:val="24"/>
                </w:rPr>
                <w:t xml:space="preserve">u </w:t>
              </w:r>
              <w:r>
                <w:rPr>
                  <w:bCs/>
                  <w:szCs w:val="24"/>
                </w:rPr>
                <w:t xml:space="preserve">Viešajai įstaigai Lietuvos energetikos agentūra </w:t>
              </w:r>
              <w:r>
                <w:rPr>
                  <w:rFonts w:eastAsia="Calibri"/>
                  <w:color w:val="000000"/>
                  <w:szCs w:val="24"/>
                  <w:lang w:eastAsia="lt-LT"/>
                </w:rPr>
                <w:t xml:space="preserve">vykdyti įgaliotos įstaigos funkcijas </w:t>
              </w:r>
              <w:r>
                <w:rPr>
                  <w:szCs w:val="24"/>
                </w:rPr>
                <w:t xml:space="preserve">ir atlikti įmonių </w:t>
              </w:r>
              <w:r>
                <w:rPr>
                  <w:szCs w:val="24"/>
                  <w:highlight w:val="white"/>
                  <w:lang w:eastAsia="lt-LT"/>
                </w:rPr>
                <w:t>pareigų įgyvendinant energijos naudojimo vadybos sistemą arba energijos vartojimo auditą bei šių pareigų laikymosi priežiūrą ir energijos vartojimo audito atlikimo kokybės priežiūrą.</w:t>
              </w:r>
            </w:p>
          </w:sdtContent>
        </w:sdt>
        <w:sdt>
          <w:sdtPr>
            <w:alias w:val="signatura"/>
            <w:tag w:val="part_5ba2154f3dd8477b97a4028ca3265e69"/>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lang w:eastAsia="lt-LT"/>
                </w:rPr>
              </w:pPr>
              <w:r>
                <w:rPr>
                  <w:lang w:eastAsia="lt-LT"/>
                </w:rPr>
                <w:t>Energetikos ministras</w:t>
                <w:tab/>
                <w:t xml:space="preserve">Žygimantas Vaičiūnas   </w:t>
              </w:r>
            </w:p>
          </w:sdtContent>
        </w:sdt>
        <w:p/>
      </w:sdtContent>
    </w:sdt>
    <w:sdt>
      <w:sdtPr>
        <w:alias w:val="patvirtinta"/>
        <w:tag w:val="part_16a0b2c47add40f5b8abb3a32d2a8997"/>
        <w:lock w:val="sdtLocked"/>
        <w:richText/>
      </w:sdtPr>
      <w:sdtContent>
        <w:p>
          <w:pPr>
            <w:suppressAutoHyphens/>
            <w:ind w:left="-851" w:firstLine="5103"/>
            <w:jc w:val="both"/>
            <w:textAlignment w:val="baseline"/>
            <w:sectPr>
              <w:headerReference w:type="even" r:id="rId19"/>
              <w:headerReference w:type="default" r:id="rId20"/>
              <w:footerReference w:type="even" r:id="rId21"/>
              <w:footerReference w:type="default" r:id="rId22"/>
              <w:headerReference w:type="first" r:id="rId23"/>
              <w:footerReference w:type="first" r:id="rId24"/>
              <w:pgSz w:w="11907" w:h="16840"/>
              <w:pgMar w:top="1134" w:right="567" w:bottom="851" w:left="1701" w:header="567" w:footer="567" w:gutter="0"/>
              <w:pgNumType w:start="1"/>
              <w:cols w:space="1296"/>
              <w:titlePg/>
              <w:docGrid w:linePitch="326"/>
            </w:sectPr>
          </w:pPr>
        </w:p>
        <w:p>
          <w:pPr>
            <w:suppressAutoHyphens/>
            <w:ind w:left="-851" w:firstLine="5103"/>
            <w:jc w:val="both"/>
            <w:textAlignment w:val="baseline"/>
            <w:rPr>
              <w:lang w:eastAsia="lt-LT"/>
            </w:rPr>
          </w:pPr>
          <w:r>
            <w:rPr>
              <w:lang w:eastAsia="lt-LT"/>
            </w:rPr>
            <w:t>PATVIRTINTA</w:t>
          </w:r>
        </w:p>
        <w:p>
          <w:pPr>
            <w:suppressAutoHyphens/>
            <w:ind w:left="-851" w:firstLine="5103"/>
            <w:jc w:val="both"/>
            <w:textAlignment w:val="baseline"/>
            <w:rPr>
              <w:lang w:eastAsia="lt-LT"/>
            </w:rPr>
          </w:pPr>
          <w:r>
            <w:rPr>
              <w:lang w:eastAsia="lt-LT"/>
            </w:rPr>
            <w:t>Lietuvos Respublikos energetikos ministro</w:t>
          </w:r>
        </w:p>
        <w:p>
          <w:pPr>
            <w:suppressAutoHyphens/>
            <w:ind w:left="-851" w:firstLine="5102"/>
            <w:jc w:val="both"/>
            <w:textAlignment w:val="baseline"/>
            <w:rPr>
              <w:lang w:eastAsia="lt-LT"/>
            </w:rPr>
          </w:pPr>
          <w:r>
            <w:rPr>
              <w:lang w:eastAsia="lt-LT"/>
            </w:rPr>
            <w:t>2017 m. vasario 22 d. įsakymu Nr. 1-46</w:t>
          </w:r>
        </w:p>
        <w:p>
          <w:pPr>
            <w:suppressAutoHyphens/>
            <w:ind w:left="-851" w:firstLine="5102"/>
            <w:jc w:val="both"/>
            <w:textAlignment w:val="baseline"/>
            <w:rPr>
              <w:lang w:eastAsia="lt-LT"/>
            </w:rPr>
          </w:pPr>
          <w:r>
            <w:rPr>
              <w:lang w:eastAsia="lt-LT"/>
            </w:rPr>
            <w:t>(Lietuvos Respublikos energetikos ministro</w:t>
          </w:r>
        </w:p>
        <w:p>
          <w:pPr>
            <w:suppressAutoHyphens/>
            <w:ind w:left="-851" w:firstLine="5102"/>
            <w:jc w:val="both"/>
            <w:textAlignment w:val="baseline"/>
            <w:rPr>
              <w:lang w:eastAsia="lt-LT"/>
            </w:rPr>
          </w:pPr>
          <w:r>
            <w:rPr>
              <w:color w:val="000000"/>
            </w:rPr>
            <w:t xml:space="preserve">2026 m. gegužės 28 d. </w:t>
          </w:r>
          <w:r>
            <w:rPr>
              <w:lang w:eastAsia="lt-LT"/>
            </w:rPr>
            <w:t>įsakymo Nr.</w:t>
          </w:r>
          <w:r>
            <w:t xml:space="preserve"> </w:t>
          </w:r>
          <w:r>
            <w:rPr>
              <w:lang w:eastAsia="lt-LT"/>
            </w:rPr>
            <w:t>1-134</w:t>
          </w:r>
        </w:p>
        <w:p>
          <w:pPr>
            <w:suppressAutoHyphens/>
            <w:ind w:left="-851" w:firstLine="5102"/>
            <w:jc w:val="both"/>
            <w:textAlignment w:val="baseline"/>
            <w:rPr>
              <w:lang w:eastAsia="lt-LT"/>
            </w:rPr>
          </w:pPr>
          <w:r>
            <w:rPr>
              <w:lang w:eastAsia="lt-LT"/>
            </w:rPr>
            <w:t>redakcija)</w:t>
          </w:r>
        </w:p>
        <w:p>
          <w:pPr>
            <w:suppressAutoHyphens/>
            <w:jc w:val="center"/>
            <w:textAlignment w:val="baseline"/>
            <w:rPr>
              <w:b/>
              <w:color w:val="000000"/>
              <w:szCs w:val="24"/>
            </w:rPr>
          </w:pPr>
        </w:p>
        <w:p>
          <w:pPr>
            <w:suppressAutoHyphens/>
            <w:jc w:val="center"/>
            <w:textAlignment w:val="baseline"/>
            <w:rPr>
              <w:b/>
              <w:color w:val="000000"/>
              <w:szCs w:val="24"/>
            </w:rPr>
          </w:pPr>
          <w:sdt>
            <w:sdtPr>
              <w:alias w:val="Pavadinimas"/>
              <w:tag w:val="title_16a0b2c47add40f5b8abb3a32d2a8997"/>
              <w:lock w:val="sdtLocked"/>
              <w:richText/>
            </w:sdtPr>
            <w:sdtContent>
              <w:r>
                <w:rPr>
                  <w:b/>
                  <w:caps/>
                  <w:szCs w:val="24"/>
                  <w:lang w:eastAsia="lt-LT"/>
                </w:rPr>
                <w:t xml:space="preserve">ĮMONIŲ PAREIGŲ ĮGYVENDINANT ENERGIJOS NAUDOJIMO VADYBOS SISTEMĄ ARBA ENERGIJOS VARTOJIMO AUDITĄ BEI ŠIŲ PAREIGŲ LAIKYMOSI PRIEŽIŪROS  IR energijos vartojimo audito atlikimo kokybės priežiūrOS TVARKOS APRAŠAS </w:t>
              </w:r>
            </w:sdtContent>
          </w:sdt>
        </w:p>
        <w:p>
          <w:pPr>
            <w:suppressAutoHyphens/>
            <w:jc w:val="center"/>
            <w:textAlignment w:val="baseline"/>
            <w:rPr>
              <w:b/>
              <w:bCs/>
              <w:lang w:eastAsia="lt-LT"/>
            </w:rPr>
          </w:pPr>
        </w:p>
        <w:sdt>
          <w:sdtPr>
            <w:alias w:val="skyrius"/>
            <w:tag w:val="part_4ce8d1bbc1e947b095b0387e71ef448c"/>
            <w:lock w:val="sdtLocked"/>
            <w:richText/>
          </w:sdtPr>
          <w:sdtContent>
            <w:p>
              <w:pPr>
                <w:suppressAutoHyphens/>
                <w:jc w:val="center"/>
                <w:textAlignment w:val="baseline"/>
                <w:rPr>
                  <w:b/>
                  <w:bCs/>
                  <w:lang w:eastAsia="lt-LT"/>
                </w:rPr>
              </w:pPr>
              <w:sdt>
                <w:sdtPr>
                  <w:alias w:val="Numeris"/>
                  <w:tag w:val="nr_4ce8d1bbc1e947b095b0387e71ef448c"/>
                  <w:lock w:val="sdtLocked"/>
                  <w:richText/>
                </w:sdtPr>
                <w:sdtContent>
                  <w:r>
                    <w:rPr>
                      <w:b/>
                      <w:bCs/>
                      <w:lang w:eastAsia="lt-LT"/>
                    </w:rPr>
                    <w:t>I</w:t>
                  </w:r>
                </w:sdtContent>
              </w:sdt>
              <w:r>
                <w:rPr>
                  <w:b/>
                  <w:bCs/>
                  <w:lang w:eastAsia="lt-LT"/>
                </w:rPr>
                <w:t xml:space="preserve"> SKYRIUS</w:t>
              </w:r>
            </w:p>
            <w:p>
              <w:pPr>
                <w:suppressAutoHyphens/>
                <w:jc w:val="center"/>
                <w:textAlignment w:val="baseline"/>
                <w:rPr>
                  <w:b/>
                  <w:bCs/>
                  <w:lang w:eastAsia="lt-LT"/>
                </w:rPr>
              </w:pPr>
              <w:sdt>
                <w:sdtPr>
                  <w:alias w:val="Pavadinimas"/>
                  <w:tag w:val="title_4ce8d1bbc1e947b095b0387e71ef448c"/>
                  <w:lock w:val="sdtLocked"/>
                  <w:richText/>
                </w:sdtPr>
                <w:sdtContent>
                  <w:r>
                    <w:rPr>
                      <w:b/>
                      <w:bCs/>
                      <w:lang w:eastAsia="lt-LT"/>
                    </w:rPr>
                    <w:t>BENDROSIOS NUOSTATOS</w:t>
                  </w:r>
                </w:sdtContent>
              </w:sdt>
            </w:p>
            <w:p>
              <w:pPr>
                <w:suppressAutoHyphens/>
                <w:ind w:firstLine="720"/>
                <w:jc w:val="both"/>
                <w:textAlignment w:val="baseline"/>
              </w:pPr>
            </w:p>
            <w:sdt>
              <w:sdtPr>
                <w:alias w:val="1 p."/>
                <w:tag w:val="part_12c8680ad9b34595867a40d750f6f94c"/>
                <w:lock w:val="sdtLocked"/>
                <w:richText/>
              </w:sdtPr>
              <w:sdtContent>
                <w:p>
                  <w:pPr>
                    <w:ind w:firstLine="720"/>
                    <w:jc w:val="both"/>
                    <w:rPr>
                      <w:szCs w:val="24"/>
                    </w:rPr>
                  </w:pPr>
                  <w:sdt>
                    <w:sdtPr>
                      <w:alias w:val="Numeris"/>
                      <w:tag w:val="nr_12c8680ad9b34595867a40d750f6f94c"/>
                      <w:lock w:val="sdtLocked"/>
                      <w:richText/>
                    </w:sdtPr>
                    <w:sdtContent>
                      <w:r>
                        <w:rPr>
                          <w:szCs w:val="24"/>
                        </w:rPr>
                        <w:t>1</w:t>
                      </w:r>
                    </w:sdtContent>
                  </w:sdt>
                  <w:r>
                    <w:rPr>
                      <w:szCs w:val="24"/>
                    </w:rPr>
                    <w:t xml:space="preserve">. </w:t>
                  </w:r>
                  <w:r>
                    <w:rPr>
                      <w:szCs w:val="24"/>
                      <w:highlight w:val="white"/>
                      <w:lang w:eastAsia="lt-LT"/>
                    </w:rPr>
                    <w:t>Įmonių pareigų įgyvendinant energijos naudojimo vadybos sistemą arba energijos vartojimo auditą bei šių pareigų laikymosi priežiūros ir energijos vartojimo audito atlikimo kokybės priežiūros tvarkos</w:t>
                  </w:r>
                  <w:r>
                    <w:rPr>
                      <w:color w:val="000000"/>
                      <w:szCs w:val="24"/>
                      <w:highlight w:val="white"/>
                      <w:lang w:eastAsia="lt-LT"/>
                    </w:rPr>
                    <w:t xml:space="preserve"> aprašas</w:t>
                  </w:r>
                  <w:r>
                    <w:rPr>
                      <w:highlight w:val="white"/>
                      <w:lang w:eastAsia="lt-LT"/>
                    </w:rPr>
                    <w:t xml:space="preserve"> </w:t>
                  </w:r>
                  <w:r>
                    <w:rPr>
                      <w:szCs w:val="24"/>
                    </w:rPr>
                    <w:t xml:space="preserve">(toliau – Aprašas) nustato Lietuvos Respublikos energijos </w:t>
                  </w:r>
                  <w:r>
                    <w:rPr>
                      <w:lang w:eastAsia="lt-LT"/>
                    </w:rPr>
                    <w:t xml:space="preserve">vartojimo efektyvumo didinimo įstatymo </w:t>
                  </w:r>
                  <w:r>
                    <w:rPr>
                      <w:lang w:val="en-US" w:eastAsia="lt-LT"/>
                    </w:rPr>
                    <w:t>13</w:t>
                  </w:r>
                  <w:r>
                    <w:rPr>
                      <w:lang w:eastAsia="lt-LT"/>
                    </w:rPr>
                    <w:t xml:space="preserve"> straipsnio </w:t>
                  </w:r>
                  <w:r>
                    <w:rPr>
                      <w:color w:val="000000"/>
                      <w:shd w:val="clear" w:color="auto" w:fill="FFFFFF"/>
                    </w:rPr>
                    <w:t xml:space="preserve">1-3 ir </w:t>
                  </w:r>
                  <w:r>
                    <w:rPr>
                      <w:color w:val="000000"/>
                      <w:shd w:val="clear" w:color="auto" w:fill="FFFFFF"/>
                      <w:lang w:val="en-US"/>
                    </w:rPr>
                    <w:t>5</w:t>
                  </w:r>
                  <w:r>
                    <w:rPr>
                      <w:color w:val="000000"/>
                      <w:shd w:val="clear" w:color="auto" w:fill="FFFFFF"/>
                    </w:rPr>
                    <w:t>-7 dalyse nurodytų</w:t>
                  </w:r>
                  <w:r>
                    <w:rPr>
                      <w:color w:val="000000"/>
                      <w:shd w:val="clear" w:color="auto" w:fill="FFFFFF"/>
                      <w:lang w:val="en-US"/>
                    </w:rPr>
                    <w:t xml:space="preserve"> </w:t>
                  </w:r>
                  <w:r>
                    <w:rPr>
                      <w:szCs w:val="24"/>
                    </w:rPr>
                    <w:t xml:space="preserve">pareigų įmonėms, </w:t>
                  </w:r>
                  <w:r>
                    <w:rPr>
                      <w:szCs w:val="24"/>
                      <w:highlight w:val="white"/>
                      <w:lang w:eastAsia="lt-LT"/>
                    </w:rPr>
                    <w:t>įgyvendinant energijos naudojimo vadybos sistemą arba energijos vartojimo auditą (</w:t>
                  </w:r>
                  <w:r>
                    <w:rPr>
                      <w:szCs w:val="24"/>
                    </w:rPr>
                    <w:t xml:space="preserve">toliau – Auditas) laikymosi priežiūros reikalavimus bei energijos vartojimo audito atlikimo kokybės kriterijus. </w:t>
                  </w:r>
                </w:p>
              </w:sdtContent>
            </w:sdt>
            <w:sdt>
              <w:sdtPr>
                <w:alias w:val="2 p."/>
                <w:tag w:val="part_dd86762fd4264f5781f87ff0c8c3fe93"/>
                <w:lock w:val="sdtLocked"/>
                <w:richText/>
              </w:sdtPr>
              <w:sdtContent>
                <w:p>
                  <w:pPr>
                    <w:ind w:firstLine="720"/>
                    <w:jc w:val="both"/>
                    <w:rPr>
                      <w:szCs w:val="24"/>
                    </w:rPr>
                  </w:pPr>
                  <w:sdt>
                    <w:sdtPr>
                      <w:alias w:val="Numeris"/>
                      <w:tag w:val="nr_dd86762fd4264f5781f87ff0c8c3fe93"/>
                      <w:lock w:val="sdtLocked"/>
                      <w:richText/>
                    </w:sdtPr>
                    <w:sdtContent>
                      <w:r>
                        <w:rPr>
                          <w:szCs w:val="24"/>
                        </w:rPr>
                        <w:t>2</w:t>
                      </w:r>
                    </w:sdtContent>
                  </w:sdt>
                  <w:r>
                    <w:rPr>
                      <w:szCs w:val="24"/>
                    </w:rPr>
                    <w:t xml:space="preserve">. Šis Aprašas yra taikomas Lietuvos Respublikoje registruotoms ir jos teritorijoje ekonominę veiklą vykdančioms įmonėms (toliau – Įmonės). </w:t>
                  </w:r>
                </w:p>
              </w:sdtContent>
            </w:sdt>
            <w:sdt>
              <w:sdtPr>
                <w:alias w:val="3 p."/>
                <w:tag w:val="part_6c904f13238a4ebfa63323c8d53585dd"/>
                <w:lock w:val="sdtLocked"/>
                <w:richText/>
              </w:sdtPr>
              <w:sdtContent>
                <w:p>
                  <w:pPr>
                    <w:suppressAutoHyphens/>
                    <w:ind w:firstLine="720"/>
                    <w:jc w:val="both"/>
                    <w:textAlignment w:val="baseline"/>
                    <w:rPr>
                      <w:lang w:eastAsia="lt-LT"/>
                    </w:rPr>
                  </w:pPr>
                  <w:sdt>
                    <w:sdtPr>
                      <w:alias w:val="Numeris"/>
                      <w:tag w:val="nr_6c904f13238a4ebfa63323c8d53585dd"/>
                      <w:lock w:val="sdtLocked"/>
                      <w:richText/>
                    </w:sdtPr>
                    <w:sdtContent>
                      <w:r>
                        <w:rPr>
                          <w:color w:val="000000"/>
                          <w:szCs w:val="24"/>
                          <w:lang w:eastAsia="lt-LT"/>
                        </w:rPr>
                        <w:t>3</w:t>
                      </w:r>
                    </w:sdtContent>
                  </w:sdt>
                  <w:r>
                    <w:rPr>
                      <w:color w:val="000000"/>
                      <w:szCs w:val="24"/>
                      <w:lang w:eastAsia="lt-LT"/>
                    </w:rPr>
                    <w:t xml:space="preserve">. </w:t>
                  </w:r>
                  <w:r>
                    <w:rPr>
                      <w:lang w:eastAsia="lt-LT"/>
                    </w:rPr>
                    <w:t xml:space="preserve">Įvertinant kokia pareiga Įmonėms yra privaloma pagal Energijos vartojimo efektyvumo didinimo įstatymo </w:t>
                  </w:r>
                  <w:r>
                    <w:rPr>
                      <w:lang w:val="en-US" w:eastAsia="lt-LT"/>
                    </w:rPr>
                    <w:t>13</w:t>
                  </w:r>
                  <w:r>
                    <w:rPr>
                      <w:lang w:eastAsia="lt-LT"/>
                    </w:rPr>
                    <w:t xml:space="preserve"> straipsnio </w:t>
                  </w:r>
                  <w:r>
                    <w:rPr>
                      <w:color w:val="000000"/>
                      <w:shd w:val="clear" w:color="auto" w:fill="FFFFFF"/>
                    </w:rPr>
                    <w:t xml:space="preserve">1-3 ir </w:t>
                  </w:r>
                  <w:r>
                    <w:rPr>
                      <w:color w:val="000000"/>
                      <w:shd w:val="clear" w:color="auto" w:fill="FFFFFF"/>
                      <w:lang w:val="en-US"/>
                    </w:rPr>
                    <w:t>5</w:t>
                  </w:r>
                  <w:r>
                    <w:rPr>
                      <w:color w:val="000000"/>
                      <w:shd w:val="clear" w:color="auto" w:fill="FFFFFF"/>
                    </w:rPr>
                    <w:t>-7 dalis</w:t>
                  </w:r>
                  <w:r>
                    <w:rPr>
                      <w:lang w:eastAsia="lt-LT"/>
                    </w:rPr>
                    <w:t>, atsižvelgiama į Aprašo II skyriuje nurodytą Įmonių vidutinio metinio galutinės energijos suvartojimo apskaičiavimo metodiką.</w:t>
                  </w:r>
                </w:p>
              </w:sdtContent>
            </w:sdt>
            <w:sdt>
              <w:sdtPr>
                <w:alias w:val="4 p."/>
                <w:tag w:val="part_ceaf7c3da6d74cabb0e5a88d4d712ea3"/>
                <w:lock w:val="sdtLocked"/>
                <w:richText/>
              </w:sdtPr>
              <w:sdtContent>
                <w:p>
                  <w:pPr>
                    <w:suppressAutoHyphens/>
                    <w:ind w:firstLine="720"/>
                    <w:jc w:val="both"/>
                    <w:textAlignment w:val="baseline"/>
                    <w:rPr>
                      <w:iCs/>
                    </w:rPr>
                  </w:pPr>
                  <w:sdt>
                    <w:sdtPr>
                      <w:alias w:val="Numeris"/>
                      <w:tag w:val="nr_ceaf7c3da6d74cabb0e5a88d4d712ea3"/>
                      <w:lock w:val="sdtLocked"/>
                      <w:richText/>
                    </w:sdtPr>
                    <w:sdtContent>
                      <w:r>
                        <w:rPr>
                          <w:sz w:val="22"/>
                        </w:rPr>
                        <w:t>4</w:t>
                      </w:r>
                    </w:sdtContent>
                  </w:sdt>
                  <w:r>
                    <w:rPr>
                      <w:sz w:val="22"/>
                    </w:rPr>
                    <w:t xml:space="preserve">. </w:t>
                  </w:r>
                  <w:r>
                    <w:rPr>
                      <w:lang w:eastAsia="lt-LT"/>
                    </w:rPr>
                    <w:t xml:space="preserve">Auditą Įmonėse turi teisę atlikti specialistai, atitinkantys Lietuvos Respublikos energetikos įstatymo </w:t>
                  </w:r>
                  <w:r>
                    <w:rPr>
                      <w:lang w:val="en-US" w:eastAsia="lt-LT"/>
                    </w:rPr>
                    <w:t xml:space="preserve">28 </w:t>
                  </w:r>
                  <w:r>
                    <w:rPr>
                      <w:lang w:eastAsia="lt-LT"/>
                    </w:rPr>
                    <w:t>straipsnyje nustatytus reikalavimus ar kitų Europos Sąjungos valstybių narių kvalifikuoti, akredituoti ir (arba) atestuoti auditoriai (toliau – ES auditoriai) ar įmonės, o</w:t>
                  </w:r>
                  <w:r>
                    <w:rPr>
                      <w:color w:val="000000"/>
                      <w:szCs w:val="24"/>
                      <w:lang w:eastAsia="lt-LT"/>
                    </w:rPr>
                    <w:t xml:space="preserve"> Audito </w:t>
                  </w:r>
                  <w:r>
                    <w:rPr>
                      <w:iCs/>
                    </w:rPr>
                    <w:t>išsamumas turi atitikti energetikos ministro Audito atlikimui nustatytas tvarkas ir metodikas.</w:t>
                  </w:r>
                </w:p>
              </w:sdtContent>
            </w:sdt>
            <w:sdt>
              <w:sdtPr>
                <w:alias w:val="5 p."/>
                <w:tag w:val="part_c7c3825c0f3d4e64b912e825f8d712f0"/>
                <w:lock w:val="sdtLocked"/>
                <w:richText/>
              </w:sdtPr>
              <w:sdtContent>
                <w:p>
                  <w:pPr>
                    <w:suppressAutoHyphens/>
                    <w:ind w:firstLine="720"/>
                    <w:jc w:val="both"/>
                    <w:textAlignment w:val="baseline"/>
                    <w:rPr>
                      <w:iCs/>
                    </w:rPr>
                  </w:pPr>
                  <w:sdt>
                    <w:sdtPr>
                      <w:alias w:val="Numeris"/>
                      <w:tag w:val="nr_c7c3825c0f3d4e64b912e825f8d712f0"/>
                      <w:lock w:val="sdtLocked"/>
                      <w:richText/>
                    </w:sdtPr>
                    <w:sdtContent>
                      <w:r>
                        <w:rPr>
                          <w:iCs/>
                        </w:rPr>
                        <w:t>5</w:t>
                      </w:r>
                    </w:sdtContent>
                  </w:sdt>
                  <w:r>
                    <w:rPr>
                      <w:iCs/>
                    </w:rPr>
                    <w:t xml:space="preserve">. Įmonėje įgyvendinta energijos naudojimo vadybos sistema ar aplinkos vadybos sistema turi būti sertifikuota atitikties vertinimo įstaigos tarptautiniais ir Europos Sąjungos institucijų standartais. </w:t>
                  </w:r>
                </w:p>
              </w:sdtContent>
            </w:sdt>
            <w:sdt>
              <w:sdtPr>
                <w:alias w:val="6 p."/>
                <w:tag w:val="part_c4ae3013c8cc402a934bb91b4829c9d5"/>
                <w:lock w:val="sdtLocked"/>
                <w:richText/>
              </w:sdtPr>
              <w:sdtContent>
                <w:p>
                  <w:pPr>
                    <w:suppressAutoHyphens/>
                    <w:ind w:firstLine="720"/>
                    <w:jc w:val="both"/>
                    <w:textAlignment w:val="baseline"/>
                    <w:rPr>
                      <w:color w:val="000000"/>
                      <w:szCs w:val="24"/>
                      <w:lang w:eastAsia="lt-LT"/>
                    </w:rPr>
                  </w:pPr>
                  <w:sdt>
                    <w:sdtPr>
                      <w:alias w:val="Numeris"/>
                      <w:tag w:val="nr_c4ae3013c8cc402a934bb91b4829c9d5"/>
                      <w:lock w:val="sdtLocked"/>
                      <w:richText/>
                    </w:sdtPr>
                    <w:sdtContent>
                      <w:r>
                        <w:rPr>
                          <w:iCs/>
                        </w:rPr>
                        <w:t>6</w:t>
                      </w:r>
                    </w:sdtContent>
                  </w:sdt>
                  <w:r>
                    <w:rPr>
                      <w:iCs/>
                    </w:rPr>
                    <w:t>. Š</w:t>
                  </w:r>
                  <w:r>
                    <w:rPr>
                      <w:color w:val="000000"/>
                      <w:szCs w:val="24"/>
                      <w:lang w:eastAsia="lt-LT"/>
                    </w:rPr>
                    <w:t>iame Apraše vartojamos sąvokos suprantamos taip, kaip jos apibrėžtos Energetikos įstatyme, Energijos vartojimo efektyvumo didinimo įstatyme, Lietuvos Respublikos statybos įstatyme ir šiuos įstatymus įgyvendinančiuose teisės aktuose.</w:t>
                  </w:r>
                </w:p>
                <w:p>
                  <w:pPr>
                    <w:suppressAutoHyphens/>
                    <w:jc w:val="center"/>
                    <w:textAlignment w:val="baseline"/>
                    <w:rPr>
                      <w:b/>
                      <w:bCs/>
                      <w:lang w:eastAsia="lt-LT"/>
                    </w:rPr>
                  </w:pPr>
                </w:p>
              </w:sdtContent>
            </w:sdt>
          </w:sdtContent>
        </w:sdt>
        <w:sdt>
          <w:sdtPr>
            <w:alias w:val="skyrius"/>
            <w:tag w:val="part_425ecac1b1eb45749f64e31d80cede9a"/>
            <w:lock w:val="sdtLocked"/>
            <w:richText/>
          </w:sdtPr>
          <w:sdtContent>
            <w:p>
              <w:pPr>
                <w:suppressAutoHyphens/>
                <w:jc w:val="center"/>
                <w:textAlignment w:val="baseline"/>
                <w:rPr>
                  <w:b/>
                  <w:bCs/>
                  <w:lang w:eastAsia="lt-LT"/>
                </w:rPr>
              </w:pPr>
              <w:sdt>
                <w:sdtPr>
                  <w:alias w:val="Numeris"/>
                  <w:tag w:val="nr_425ecac1b1eb45749f64e31d80cede9a"/>
                  <w:lock w:val="sdtLocked"/>
                  <w:richText/>
                </w:sdtPr>
                <w:sdtContent>
                  <w:r>
                    <w:rPr>
                      <w:b/>
                      <w:bCs/>
                      <w:lang w:eastAsia="lt-LT"/>
                    </w:rPr>
                    <w:t>II</w:t>
                  </w:r>
                </w:sdtContent>
              </w:sdt>
              <w:r>
                <w:rPr>
                  <w:b/>
                  <w:bCs/>
                  <w:lang w:eastAsia="lt-LT"/>
                </w:rPr>
                <w:t xml:space="preserve"> SKYRIUS</w:t>
              </w:r>
            </w:p>
            <w:p>
              <w:pPr>
                <w:suppressAutoHyphens/>
                <w:jc w:val="center"/>
                <w:textAlignment w:val="baseline"/>
                <w:rPr>
                  <w:b/>
                  <w:bCs/>
                  <w:lang w:eastAsia="lt-LT"/>
                </w:rPr>
              </w:pPr>
              <w:sdt>
                <w:sdtPr>
                  <w:alias w:val="Pavadinimas"/>
                  <w:tag w:val="title_425ecac1b1eb45749f64e31d80cede9a"/>
                  <w:lock w:val="sdtLocked"/>
                  <w:richText/>
                </w:sdtPr>
                <w:sdtContent>
                  <w:r>
                    <w:rPr>
                      <w:b/>
                      <w:bCs/>
                      <w:lang w:eastAsia="lt-LT"/>
                    </w:rPr>
                    <w:t xml:space="preserve">ĮMONĖS VIDUTINIO METINIO GALUTINĖS ENERGIJOS SUVARTOJIMO APSKAIČIAVIMO METODIKA </w:t>
                  </w:r>
                </w:sdtContent>
              </w:sdt>
            </w:p>
            <w:p>
              <w:pPr>
                <w:suppressAutoHyphens/>
                <w:ind w:firstLine="709"/>
                <w:jc w:val="center"/>
                <w:textAlignment w:val="baseline"/>
                <w:rPr>
                  <w:b/>
                  <w:bCs/>
                  <w:lang w:eastAsia="lt-LT"/>
                </w:rPr>
              </w:pPr>
            </w:p>
            <w:sdt>
              <w:sdtPr>
                <w:alias w:val="7 p."/>
                <w:tag w:val="part_8aaab464491e4b038c6b9acf60df763a"/>
                <w:lock w:val="sdtLocked"/>
                <w:richText/>
              </w:sdtPr>
              <w:sdtContent>
                <w:p>
                  <w:pPr>
                    <w:ind w:firstLine="720"/>
                    <w:jc w:val="both"/>
                    <w:rPr>
                      <w:color w:val="000000"/>
                      <w:shd w:val="clear" w:color="auto" w:fill="FFFFFF"/>
                    </w:rPr>
                  </w:pPr>
                  <w:sdt>
                    <w:sdtPr>
                      <w:alias w:val="Numeris"/>
                      <w:tag w:val="nr_8aaab464491e4b038c6b9acf60df763a"/>
                      <w:lock w:val="sdtLocked"/>
                      <w:richText/>
                    </w:sdtPr>
                    <w:sdtContent>
                      <w:r>
                        <w:rPr>
                          <w:color w:val="000000"/>
                          <w:lang w:val="en-US"/>
                        </w:rPr>
                        <w:t>7</w:t>
                      </w:r>
                    </w:sdtContent>
                  </w:sdt>
                  <w:r>
                    <w:rPr>
                      <w:color w:val="000000"/>
                    </w:rPr>
                    <w:t>.</w:t>
                  </w:r>
                  <w:r>
                    <w:rPr>
                      <w:color w:val="000000"/>
                      <w:shd w:val="clear" w:color="auto" w:fill="FFFFFF"/>
                    </w:rPr>
                    <w:t xml:space="preserve"> Einamaisiais metais (toliau – N) Įmonei atsiranda pareiga pagal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 xml:space="preserve">1 arba 2 dalį, atsižvelgiant į vidutinį metinį galutinės energijos suvartojimą per trejus ankstesnius metus (N – 3, N – 2 ir N – 1). </w:t>
                  </w:r>
                </w:p>
              </w:sdtContent>
            </w:sdt>
            <w:sdt>
              <w:sdtPr>
                <w:alias w:val="8 p."/>
                <w:tag w:val="part_34223555d1db4f2b8a16388bd427e2b8"/>
                <w:lock w:val="sdtLocked"/>
                <w:richText/>
              </w:sdtPr>
              <w:sdtContent>
                <w:p>
                  <w:pPr>
                    <w:ind w:firstLine="720"/>
                    <w:jc w:val="both"/>
                    <w:rPr>
                      <w:color w:val="000000"/>
                      <w:shd w:val="clear" w:color="auto" w:fill="FFFFFF"/>
                    </w:rPr>
                  </w:pPr>
                  <w:sdt>
                    <w:sdtPr>
                      <w:alias w:val="Numeris"/>
                      <w:tag w:val="nr_34223555d1db4f2b8a16388bd427e2b8"/>
                      <w:lock w:val="sdtLocked"/>
                      <w:richText/>
                    </w:sdtPr>
                    <w:sdtContent>
                      <w:r>
                        <w:rPr>
                          <w:color w:val="000000"/>
                          <w:shd w:val="clear" w:color="auto" w:fill="FFFFFF"/>
                        </w:rPr>
                        <w:t>8</w:t>
                      </w:r>
                    </w:sdtContent>
                  </w:sdt>
                  <w:r>
                    <w:rPr>
                      <w:color w:val="000000"/>
                      <w:shd w:val="clear" w:color="auto" w:fill="FFFFFF"/>
                    </w:rPr>
                    <w:t xml:space="preserve">. Nustatant vidutinį metinį galutinės energijos suvartojimą Įmonėje, atsižvelgiama į  Įmonės suvartotą galutinę energiją, įskaitant visas energijos rūšis, matavimo vienetus ir panaudojimo būdus, nepriklausomai nuo Įmonės turto (pastatuose, technologiniuose procesuose, transporto priemonėse ir t.t.), kuriame galutinė energija buvo suvartota, valdymo formos.</w:t>
                  </w:r>
                </w:p>
              </w:sdtContent>
            </w:sdt>
            <w:sdt>
              <w:sdtPr>
                <w:alias w:val="9 p."/>
                <w:tag w:val="part_ce4f251eaf8d4426bd63682ad96726cc"/>
                <w:lock w:val="sdtLocked"/>
                <w:richText/>
              </w:sdtPr>
              <w:sdtContent>
                <w:p>
                  <w:pPr>
                    <w:ind w:firstLine="720"/>
                    <w:jc w:val="both"/>
                    <w:rPr>
                      <w:color w:val="000000"/>
                      <w:shd w:val="clear" w:color="auto" w:fill="FFFFFF"/>
                    </w:rPr>
                  </w:pPr>
                  <w:sdt>
                    <w:sdtPr>
                      <w:alias w:val="Numeris"/>
                      <w:tag w:val="nr_ce4f251eaf8d4426bd63682ad96726cc"/>
                      <w:lock w:val="sdtLocked"/>
                      <w:richText/>
                    </w:sdtPr>
                    <w:sdtContent>
                      <w:r>
                        <w:rPr>
                          <w:color w:val="000000"/>
                          <w:shd w:val="clear" w:color="auto" w:fill="FFFFFF"/>
                        </w:rPr>
                        <w:t>9</w:t>
                      </w:r>
                    </w:sdtContent>
                  </w:sdt>
                  <w:r>
                    <w:rPr>
                      <w:color w:val="000000"/>
                      <w:shd w:val="clear" w:color="auto" w:fill="FFFFFF"/>
                    </w:rPr>
                    <w:t>. Apskaičiuojant vidutinį metinį galutinės energijos suvartojimą Įmonėje, atsižvelgiama į Lietuvos Respublikos teritorijoje Įmonės įsigytas visas energijos ar kuro rūšis.</w:t>
                  </w:r>
                </w:p>
              </w:sdtContent>
            </w:sdt>
            <w:sdt>
              <w:sdtPr>
                <w:alias w:val="10 p."/>
                <w:tag w:val="part_f9154179d33f4cf58a14ab6047650a5e"/>
                <w:lock w:val="sdtLocked"/>
                <w:richText/>
              </w:sdtPr>
              <w:sdtContent>
                <w:p>
                  <w:pPr>
                    <w:ind w:firstLine="720"/>
                    <w:jc w:val="both"/>
                    <w:rPr>
                      <w:color w:val="000000"/>
                      <w:shd w:val="clear" w:color="auto" w:fill="FFFFFF"/>
                    </w:rPr>
                  </w:pPr>
                  <w:sdt>
                    <w:sdtPr>
                      <w:alias w:val="Numeris"/>
                      <w:tag w:val="nr_f9154179d33f4cf58a14ab6047650a5e"/>
                      <w:lock w:val="sdtLocked"/>
                      <w:richText/>
                    </w:sdtPr>
                    <w:sdtContent>
                      <w:r>
                        <w:rPr>
                          <w:color w:val="000000"/>
                          <w:shd w:val="clear" w:color="auto" w:fill="FFFFFF"/>
                        </w:rPr>
                        <w:t>10</w:t>
                      </w:r>
                    </w:sdtContent>
                  </w:sdt>
                  <w:r>
                    <w:rPr>
                      <w:color w:val="000000"/>
                      <w:shd w:val="clear" w:color="auto" w:fill="FFFFFF"/>
                    </w:rPr>
                    <w:t>. Jeigu reikalinga konvertuoti energijos matavimo vienetus, Įmonės, pateikdamos Aprašo 11 punkte nurodytą informaciją, atsižvelgia į 2018 m. gruodžio 19 d.</w:t>
                  </w:r>
                  <w:r>
                    <w:rPr>
                      <w:b/>
                      <w:bCs/>
                      <w:color w:val="000000"/>
                      <w:shd w:val="clear" w:color="auto" w:fill="FFFFFF"/>
                    </w:rPr>
                    <w:t xml:space="preserve"> </w:t>
                  </w:r>
                  <w:r>
                    <w:rPr>
                      <w:color w:val="000000"/>
                      <w:shd w:val="clear" w:color="auto" w:fill="FFFFFF"/>
                    </w:rPr>
                    <w:t xml:space="preserve">Komisijos įgyvendinimo reglamento </w:t>
                  </w:r>
                  <w:hyperlink r:id="rId25" w:tgtFrame="_blank" w:history="1">
                    <w:r>
                      <w:rPr>
                        <w:color w:val="0563C1" w:themeColor="hyperlink"/>
                        <w:u w:val="single"/>
                        <w:shd w:val="clear" w:color="auto" w:fill="FFFFFF"/>
                      </w:rPr>
                      <w:t>(ES) 2018/2066</w:t>
                    </w:r>
                  </w:hyperlink>
                  <w:r>
                    <w:rPr>
                      <w:color w:val="000000"/>
                      <w:shd w:val="clear" w:color="auto" w:fill="FFFFFF"/>
                    </w:rPr>
                    <w:t xml:space="preserve"> VI (toliau – Reglamentas) priede nustatytas vertes. Jeigu Reglamente tokios vertės nėra, gali būti naudojamos kitos pagrįstos vertės.  </w:t>
                  </w:r>
                </w:p>
                <w:p>
                  <w:pPr>
                    <w:ind w:firstLine="720"/>
                    <w:jc w:val="both"/>
                  </w:pPr>
                </w:p>
              </w:sdtContent>
            </w:sdt>
          </w:sdtContent>
        </w:sdt>
        <w:sdt>
          <w:sdtPr>
            <w:alias w:val="skyrius"/>
            <w:tag w:val="part_085e8e3178e640bb8d23fdd3e979c085"/>
            <w:lock w:val="sdtLocked"/>
            <w:richText/>
          </w:sdtPr>
          <w:sdtContent>
            <w:p>
              <w:pPr>
                <w:suppressAutoHyphens/>
                <w:jc w:val="center"/>
                <w:textAlignment w:val="baseline"/>
                <w:rPr>
                  <w:b/>
                  <w:bCs/>
                  <w:lang w:eastAsia="lt-LT"/>
                </w:rPr>
              </w:pPr>
              <w:sdt>
                <w:sdtPr>
                  <w:alias w:val="Numeris"/>
                  <w:tag w:val="nr_085e8e3178e640bb8d23fdd3e979c085"/>
                  <w:lock w:val="sdtLocked"/>
                  <w:richText/>
                </w:sdtPr>
                <w:sdtContent>
                  <w:r>
                    <w:rPr>
                      <w:b/>
                      <w:bCs/>
                      <w:lang w:eastAsia="lt-LT"/>
                    </w:rPr>
                    <w:t>III</w:t>
                  </w:r>
                </w:sdtContent>
              </w:sdt>
              <w:r>
                <w:rPr>
                  <w:b/>
                  <w:bCs/>
                  <w:lang w:eastAsia="lt-LT"/>
                </w:rPr>
                <w:t xml:space="preserve"> SKYRIUS</w:t>
              </w:r>
            </w:p>
            <w:p>
              <w:pPr>
                <w:suppressAutoHyphens/>
                <w:jc w:val="center"/>
                <w:textAlignment w:val="baseline"/>
                <w:rPr>
                  <w:b/>
                  <w:bCs/>
                  <w:lang w:eastAsia="lt-LT"/>
                </w:rPr>
              </w:pPr>
              <w:sdt>
                <w:sdtPr>
                  <w:alias w:val="Pavadinimas"/>
                  <w:tag w:val="title_085e8e3178e640bb8d23fdd3e979c085"/>
                  <w:lock w:val="sdtLocked"/>
                  <w:richText/>
                </w:sdtPr>
                <w:sdtContent>
                  <w:r>
                    <w:rPr>
                      <w:b/>
                      <w:bCs/>
                      <w:lang w:eastAsia="lt-LT"/>
                    </w:rPr>
                    <w:t xml:space="preserve">ĮMONIŲ PAREIGA TEIKTI INFORMACIJĄ ENERGETIKOS MINISTRO ĮGALIOTAI INSTITUCIJAI </w:t>
                  </w:r>
                </w:sdtContent>
              </w:sdt>
            </w:p>
            <w:p>
              <w:pPr>
                <w:suppressAutoHyphens/>
                <w:textAlignment w:val="baseline"/>
                <w:rPr>
                  <w:b/>
                  <w:bCs/>
                  <w:lang w:eastAsia="lt-LT"/>
                </w:rPr>
              </w:pPr>
            </w:p>
            <w:sdt>
              <w:sdtPr>
                <w:alias w:val="11 p."/>
                <w:tag w:val="part_eeb7178ddce940ba84efbceb8b811ff4"/>
                <w:lock w:val="sdtLocked"/>
                <w:richText/>
              </w:sdtPr>
              <w:sdtContent>
                <w:p>
                  <w:pPr>
                    <w:ind w:firstLine="720"/>
                    <w:jc w:val="both"/>
                  </w:pPr>
                  <w:sdt>
                    <w:sdtPr>
                      <w:alias w:val="Numeris"/>
                      <w:tag w:val="nr_eeb7178ddce940ba84efbceb8b811ff4"/>
                      <w:lock w:val="sdtLocked"/>
                      <w:richText/>
                    </w:sdtPr>
                    <w:sdtContent>
                      <w:r>
                        <w:t>11</w:t>
                      </w:r>
                    </w:sdtContent>
                  </w:sdt>
                  <w:r>
                    <w:t>. Kiekvienais metais Įmonės, įvertinusios savo N-1 metų galutinės energijos suvartojimą Aprašo II skyriuje nustatyta tvarka, ir jeigu atitinkamais kalendoriniais metais galutinės energijos suvartojimas buvo didesnis kaip 2,8 GWh, ne vėliau kaip iki kiekvienų metų kovo 1 dienos apie tai raštu, pagal Aprašo priede nustatytą duomenų pateikimo formą (.xlsx formatu), informuoja energetikos ministro įgaliotą instituciją, nurodydamos jai savo metinį galutinės energijos suvartojimo dydį N-1 metais. Jeigu Įmonės tokią informaciją energetikos ministro įgaliotai institucijai teikia pirmą kartą, jos papildomai įvertina savo N-2 ir N-3 metų galutinės energijos suvartojimą Aprašo II skyriuje nustatyta tvarka ir jeigu nors vienais atitinkamais kalendoriniais metais galutinės energijos suvartojimas buvo didesnis kaip 2,8 GWh, papildomai nurodo savo metinį galutinės energijos suvartojimo dydį N-2 ir N-3</w:t>
                  </w:r>
                  <w:r>
                    <w:rPr>
                      <w:color w:val="EE0000"/>
                    </w:rPr>
                    <w:t xml:space="preserve"> </w:t>
                  </w:r>
                  <w:r>
                    <w:t>metais ir vidutinį N-</w:t>
                  </w:r>
                  <w:r>
                    <w:rPr>
                      <w:lang w:val="en-US"/>
                    </w:rPr>
                    <w:t xml:space="preserve">1, N-2, N-3 </w:t>
                  </w:r>
                  <w:r>
                    <w:t>laikotarpio metinį galutinės energijos suvartojimo dydį.</w:t>
                  </w:r>
                </w:p>
              </w:sdtContent>
            </w:sdt>
            <w:sdt>
              <w:sdtPr>
                <w:alias w:val="12 p."/>
                <w:tag w:val="part_ef1c79a711ce44dbac6c2f5bf57d513d"/>
                <w:lock w:val="sdtLocked"/>
                <w:richText/>
              </w:sdtPr>
              <w:sdtContent>
                <w:p>
                  <w:pPr>
                    <w:ind w:firstLine="720"/>
                    <w:jc w:val="both"/>
                  </w:pPr>
                  <w:sdt>
                    <w:sdtPr>
                      <w:alias w:val="Numeris"/>
                      <w:tag w:val="nr_ef1c79a711ce44dbac6c2f5bf57d513d"/>
                      <w:lock w:val="sdtLocked"/>
                      <w:richText/>
                    </w:sdtPr>
                    <w:sdtContent>
                      <w:r>
                        <w:t>12</w:t>
                      </w:r>
                    </w:sdtContent>
                  </w:sdt>
                  <w:r>
                    <w:t xml:space="preserve">. Įmonės, kurios Aprašo 13 punkte nustatyta tvarka buvo informuotos energetikos ministro įgaliotos institucijos apie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 xml:space="preserve">1, 2, 5 ir 6 dalies pareigą, ir ją įgyvendino, iki kiekvienų metų gruodžio 31 dienos raštu apie tai informuoja </w:t>
                  </w:r>
                  <w:r>
                    <w:t>energetikos ministro įgaliotą instituciją, pateikdamos tai patvirtinančius dokumentus:</w:t>
                  </w:r>
                </w:p>
                <w:sdt>
                  <w:sdtPr>
                    <w:alias w:val="12.1 pp."/>
                    <w:tag w:val="part_07c1c814cd914302babebad16bdb6871"/>
                    <w:lock w:val="sdtLocked"/>
                    <w:richText/>
                  </w:sdtPr>
                  <w:sdtContent>
                    <w:p>
                      <w:pPr>
                        <w:ind w:firstLine="720"/>
                        <w:jc w:val="both"/>
                      </w:pPr>
                      <w:sdt>
                        <w:sdtPr>
                          <w:alias w:val="Numeris"/>
                          <w:tag w:val="nr_07c1c814cd914302babebad16bdb6871"/>
                          <w:lock w:val="sdtLocked"/>
                          <w:richText/>
                        </w:sdtPr>
                        <w:sdtContent>
                          <w:r>
                            <w:t>12.1</w:t>
                          </w:r>
                        </w:sdtContent>
                      </w:sdt>
                      <w:r>
                        <w:t xml:space="preserve">.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 xml:space="preserve">1 dalyje nurodytos pareigos atveju - </w:t>
                      </w:r>
                      <w:r>
                        <w:t>tarptautinių ir Europos Sąjungos institucijų standartais atitikties vertinimo įstaigos Įmonei išduotų sertifikatų kopijas;</w:t>
                      </w:r>
                    </w:p>
                  </w:sdtContent>
                </w:sdt>
                <w:sdt>
                  <w:sdtPr>
                    <w:alias w:val="12.2 pp."/>
                    <w:tag w:val="part_d2bb3f00c50e4c92824953f315d7914f"/>
                    <w:lock w:val="sdtLocked"/>
                    <w:richText/>
                  </w:sdtPr>
                  <w:sdtContent>
                    <w:p>
                      <w:pPr>
                        <w:ind w:firstLine="720"/>
                        <w:jc w:val="both"/>
                      </w:pPr>
                      <w:sdt>
                        <w:sdtPr>
                          <w:alias w:val="Numeris"/>
                          <w:tag w:val="nr_d2bb3f00c50e4c92824953f315d7914f"/>
                          <w:lock w:val="sdtLocked"/>
                          <w:richText/>
                        </w:sdtPr>
                        <w:sdtContent>
                          <w:r>
                            <w:t>12.2</w:t>
                          </w:r>
                        </w:sdtContent>
                      </w:sdt>
                      <w:r>
                        <w:t xml:space="preserve">. </w:t>
                      </w:r>
                      <w:r>
                        <w:rPr>
                          <w:lang w:eastAsia="lt-LT"/>
                        </w:rPr>
                        <w:t xml:space="preserve">Energijos vartojimo efektyvumo didinimo įstatymo </w:t>
                      </w:r>
                      <w:r>
                        <w:rPr>
                          <w:lang w:val="en-US" w:eastAsia="lt-LT"/>
                        </w:rPr>
                        <w:t>13</w:t>
                      </w:r>
                      <w:r>
                        <w:rPr>
                          <w:lang w:eastAsia="lt-LT"/>
                        </w:rPr>
                        <w:t xml:space="preserve"> straipsnio 5</w:t>
                      </w:r>
                      <w:r>
                        <w:rPr>
                          <w:color w:val="000000"/>
                          <w:shd w:val="clear" w:color="auto" w:fill="FFFFFF"/>
                        </w:rPr>
                        <w:t xml:space="preserve"> dalyje nurodytos pareigos atveju</w:t>
                      </w:r>
                      <w:r>
                        <w:t xml:space="preserve"> - Įmonės patvirtinto rekomendacijų įgyvendinimo veiksmų plano kopiją;</w:t>
                      </w:r>
                    </w:p>
                  </w:sdtContent>
                </w:sdt>
                <w:sdt>
                  <w:sdtPr>
                    <w:alias w:val="12.3 pp."/>
                    <w:tag w:val="part_39726cf3620a4c459152da09fd2a987d"/>
                    <w:lock w:val="sdtLocked"/>
                    <w:richText/>
                  </w:sdtPr>
                  <w:sdtContent>
                    <w:p>
                      <w:pPr>
                        <w:ind w:firstLine="720"/>
                        <w:jc w:val="both"/>
                      </w:pPr>
                      <w:sdt>
                        <w:sdtPr>
                          <w:alias w:val="Numeris"/>
                          <w:tag w:val="nr_39726cf3620a4c459152da09fd2a987d"/>
                          <w:lock w:val="sdtLocked"/>
                          <w:richText/>
                        </w:sdtPr>
                        <w:sdtContent>
                          <w:r>
                            <w:t>12.3</w:t>
                          </w:r>
                        </w:sdtContent>
                      </w:sdt>
                      <w:r>
                        <w:t xml:space="preserve">. </w:t>
                      </w:r>
                      <w:r>
                        <w:rPr>
                          <w:lang w:eastAsia="lt-LT"/>
                        </w:rPr>
                        <w:t xml:space="preserve">Energijos vartojimo efektyvumo didinimo įstatymo </w:t>
                      </w:r>
                      <w:r>
                        <w:rPr>
                          <w:lang w:val="en-US" w:eastAsia="lt-LT"/>
                        </w:rPr>
                        <w:t>13</w:t>
                      </w:r>
                      <w:r>
                        <w:rPr>
                          <w:lang w:eastAsia="lt-LT"/>
                        </w:rPr>
                        <w:t xml:space="preserve"> straipsnio 6</w:t>
                      </w:r>
                      <w:r>
                        <w:rPr>
                          <w:color w:val="000000"/>
                          <w:shd w:val="clear" w:color="auto" w:fill="FFFFFF"/>
                        </w:rPr>
                        <w:t xml:space="preserve"> dalyje nurodytos pareigos atveju</w:t>
                      </w:r>
                      <w:r>
                        <w:t xml:space="preserve"> - Įmonės metinės ataskaitos kopiją arba apibendrintą informaciją apie metinėje ataskaitoje skelbiamą rekomendacijų veiksmų įgyvendinimo plano įgyvendinimo rodiklį, kuris suprantamas kaip pilnai įgyvendintų energijos vartojimo efektyvumo gerinimo veiksmų skaičius, palyginti su visu rekomenduojamų tų veiksmų sąrašu; </w:t>
                      </w:r>
                    </w:p>
                  </w:sdtContent>
                </w:sdt>
                <w:sdt>
                  <w:sdtPr>
                    <w:alias w:val="12.4 pp."/>
                    <w:tag w:val="part_9b344624a00d49bb86e14129eaf78bed"/>
                    <w:lock w:val="sdtLocked"/>
                    <w:richText/>
                  </w:sdtPr>
                  <w:sdtContent>
                    <w:p>
                      <w:pPr>
                        <w:ind w:firstLine="720"/>
                        <w:jc w:val="both"/>
                      </w:pPr>
                      <w:sdt>
                        <w:sdtPr>
                          <w:alias w:val="Numeris"/>
                          <w:tag w:val="nr_9b344624a00d49bb86e14129eaf78bed"/>
                          <w:lock w:val="sdtLocked"/>
                          <w:richText/>
                        </w:sdtPr>
                        <w:sdtContent>
                          <w:r>
                            <w:t>12.4</w:t>
                          </w:r>
                        </w:sdtContent>
                      </w:sdt>
                      <w:r>
                        <w:t xml:space="preserve">.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2 dalyje nurodytos pareigos atveju, ir jeigu Auditą atliko</w:t>
                      </w:r>
                      <w:r>
                        <w:rPr>
                          <w:lang w:eastAsia="lt-LT"/>
                        </w:rPr>
                        <w:t xml:space="preserve"> ES auditoriai ar įmonės</w:t>
                      </w:r>
                      <w:r>
                        <w:rPr>
                          <w:color w:val="000000"/>
                          <w:shd w:val="clear" w:color="auto" w:fill="FFFFFF"/>
                        </w:rPr>
                        <w:t xml:space="preserve"> – Audito ataskaitos kopiją ir </w:t>
                      </w:r>
                      <w:r>
                        <w:rPr>
                          <w:lang w:eastAsia="lt-LT"/>
                        </w:rPr>
                        <w:t>Auditą parengusio ES auditoriaus ar įmonės kvalifikacijos, akreditacijos ir (arba) atestacijos atestato kopiją ir (ar) ją patvirtinančius dokumentus su vertimu į lietuvių kalbą;</w:t>
                      </w:r>
                      <w:r>
                        <w:t xml:space="preserve"> </w:t>
                      </w:r>
                    </w:p>
                  </w:sdtContent>
                </w:sdt>
                <w:sdt>
                  <w:sdtPr>
                    <w:alias w:val="12.5 pp."/>
                    <w:tag w:val="part_9d0a30af660d439d93b5b03b618c71a6"/>
                    <w:lock w:val="sdtLocked"/>
                    <w:richText/>
                  </w:sdtPr>
                  <w:sdtContent>
                    <w:p>
                      <w:pPr>
                        <w:ind w:firstLine="720"/>
                        <w:jc w:val="both"/>
                        <w:rPr>
                          <w:color w:val="000000"/>
                          <w:shd w:val="clear" w:color="auto" w:fill="FFFFFF"/>
                        </w:rPr>
                      </w:pPr>
                      <w:sdt>
                        <w:sdtPr>
                          <w:alias w:val="Numeris"/>
                          <w:tag w:val="nr_9d0a30af660d439d93b5b03b618c71a6"/>
                          <w:lock w:val="sdtLocked"/>
                          <w:richText/>
                        </w:sdtPr>
                        <w:sdtContent>
                          <w:r>
                            <w:t>12.5</w:t>
                          </w:r>
                        </w:sdtContent>
                      </w:sdt>
                      <w:r>
                        <w:t xml:space="preserve">. </w:t>
                      </w:r>
                      <w:r>
                        <w:rPr>
                          <w:lang w:eastAsia="lt-LT"/>
                        </w:rPr>
                        <w:t xml:space="preserve">Energijos vartojimo efektyvumo didinimo įstatymo </w:t>
                      </w:r>
                      <w:r>
                        <w:rPr>
                          <w:lang w:val="en-US" w:eastAsia="lt-LT"/>
                        </w:rPr>
                        <w:t>13</w:t>
                      </w:r>
                      <w:r>
                        <w:rPr>
                          <w:lang w:eastAsia="lt-LT"/>
                        </w:rPr>
                        <w:t xml:space="preserve"> straipsnio 1 ir </w:t>
                      </w:r>
                      <w:r>
                        <w:rPr>
                          <w:color w:val="000000"/>
                          <w:shd w:val="clear" w:color="auto" w:fill="FFFFFF"/>
                        </w:rPr>
                        <w:t xml:space="preserve">2 dalyje nurodytos pareigos atveju, ir Aprašo 19 punkto atveju – Audito ataskaitos kopiją ir </w:t>
                      </w:r>
                      <w:r>
                        <w:t>tarptautiniais ir Europos Sąjungos institucijų standartais atitikties vertinimo įstaigos Įmonei išduotų sertifikatų kopijas</w:t>
                      </w:r>
                      <w:r>
                        <w:rPr>
                          <w:color w:val="000000"/>
                          <w:shd w:val="clear" w:color="auto" w:fill="FFFFFF"/>
                        </w:rPr>
                        <w:t>.</w:t>
                      </w:r>
                    </w:p>
                    <w:p>
                      <w:pPr>
                        <w:ind w:firstLine="720"/>
                        <w:jc w:val="both"/>
                      </w:pPr>
                    </w:p>
                  </w:sdtContent>
                </w:sdt>
              </w:sdtContent>
            </w:sdt>
          </w:sdtContent>
        </w:sdt>
        <w:sdt>
          <w:sdtPr>
            <w:alias w:val="skyrius"/>
            <w:tag w:val="part_b6fa7e4ca4a8469a85f2211617445ac7"/>
            <w:lock w:val="sdtLocked"/>
            <w:richText/>
          </w:sdtPr>
          <w:sdtContent>
            <w:p>
              <w:pPr>
                <w:suppressAutoHyphens/>
                <w:jc w:val="center"/>
                <w:textAlignment w:val="baseline"/>
                <w:rPr>
                  <w:b/>
                  <w:bCs/>
                  <w:lang w:eastAsia="lt-LT"/>
                </w:rPr>
              </w:pPr>
              <w:sdt>
                <w:sdtPr>
                  <w:alias w:val="Numeris"/>
                  <w:tag w:val="nr_b6fa7e4ca4a8469a85f2211617445ac7"/>
                  <w:lock w:val="sdtLocked"/>
                  <w:richText/>
                </w:sdtPr>
                <w:sdtContent>
                  <w:r>
                    <w:rPr>
                      <w:b/>
                      <w:bCs/>
                      <w:lang w:eastAsia="lt-LT"/>
                    </w:rPr>
                    <w:t>IV</w:t>
                  </w:r>
                </w:sdtContent>
              </w:sdt>
              <w:r>
                <w:rPr>
                  <w:b/>
                  <w:bCs/>
                  <w:lang w:eastAsia="lt-LT"/>
                </w:rPr>
                <w:t xml:space="preserve"> SKYRIUS</w:t>
              </w:r>
            </w:p>
            <w:p>
              <w:pPr>
                <w:suppressAutoHyphens/>
                <w:jc w:val="center"/>
                <w:textAlignment w:val="baseline"/>
                <w:rPr>
                  <w:b/>
                  <w:bCs/>
                  <w:lang w:eastAsia="lt-LT"/>
                </w:rPr>
              </w:pPr>
              <w:sdt>
                <w:sdtPr>
                  <w:alias w:val="Pavadinimas"/>
                  <w:tag w:val="title_b6fa7e4ca4a8469a85f2211617445ac7"/>
                  <w:lock w:val="sdtLocked"/>
                  <w:richText/>
                </w:sdtPr>
                <w:sdtContent>
                  <w:r>
                    <w:rPr>
                      <w:b/>
                      <w:bCs/>
                      <w:lang w:eastAsia="lt-LT"/>
                    </w:rPr>
                    <w:t xml:space="preserve">ĮMONIŲ PAREIGŲ LAIKYMOSI PRIEŽIŪROS REIKALAVIMAI BEI ENERGIJOS VARTOJIMO AUDITO ATLIKIMO KOKYBĖS KRITERIJAI  </w:t>
                  </w:r>
                </w:sdtContent>
              </w:sdt>
            </w:p>
            <w:p>
              <w:pPr>
                <w:ind w:firstLine="720"/>
              </w:pPr>
            </w:p>
            <w:sdt>
              <w:sdtPr>
                <w:alias w:val="13 p."/>
                <w:tag w:val="part_bfa010ad499e4626be7c93d3a7be3223"/>
                <w:lock w:val="sdtLocked"/>
                <w:richText/>
              </w:sdtPr>
              <w:sdtContent>
                <w:p>
                  <w:pPr>
                    <w:ind w:firstLine="720"/>
                    <w:jc w:val="both"/>
                    <w:rPr>
                      <w:color w:val="000000"/>
                      <w:shd w:val="clear" w:color="auto" w:fill="FFFFFF"/>
                    </w:rPr>
                  </w:pPr>
                  <w:sdt>
                    <w:sdtPr>
                      <w:alias w:val="Numeris"/>
                      <w:tag w:val="nr_bfa010ad499e4626be7c93d3a7be3223"/>
                      <w:lock w:val="sdtLocked"/>
                      <w:richText/>
                    </w:sdtPr>
                    <w:sdtContent>
                      <w:r>
                        <w:t>1</w:t>
                      </w:r>
                      <w:r>
                        <w:rPr>
                          <w:lang w:val="en-US"/>
                        </w:rPr>
                        <w:t>3</w:t>
                      </w:r>
                    </w:sdtContent>
                  </w:sdt>
                  <w:r>
                    <w:t xml:space="preserve">. Energetikos ministro įgaliota institucija kasmet sudaro atrinktų Įmonių sąrašą, kurioms einamaisiais metais atsiranda pareiga pagal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 xml:space="preserve">1, 2, </w:t>
                  </w:r>
                  <w:r>
                    <w:rPr>
                      <w:color w:val="000000"/>
                      <w:shd w:val="clear" w:color="auto" w:fill="FFFFFF"/>
                      <w:lang w:val="en-US"/>
                    </w:rPr>
                    <w:t>5</w:t>
                  </w:r>
                  <w:r>
                    <w:rPr>
                      <w:color w:val="000000"/>
                      <w:shd w:val="clear" w:color="auto" w:fill="FFFFFF"/>
                    </w:rPr>
                    <w:t xml:space="preserve"> ir</w:t>
                  </w:r>
                  <w:r>
                    <w:rPr>
                      <w:color w:val="000000"/>
                      <w:shd w:val="clear" w:color="auto" w:fill="FFFFFF"/>
                      <w:lang w:val="en-US"/>
                    </w:rPr>
                    <w:t xml:space="preserve"> 6</w:t>
                  </w:r>
                  <w:r>
                    <w:rPr>
                      <w:color w:val="000000"/>
                      <w:shd w:val="clear" w:color="auto" w:fill="FFFFFF"/>
                    </w:rPr>
                    <w:t xml:space="preserve"> dalį ir kiekvienais metais iki gegužės 1 d. informuoja atrinktas Įmones apie, pagal </w:t>
                  </w:r>
                  <w:r>
                    <w:rPr>
                      <w:lang w:eastAsia="lt-LT"/>
                    </w:rPr>
                    <w:t xml:space="preserve">Energijos vartojimo efektyvumo didinimo įstatymo </w:t>
                  </w:r>
                  <w:r>
                    <w:rPr>
                      <w:lang w:val="en-US" w:eastAsia="lt-LT"/>
                    </w:rPr>
                    <w:t>13</w:t>
                  </w:r>
                  <w:r>
                    <w:rPr>
                      <w:lang w:eastAsia="lt-LT"/>
                    </w:rPr>
                    <w:t xml:space="preserve"> straipsnį, tenkančias </w:t>
                  </w:r>
                  <w:r>
                    <w:rPr>
                      <w:color w:val="000000"/>
                      <w:shd w:val="clear" w:color="auto" w:fill="FFFFFF"/>
                    </w:rPr>
                    <w:t>pareigas, įskaitant terminus šioms pareigoms įvykdyti.</w:t>
                  </w:r>
                </w:p>
              </w:sdtContent>
            </w:sdt>
            <w:sdt>
              <w:sdtPr>
                <w:alias w:val="14 p."/>
                <w:tag w:val="part_5e1c6ba41733478dbc7e35ca92ee93fe"/>
                <w:lock w:val="sdtLocked"/>
                <w:richText/>
              </w:sdtPr>
              <w:sdtContent>
                <w:p>
                  <w:pPr>
                    <w:ind w:firstLine="720"/>
                    <w:jc w:val="both"/>
                    <w:rPr>
                      <w:color w:val="000000"/>
                      <w:shd w:val="clear" w:color="auto" w:fill="FFFFFF"/>
                    </w:rPr>
                  </w:pPr>
                  <w:sdt>
                    <w:sdtPr>
                      <w:alias w:val="Numeris"/>
                      <w:tag w:val="nr_5e1c6ba41733478dbc7e35ca92ee93fe"/>
                      <w:lock w:val="sdtLocked"/>
                      <w:richText/>
                    </w:sdtPr>
                    <w:sdtContent>
                      <w:r>
                        <w:rPr>
                          <w:color w:val="000000"/>
                          <w:shd w:val="clear" w:color="auto" w:fill="FFFFFF"/>
                        </w:rPr>
                        <w:t>14</w:t>
                      </w:r>
                    </w:sdtContent>
                  </w:sdt>
                  <w:r>
                    <w:rPr>
                      <w:color w:val="000000"/>
                      <w:shd w:val="clear" w:color="auto" w:fill="FFFFFF"/>
                    </w:rPr>
                    <w:t xml:space="preserve">. </w:t>
                  </w:r>
                  <w:r>
                    <w:t xml:space="preserve">Energetikos ministro įgaliota institucija kasmet iki vasario </w:t>
                  </w:r>
                  <w:r>
                    <w:rPr>
                      <w:lang w:val="en-US"/>
                    </w:rPr>
                    <w:t>15 dienos</w:t>
                  </w:r>
                  <w:r>
                    <w:t xml:space="preserve"> sudaro atrinktų Įmonių sąrašą, kurios neįvykdė pareigų pagal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 xml:space="preserve">1, 2, </w:t>
                  </w:r>
                  <w:r>
                    <w:rPr>
                      <w:color w:val="000000"/>
                      <w:shd w:val="clear" w:color="auto" w:fill="FFFFFF"/>
                      <w:lang w:val="en-US"/>
                    </w:rPr>
                    <w:t>5, 6 dal</w:t>
                  </w:r>
                  <w:r>
                    <w:rPr>
                      <w:color w:val="000000"/>
                      <w:shd w:val="clear" w:color="auto" w:fill="FFFFFF"/>
                    </w:rPr>
                    <w:t>į ir Įmonėms raštu nustato ne trumpesnį kaip 10 darbo dienų ir ne ilgesnį kaip 30 darbo dienų terminą nustatytiems trūkumams pašalinti.</w:t>
                  </w:r>
                </w:p>
              </w:sdtContent>
            </w:sdt>
            <w:sdt>
              <w:sdtPr>
                <w:alias w:val="15 p."/>
                <w:tag w:val="part_e030de0ab01c47269125b07543761d52"/>
                <w:lock w:val="sdtLocked"/>
                <w:richText/>
              </w:sdtPr>
              <w:sdtContent>
                <w:p>
                  <w:pPr>
                    <w:ind w:firstLine="720"/>
                    <w:jc w:val="both"/>
                    <w:rPr>
                      <w:lang w:eastAsia="lt-LT"/>
                    </w:rPr>
                  </w:pPr>
                  <w:sdt>
                    <w:sdtPr>
                      <w:alias w:val="Numeris"/>
                      <w:tag w:val="nr_e030de0ab01c47269125b07543761d52"/>
                      <w:lock w:val="sdtLocked"/>
                      <w:richText/>
                    </w:sdtPr>
                    <w:sdtContent>
                      <w:r>
                        <w:t>15</w:t>
                      </w:r>
                    </w:sdtContent>
                  </w:sdt>
                  <w:r>
                    <w:t xml:space="preserve">. Energetikos ministro įgaliota institucija kasmet sudaro atrinktų Įmonių sąrašą, kurios nepašalino trūkumų Aprašo </w:t>
                  </w:r>
                  <w:r>
                    <w:rPr>
                      <w:lang w:val="en-US"/>
                    </w:rPr>
                    <w:t xml:space="preserve">14 </w:t>
                  </w:r>
                  <w:r>
                    <w:t xml:space="preserve">punkte nustatyta tvarka, ir tokį sąrašą teikia Energetikos ministerijai ir Valstybinei energetikos reguliavimo tarybai  </w:t>
                  </w:r>
                  <w:r>
                    <w:rPr>
                      <w:lang w:eastAsia="lt-LT"/>
                    </w:rPr>
                    <w:t xml:space="preserve">Energijos vartojimo efektyvumo didinimo įstatymo </w:t>
                  </w:r>
                  <w:r>
                    <w:rPr>
                      <w:lang w:val="en-US" w:eastAsia="lt-LT"/>
                    </w:rPr>
                    <w:t xml:space="preserve">22 straipsnio </w:t>
                  </w:r>
                  <w:r>
                    <w:rPr>
                      <w:lang w:eastAsia="lt-LT"/>
                    </w:rPr>
                    <w:t xml:space="preserve">nustatyta tvarka. </w:t>
                  </w:r>
                </w:p>
              </w:sdtContent>
            </w:sdt>
            <w:sdt>
              <w:sdtPr>
                <w:alias w:val="16 p."/>
                <w:tag w:val="part_efb6cdf864be4a8995118eb37fe6f650"/>
                <w:lock w:val="sdtLocked"/>
                <w:richText/>
              </w:sdtPr>
              <w:sdtContent>
                <w:p>
                  <w:pPr>
                    <w:ind w:firstLine="720"/>
                    <w:jc w:val="both"/>
                    <w:rPr>
                      <w:color w:val="000000"/>
                      <w:shd w:val="clear" w:color="auto" w:fill="FFFFFF"/>
                    </w:rPr>
                  </w:pPr>
                  <w:sdt>
                    <w:sdtPr>
                      <w:alias w:val="Numeris"/>
                      <w:tag w:val="nr_efb6cdf864be4a8995118eb37fe6f650"/>
                      <w:lock w:val="sdtLocked"/>
                      <w:richText/>
                    </w:sdtPr>
                    <w:sdtContent>
                      <w:r>
                        <w:t>1</w:t>
                      </w:r>
                      <w:r>
                        <w:rPr>
                          <w:lang w:val="en-US"/>
                        </w:rPr>
                        <w:t>6</w:t>
                      </w:r>
                    </w:sdtContent>
                  </w:sdt>
                  <w:r>
                    <w:t xml:space="preserve">. Siekdama patikrinti, ar pagal Aprašo 11 ir 12 punktus Įmonių pateikta informacija yra teisinga, energetikos ministro įgaliota institucija kasmet atlieka atrankinius Įmonių pateiktos informacijos patikrinimus. Atrankinių patikrinimų imtis turi sudaryti ne mažiau kaip 5 </w:t>
                  </w:r>
                  <w:r>
                    <w:rPr>
                      <w:lang w:val="en-US"/>
                    </w:rPr>
                    <w:t>procentus, bet ne daugiau kaip 20 procent</w:t>
                  </w:r>
                  <w:r>
                    <w:t>ų</w:t>
                  </w:r>
                  <w:r>
                    <w:rPr>
                      <w:lang w:val="en-US"/>
                    </w:rPr>
                    <w:t xml:space="preserve"> </w:t>
                  </w:r>
                  <w:r>
                    <w:t xml:space="preserve">nuo visų Įmonių, kurioms einamaisiais metais atsiranda pareiga pagal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1 arba 2 dalį.</w:t>
                  </w:r>
                </w:p>
              </w:sdtContent>
            </w:sdt>
            <w:sdt>
              <w:sdtPr>
                <w:alias w:val="17 p."/>
                <w:tag w:val="part_db54ca8163234549a4aaa2b944f47c9e"/>
                <w:lock w:val="sdtLocked"/>
                <w:richText/>
              </w:sdtPr>
              <w:sdtContent>
                <w:p>
                  <w:pPr>
                    <w:ind w:firstLine="720"/>
                    <w:jc w:val="both"/>
                    <w:rPr>
                      <w:b/>
                      <w:bCs/>
                      <w:color w:val="000000"/>
                      <w:shd w:val="clear" w:color="auto" w:fill="FFFFFF"/>
                    </w:rPr>
                  </w:pPr>
                  <w:sdt>
                    <w:sdtPr>
                      <w:alias w:val="Numeris"/>
                      <w:tag w:val="nr_db54ca8163234549a4aaa2b944f47c9e"/>
                      <w:lock w:val="sdtLocked"/>
                      <w:richText/>
                    </w:sdtPr>
                    <w:sdtContent>
                      <w:r>
                        <w:rPr>
                          <w:color w:val="000000"/>
                          <w:shd w:val="clear" w:color="auto" w:fill="FFFFFF"/>
                        </w:rPr>
                        <w:t>17</w:t>
                      </w:r>
                    </w:sdtContent>
                  </w:sdt>
                  <w:r>
                    <w:rPr>
                      <w:color w:val="000000"/>
                      <w:shd w:val="clear" w:color="auto" w:fill="FFFFFF"/>
                    </w:rPr>
                    <w:t xml:space="preserve">. </w:t>
                  </w:r>
                  <w:r>
                    <w:t xml:space="preserve">Siekdama užtikrinti kokybišką Audito atlikimą, energetikos ministro įgaliota institucija kasmet atlieka atrankinius atliktų Auditų ataskaitų atitikties patikrinimus. Atrankinių patikrinimų imtis turi sudaryti ne mažiau kaip 5 procentus, bet ne daugiau kaip 20 procentų visų einamaisiais metais pagal </w:t>
                  </w:r>
                  <w:r>
                    <w:rPr>
                      <w:lang w:eastAsia="lt-LT"/>
                    </w:rPr>
                    <w:t xml:space="preserve">Energijos vartojimo efektyvumo didinimo įstatymo </w:t>
                  </w:r>
                  <w:r>
                    <w:rPr>
                      <w:lang w:val="en-US" w:eastAsia="lt-LT"/>
                    </w:rPr>
                    <w:t>13</w:t>
                  </w:r>
                  <w:r>
                    <w:rPr>
                      <w:lang w:eastAsia="lt-LT"/>
                    </w:rPr>
                    <w:t xml:space="preserve"> straipsnio</w:t>
                  </w:r>
                  <w:r>
                    <w:rPr>
                      <w:color w:val="000000"/>
                      <w:shd w:val="clear" w:color="auto" w:fill="FFFFFF"/>
                    </w:rPr>
                    <w:t xml:space="preserve"> 2 dalies pareigą atliktų</w:t>
                  </w:r>
                  <w:r>
                    <w:t xml:space="preserve"> Auditų ataskaitų atitikties patikrą. </w:t>
                  </w:r>
                </w:p>
              </w:sdtContent>
            </w:sdt>
            <w:sdt>
              <w:sdtPr>
                <w:alias w:val="18 p."/>
                <w:tag w:val="part_1458c7870b3c4841b921c8bd6dbd59d3"/>
                <w:lock w:val="sdtLocked"/>
                <w:richText/>
              </w:sdtPr>
              <w:sdtContent>
                <w:p>
                  <w:pPr>
                    <w:suppressAutoHyphens/>
                    <w:ind w:firstLine="709"/>
                    <w:jc w:val="both"/>
                    <w:textAlignment w:val="baseline"/>
                  </w:pPr>
                  <w:sdt>
                    <w:sdtPr>
                      <w:alias w:val="Numeris"/>
                      <w:tag w:val="nr_1458c7870b3c4841b921c8bd6dbd59d3"/>
                      <w:lock w:val="sdtLocked"/>
                      <w:richText/>
                    </w:sdtPr>
                    <w:sdtContent>
                      <w:r>
                        <w:t>18</w:t>
                      </w:r>
                    </w:sdtContent>
                  </w:sdt>
                  <w:r>
                    <w:t xml:space="preserve">. Energetikos ministro įgaliota institucija teikia konsultacijas Įmonėms dėl </w:t>
                  </w:r>
                  <w:r>
                    <w:rPr>
                      <w:lang w:eastAsia="lt-LT"/>
                    </w:rPr>
                    <w:t xml:space="preserve">Energijos vartojimo efektyvumo didinimo įstatymo </w:t>
                  </w:r>
                  <w:r>
                    <w:rPr>
                      <w:lang w:val="en-US" w:eastAsia="lt-LT"/>
                    </w:rPr>
                    <w:t>13</w:t>
                  </w:r>
                  <w:r>
                    <w:rPr>
                      <w:lang w:eastAsia="lt-LT"/>
                    </w:rPr>
                    <w:t xml:space="preserve"> straipsnyje nurodytų pareigų ir pagal </w:t>
                  </w:r>
                  <w:r>
                    <w:t xml:space="preserve">šį Aprašą  taikomų reikalavimų ir pagalbinę informaciją Įmonėms skelbia viešai savo interneto svetainėje.</w:t>
                  </w:r>
                </w:p>
                <w:p>
                  <w:pPr>
                    <w:ind w:firstLine="720"/>
                    <w:jc w:val="both"/>
                    <w:rPr>
                      <w:b/>
                      <w:bCs/>
                      <w:color w:val="000000"/>
                      <w:shd w:val="clear" w:color="auto" w:fill="FFFFFF"/>
                    </w:rPr>
                  </w:pPr>
                </w:p>
              </w:sdtContent>
            </w:sdt>
          </w:sdtContent>
        </w:sdt>
        <w:sdt>
          <w:sdtPr>
            <w:alias w:val="skyrius"/>
            <w:tag w:val="part_28d4ff9949c94b8288e0694192e03198"/>
            <w:lock w:val="sdtLocked"/>
            <w:richText/>
          </w:sdtPr>
          <w:sdtContent>
            <w:p>
              <w:pPr>
                <w:suppressAutoHyphens/>
                <w:jc w:val="center"/>
                <w:textAlignment w:val="baseline"/>
                <w:rPr>
                  <w:b/>
                  <w:bCs/>
                  <w:lang w:eastAsia="lt-LT"/>
                </w:rPr>
              </w:pPr>
              <w:sdt>
                <w:sdtPr>
                  <w:alias w:val="Numeris"/>
                  <w:tag w:val="nr_28d4ff9949c94b8288e0694192e03198"/>
                  <w:lock w:val="sdtLocked"/>
                  <w:richText/>
                </w:sdtPr>
                <w:sdtContent>
                  <w:r>
                    <w:rPr>
                      <w:b/>
                      <w:bCs/>
                      <w:lang w:eastAsia="lt-LT"/>
                    </w:rPr>
                    <w:t>V</w:t>
                  </w:r>
                </w:sdtContent>
              </w:sdt>
              <w:r>
                <w:rPr>
                  <w:b/>
                  <w:bCs/>
                  <w:lang w:eastAsia="lt-LT"/>
                </w:rPr>
                <w:t xml:space="preserve"> SKYRIUS</w:t>
              </w:r>
            </w:p>
            <w:p>
              <w:pPr>
                <w:suppressAutoHyphens/>
                <w:jc w:val="center"/>
                <w:textAlignment w:val="baseline"/>
                <w:rPr>
                  <w:b/>
                  <w:bCs/>
                  <w:lang w:eastAsia="lt-LT"/>
                </w:rPr>
              </w:pPr>
              <w:sdt>
                <w:sdtPr>
                  <w:alias w:val="Pavadinimas"/>
                  <w:tag w:val="title_28d4ff9949c94b8288e0694192e03198"/>
                  <w:lock w:val="sdtLocked"/>
                  <w:richText/>
                </w:sdtPr>
                <w:sdtContent>
                  <w:r>
                    <w:rPr>
                      <w:b/>
                      <w:bCs/>
                      <w:lang w:eastAsia="lt-LT"/>
                    </w:rPr>
                    <w:t xml:space="preserve">ĮMONIŲ PAREIGOMS TAIKOMOS IŠIMTYS IR KITI KRITERIJAI </w:t>
                  </w:r>
                </w:sdtContent>
              </w:sdt>
            </w:p>
            <w:p>
              <w:pPr>
                <w:ind w:firstLine="782"/>
                <w:jc w:val="both"/>
                <w:rPr>
                  <w:b/>
                  <w:bCs/>
                  <w:color w:val="000000"/>
                  <w:shd w:val="clear" w:color="auto" w:fill="FFFFFF"/>
                </w:rPr>
              </w:pPr>
            </w:p>
            <w:sdt>
              <w:sdtPr>
                <w:alias w:val="19 p."/>
                <w:tag w:val="part_443e5a1cc552404ebc7a6f44200a7e9e"/>
                <w:lock w:val="sdtLocked"/>
                <w:richText/>
              </w:sdtPr>
              <w:sdtContent>
                <w:p>
                  <w:pPr>
                    <w:ind w:firstLine="720"/>
                    <w:jc w:val="both"/>
                    <w:rPr>
                      <w:lang w:eastAsia="lt-LT"/>
                    </w:rPr>
                  </w:pPr>
                  <w:sdt>
                    <w:sdtPr>
                      <w:alias w:val="Numeris"/>
                      <w:tag w:val="nr_443e5a1cc552404ebc7a6f44200a7e9e"/>
                      <w:lock w:val="sdtLocked"/>
                      <w:richText/>
                    </w:sdtPr>
                    <w:sdtContent>
                      <w:r>
                        <w:rPr>
                          <w:color w:val="000000"/>
                          <w:shd w:val="clear" w:color="auto" w:fill="FFFFFF"/>
                        </w:rPr>
                        <w:t>19</w:t>
                      </w:r>
                    </w:sdtContent>
                  </w:sdt>
                  <w:r>
                    <w:rPr>
                      <w:color w:val="000000"/>
                      <w:shd w:val="clear" w:color="auto" w:fill="FFFFFF"/>
                    </w:rPr>
                    <w:t>.</w:t>
                  </w:r>
                  <w:r>
                    <w:t xml:space="preserve"> </w:t>
                  </w:r>
                  <w:r>
                    <w:rPr>
                      <w:szCs w:val="24"/>
                      <w:lang w:eastAsia="lt-LT"/>
                    </w:rPr>
                    <w:t xml:space="preserve">Įmonėms, kurios yra įgyvendinusios nepriklausomos organizacijos pagal atitinkamus Europos Sąjungos ir tarptautinius standartus sertifikuotą aplinkos vadybos sistemą, </w:t>
                  </w:r>
                  <w:r>
                    <w:rPr>
                      <w:lang w:eastAsia="lt-LT"/>
                    </w:rPr>
                    <w:t xml:space="preserve">Energijos vartojimo efektyvumo didinimo įstatymo </w:t>
                  </w:r>
                  <w:r>
                    <w:rPr>
                      <w:lang w:val="en-US" w:eastAsia="lt-LT"/>
                    </w:rPr>
                    <w:t>13</w:t>
                  </w:r>
                  <w:r>
                    <w:rPr>
                      <w:lang w:eastAsia="lt-LT"/>
                    </w:rPr>
                    <w:t xml:space="preserve"> straipsnio </w:t>
                  </w:r>
                  <w:r>
                    <w:rPr>
                      <w:lang w:val="en-US" w:eastAsia="lt-LT"/>
                    </w:rPr>
                    <w:t xml:space="preserve">1 ir 2 </w:t>
                  </w:r>
                  <w:r>
                    <w:rPr>
                      <w:lang w:eastAsia="lt-LT"/>
                    </w:rPr>
                    <w:t xml:space="preserve">dalyje nurodytos pareigos netaikomos, jeigu atitinkama aplinkos vadybos sistema apima energijos vartojimo auditą, kurio išsamumas atitinka energetikos ministro Audito atlikimui </w:t>
                  </w:r>
                  <w:r>
                    <w:rPr>
                      <w:iCs/>
                    </w:rPr>
                    <w:t xml:space="preserve">nustatytas tvarkas ir metodikas.  </w:t>
                  </w:r>
                </w:p>
              </w:sdtContent>
            </w:sdt>
            <w:sdt>
              <w:sdtPr>
                <w:alias w:val="20 p."/>
                <w:tag w:val="part_d111060557e742c8bc0db03ffa5d612b"/>
                <w:lock w:val="sdtLocked"/>
                <w:richText/>
              </w:sdtPr>
              <w:sdtContent>
                <w:p>
                  <w:pPr>
                    <w:ind w:firstLine="720"/>
                    <w:jc w:val="both"/>
                  </w:pPr>
                  <w:sdt>
                    <w:sdtPr>
                      <w:alias w:val="Numeris"/>
                      <w:tag w:val="nr_d111060557e742c8bc0db03ffa5d612b"/>
                      <w:lock w:val="sdtLocked"/>
                      <w:richText/>
                    </w:sdtPr>
                    <w:sdtContent>
                      <w:r>
                        <w:rPr>
                          <w:szCs w:val="24"/>
                          <w:lang w:eastAsia="lt-LT"/>
                        </w:rPr>
                        <w:t>20</w:t>
                      </w:r>
                    </w:sdtContent>
                  </w:sdt>
                  <w:r>
                    <w:rPr>
                      <w:szCs w:val="24"/>
                      <w:lang w:eastAsia="lt-LT"/>
                    </w:rPr>
                    <w:t xml:space="preserve">. Įmonėms, kurios įgyvendina sudarytą energijos taupymo paslaugos teikimo sutartį, </w:t>
                  </w:r>
                  <w:r>
                    <w:rPr>
                      <w:lang w:eastAsia="lt-LT"/>
                    </w:rPr>
                    <w:t xml:space="preserve">Energijos vartojimo efektyvumo didinimo įstatymo </w:t>
                  </w:r>
                  <w:r>
                    <w:rPr>
                      <w:lang w:val="en-US" w:eastAsia="lt-LT"/>
                    </w:rPr>
                    <w:t>13</w:t>
                  </w:r>
                  <w:r>
                    <w:rPr>
                      <w:lang w:eastAsia="lt-LT"/>
                    </w:rPr>
                    <w:t xml:space="preserve"> straipsnio </w:t>
                  </w:r>
                  <w:r>
                    <w:rPr>
                      <w:lang w:val="en-US" w:eastAsia="lt-LT"/>
                    </w:rPr>
                    <w:t xml:space="preserve">1 ir 2 </w:t>
                  </w:r>
                  <w:r>
                    <w:rPr>
                      <w:lang w:eastAsia="lt-LT"/>
                    </w:rPr>
                    <w:t xml:space="preserve">dalyje nurodytos pareigos netaikomos, jeigu </w:t>
                  </w:r>
                  <w:r>
                    <w:rPr>
                      <w:szCs w:val="24"/>
                      <w:lang w:eastAsia="lt-LT"/>
                    </w:rPr>
                    <w:t>Įmonės sudaryta energijos taupymo paslaugos teikimo sutartis apima energijos naudojimo vadybos sistemą. Sudaryta energijos taupymo paslaugos teikimo sutartis</w:t>
                  </w:r>
                  <w:r>
                    <w:t xml:space="preserve"> turi apimti visus Įmonės objektus ir visas energiją naudojančias sistemas bei procesus ir šiai apimčiai turi būti taikoma energijos naudojimo vadybos sistema.  </w:t>
                  </w:r>
                </w:p>
              </w:sdtContent>
            </w:sdt>
            <w:sdt>
              <w:sdtPr>
                <w:alias w:val="21 p."/>
                <w:tag w:val="part_45ecea675abe43df97908aae9eee04cd"/>
                <w:lock w:val="sdtLocked"/>
                <w:richText/>
              </w:sdtPr>
              <w:sdtContent>
                <w:p>
                  <w:pPr>
                    <w:ind w:firstLine="720"/>
                    <w:jc w:val="both"/>
                    <w:rPr>
                      <w:color w:val="000000"/>
                      <w:szCs w:val="24"/>
                      <w:lang w:eastAsia="lt-LT"/>
                    </w:rPr>
                  </w:pPr>
                  <w:sdt>
                    <w:sdtPr>
                      <w:alias w:val="Numeris"/>
                      <w:tag w:val="nr_45ecea675abe43df97908aae9eee04cd"/>
                      <w:lock w:val="sdtLocked"/>
                      <w:richText/>
                    </w:sdtPr>
                    <w:sdtContent>
                      <w:r>
                        <w:t>21</w:t>
                      </w:r>
                    </w:sdtContent>
                  </w:sdt>
                  <w:r>
                    <w:t xml:space="preserve">. </w:t>
                  </w:r>
                  <w:r>
                    <w:rPr>
                      <w:lang w:eastAsia="lt-LT"/>
                    </w:rPr>
                    <w:t xml:space="preserve">Energijos vartojimo efektyvumo didinimo įstatymo </w:t>
                  </w:r>
                  <w:r>
                    <w:rPr>
                      <w:lang w:val="en-US" w:eastAsia="lt-LT"/>
                    </w:rPr>
                    <w:t>13</w:t>
                  </w:r>
                  <w:r>
                    <w:rPr>
                      <w:lang w:eastAsia="lt-LT"/>
                    </w:rPr>
                    <w:t xml:space="preserve"> straipsnio </w:t>
                  </w:r>
                  <w:r>
                    <w:rPr>
                      <w:color w:val="000000"/>
                      <w:shd w:val="clear" w:color="auto" w:fill="FFFFFF"/>
                    </w:rPr>
                    <w:t xml:space="preserve">1, 2, </w:t>
                  </w:r>
                  <w:r>
                    <w:rPr>
                      <w:color w:val="000000"/>
                      <w:shd w:val="clear" w:color="auto" w:fill="FFFFFF"/>
                      <w:lang w:val="en-US"/>
                    </w:rPr>
                    <w:t>5</w:t>
                  </w:r>
                  <w:r>
                    <w:rPr>
                      <w:color w:val="000000"/>
                      <w:shd w:val="clear" w:color="auto" w:fill="FFFFFF"/>
                    </w:rPr>
                    <w:t xml:space="preserve"> ir</w:t>
                  </w:r>
                  <w:r>
                    <w:rPr>
                      <w:color w:val="000000"/>
                      <w:shd w:val="clear" w:color="auto" w:fill="FFFFFF"/>
                      <w:lang w:val="en-US"/>
                    </w:rPr>
                    <w:t xml:space="preserve"> 6</w:t>
                  </w:r>
                  <w:r>
                    <w:rPr>
                      <w:color w:val="000000"/>
                      <w:shd w:val="clear" w:color="auto" w:fill="FFFFFF"/>
                    </w:rPr>
                    <w:t xml:space="preserve"> dalyse nurodytos pareigos Įmonėms netaikomos</w:t>
                  </w:r>
                  <w:r>
                    <w:rPr>
                      <w:lang w:eastAsia="lt-LT"/>
                    </w:rPr>
                    <w:t xml:space="preserve">, esant </w:t>
                  </w:r>
                  <w:r>
                    <w:rPr>
                      <w:color w:val="000000"/>
                      <w:szCs w:val="24"/>
                      <w:lang w:eastAsia="lt-LT"/>
                    </w:rPr>
                    <w:t>bent vienai iš šių sąlygų:</w:t>
                  </w:r>
                </w:p>
                <w:sdt>
                  <w:sdtPr>
                    <w:alias w:val="21.1 pp."/>
                    <w:tag w:val="part_ae541c9ac62e468b9ac3f90033183934"/>
                    <w:lock w:val="sdtLocked"/>
                    <w:richText/>
                  </w:sdtPr>
                  <w:sdtContent>
                    <w:p>
                      <w:pPr>
                        <w:ind w:firstLine="720"/>
                        <w:jc w:val="both"/>
                        <w:rPr>
                          <w:color w:val="000000"/>
                          <w:szCs w:val="24"/>
                          <w:lang w:eastAsia="lt-LT"/>
                        </w:rPr>
                      </w:pPr>
                      <w:sdt>
                        <w:sdtPr>
                          <w:alias w:val="Numeris"/>
                          <w:tag w:val="nr_ae541c9ac62e468b9ac3f90033183934"/>
                          <w:lock w:val="sdtLocked"/>
                          <w:richText/>
                        </w:sdtPr>
                        <w:sdtContent>
                          <w:r>
                            <w:rPr>
                              <w:color w:val="000000"/>
                              <w:szCs w:val="24"/>
                              <w:lang w:eastAsia="lt-LT"/>
                            </w:rPr>
                            <w:t>21.1</w:t>
                          </w:r>
                        </w:sdtContent>
                      </w:sdt>
                      <w:r>
                        <w:rPr>
                          <w:color w:val="000000"/>
                          <w:szCs w:val="24"/>
                          <w:lang w:eastAsia="lt-LT"/>
                        </w:rPr>
                        <w:t>. yra bankrutavusios, likviduojamos, sustabdžiusios ar apribojusios savo veiklą;</w:t>
                      </w:r>
                    </w:p>
                  </w:sdtContent>
                </w:sdt>
                <w:sdt>
                  <w:sdtPr>
                    <w:alias w:val="21.2 pp."/>
                    <w:tag w:val="part_ba9f3500331243a2be99016684a60f0a"/>
                    <w:lock w:val="sdtLocked"/>
                    <w:richText/>
                  </w:sdtPr>
                  <w:sdtContent>
                    <w:p>
                      <w:pPr>
                        <w:ind w:firstLine="720"/>
                        <w:jc w:val="both"/>
                        <w:rPr>
                          <w:color w:val="000000"/>
                          <w:szCs w:val="24"/>
                          <w:lang w:eastAsia="lt-LT"/>
                        </w:rPr>
                      </w:pPr>
                      <w:sdt>
                        <w:sdtPr>
                          <w:alias w:val="Numeris"/>
                          <w:tag w:val="nr_ba9f3500331243a2be99016684a60f0a"/>
                          <w:lock w:val="sdtLocked"/>
                          <w:richText/>
                        </w:sdtPr>
                        <w:sdtContent>
                          <w:r>
                            <w:rPr>
                              <w:color w:val="000000"/>
                              <w:szCs w:val="24"/>
                              <w:lang w:eastAsia="lt-LT"/>
                            </w:rPr>
                            <w:t>21.2</w:t>
                          </w:r>
                        </w:sdtContent>
                      </w:sdt>
                      <w:r>
                        <w:rPr>
                          <w:color w:val="000000"/>
                          <w:szCs w:val="24"/>
                          <w:lang w:eastAsia="lt-LT"/>
                        </w:rPr>
                        <w:t>. iškelta restruktūrizavimo, bankroto byla arba bankroto procesas vykdomas ne teismo tvarka, inicijuotos priverstinio likvidavimo procedūros.</w:t>
                      </w:r>
                    </w:p>
                  </w:sdtContent>
                </w:sdt>
              </w:sdtContent>
            </w:sdt>
            <w:sdt>
              <w:sdtPr>
                <w:alias w:val="22 p."/>
                <w:tag w:val="part_e9477d5cba3141d49ae1a2d7a8cab50c"/>
                <w:lock w:val="sdtLocked"/>
                <w:richText/>
              </w:sdtPr>
              <w:sdtContent>
                <w:p>
                  <w:pPr>
                    <w:ind w:firstLine="720"/>
                    <w:jc w:val="both"/>
                  </w:pPr>
                  <w:sdt>
                    <w:sdtPr>
                      <w:alias w:val="Numeris"/>
                      <w:tag w:val="nr_e9477d5cba3141d49ae1a2d7a8cab50c"/>
                      <w:lock w:val="sdtLocked"/>
                      <w:richText/>
                    </w:sdtPr>
                    <w:sdtContent>
                      <w:r>
                        <w:t>22</w:t>
                      </w:r>
                    </w:sdtContent>
                  </w:sdt>
                  <w:r>
                    <w:t xml:space="preserve">. Auditas gali būti neatliekamas energijos beveik nevartojančiam pastatui. </w:t>
                  </w:r>
                </w:p>
              </w:sdtContent>
            </w:sdt>
            <w:sdt>
              <w:sdtPr>
                <w:alias w:val="23 p."/>
                <w:tag w:val="part_50f7be673fc545bdac4e96868d51aaef"/>
                <w:lock w:val="sdtLocked"/>
                <w:richText/>
              </w:sdtPr>
              <w:sdtContent>
                <w:p>
                  <w:pPr>
                    <w:ind w:firstLine="720"/>
                    <w:jc w:val="both"/>
                    <w:rPr>
                      <w:rFonts w:eastAsia="Calibri"/>
                      <w:color w:val="000000"/>
                      <w:szCs w:val="24"/>
                      <w:lang w:eastAsia="lt-LT"/>
                    </w:rPr>
                  </w:pPr>
                  <w:sdt>
                    <w:sdtPr>
                      <w:alias w:val="Numeris"/>
                      <w:tag w:val="nr_50f7be673fc545bdac4e96868d51aaef"/>
                      <w:lock w:val="sdtLocked"/>
                      <w:richText/>
                    </w:sdtPr>
                    <w:sdtContent>
                      <w:r>
                        <w:t>23</w:t>
                      </w:r>
                    </w:sdtContent>
                  </w:sdt>
                  <w:r>
                    <w:t xml:space="preserve">. </w:t>
                  </w:r>
                  <w:r>
                    <w:rPr>
                      <w:rFonts w:eastAsia="Calibri"/>
                      <w:color w:val="000000"/>
                      <w:szCs w:val="24"/>
                      <w:lang w:eastAsia="lt-LT"/>
                    </w:rPr>
                    <w:t xml:space="preserve">Audito metu turi būti analizuojama ne mažiau kaip 90 proc. visos Įmonės  suvartojamos galutinės energijos apimties, jeigu tokia apimtis yra pakankama energijos vartojimo efektyvumui įvertinti ir rekomendacijoms dėl energijos vartojimo efektyvumo gerinimo priemonių pateikti.</w:t>
                  </w:r>
                </w:p>
              </w:sdtContent>
            </w:sdt>
            <w:sdt>
              <w:sdtPr>
                <w:alias w:val="24 p."/>
                <w:tag w:val="part_25897975eb10472cadf2ea83dead2aec"/>
                <w:lock w:val="sdtLocked"/>
                <w:richText/>
              </w:sdtPr>
              <w:sdtContent>
                <w:p>
                  <w:pPr>
                    <w:ind w:firstLine="720"/>
                    <w:jc w:val="both"/>
                    <w:rPr>
                      <w:rFonts w:eastAsia="Calibri"/>
                      <w:color w:val="000000"/>
                      <w:szCs w:val="24"/>
                      <w:lang w:eastAsia="lt-LT"/>
                    </w:rPr>
                  </w:pPr>
                  <w:sdt>
                    <w:sdtPr>
                      <w:alias w:val="Numeris"/>
                      <w:tag w:val="nr_25897975eb10472cadf2ea83dead2aec"/>
                      <w:lock w:val="sdtLocked"/>
                      <w:richText/>
                    </w:sdtPr>
                    <w:sdtContent>
                      <w:r>
                        <w:rPr>
                          <w:rFonts w:eastAsia="Calibri"/>
                          <w:color w:val="000000"/>
                          <w:szCs w:val="24"/>
                          <w:lang w:eastAsia="lt-LT"/>
                        </w:rPr>
                        <w:t>24</w:t>
                      </w:r>
                    </w:sdtContent>
                  </w:sdt>
                  <w:r>
                    <w:rPr>
                      <w:rFonts w:eastAsia="Calibri"/>
                      <w:color w:val="000000"/>
                      <w:szCs w:val="24"/>
                      <w:lang w:eastAsia="lt-LT"/>
                    </w:rPr>
                    <w:t xml:space="preserve">. </w:t>
                  </w:r>
                  <w:r>
                    <w:rPr>
                      <w:lang w:eastAsia="lt-LT"/>
                    </w:rPr>
                    <w:t xml:space="preserve">jei Įmonė atitinka nors vieną Aprašo V skyriuje nurodytą sąlygą, ji apie tai informuoja </w:t>
                  </w:r>
                  <w:r>
                    <w:t>energetikos ministro įgaliotą instituciją</w:t>
                  </w:r>
                  <w:r>
                    <w:rPr>
                      <w:lang w:eastAsia="lt-LT"/>
                    </w:rPr>
                    <w:t>, pateikdama tai pagrindžiančius dokumentus.</w:t>
                  </w:r>
                  <w:r>
                    <w:t xml:space="preserve"> </w:t>
                  </w:r>
                </w:p>
                <w:p>
                  <w:pPr/>
                </w:p>
              </w:sdtContent>
            </w:sdt>
          </w:sdtContent>
        </w:sdt>
        <w:sdt>
          <w:sdtPr>
            <w:alias w:val="skyrius"/>
            <w:tag w:val="part_7b85e9d0d3b44a3fae93f71c6dcd79dd"/>
            <w:lock w:val="sdtLocked"/>
            <w:richText/>
          </w:sdtPr>
          <w:sdtContent>
            <w:p>
              <w:pPr>
                <w:suppressAutoHyphens/>
                <w:jc w:val="center"/>
                <w:textAlignment w:val="baseline"/>
                <w:rPr>
                  <w:b/>
                  <w:bCs/>
                  <w:lang w:eastAsia="lt-LT"/>
                </w:rPr>
              </w:pPr>
              <w:sdt>
                <w:sdtPr>
                  <w:alias w:val="Numeris"/>
                  <w:tag w:val="nr_7b85e9d0d3b44a3fae93f71c6dcd79dd"/>
                  <w:lock w:val="sdtLocked"/>
                  <w:richText/>
                </w:sdtPr>
                <w:sdtContent>
                  <w:r>
                    <w:rPr>
                      <w:b/>
                      <w:bCs/>
                      <w:lang w:eastAsia="lt-LT"/>
                    </w:rPr>
                    <w:t>VI</w:t>
                  </w:r>
                </w:sdtContent>
              </w:sdt>
              <w:r>
                <w:rPr>
                  <w:b/>
                  <w:bCs/>
                  <w:lang w:eastAsia="lt-LT"/>
                </w:rPr>
                <w:t xml:space="preserve"> SKYRIUS</w:t>
              </w:r>
            </w:p>
            <w:p>
              <w:pPr>
                <w:suppressAutoHyphens/>
                <w:jc w:val="center"/>
                <w:textAlignment w:val="baseline"/>
                <w:rPr>
                  <w:b/>
                  <w:bCs/>
                  <w:lang w:eastAsia="lt-LT"/>
                </w:rPr>
              </w:pPr>
              <w:sdt>
                <w:sdtPr>
                  <w:alias w:val="Pavadinimas"/>
                  <w:tag w:val="title_7b85e9d0d3b44a3fae93f71c6dcd79dd"/>
                  <w:lock w:val="sdtLocked"/>
                  <w:richText/>
                </w:sdtPr>
                <w:sdtContent>
                  <w:r>
                    <w:rPr>
                      <w:b/>
                      <w:bCs/>
                      <w:lang w:eastAsia="lt-LT"/>
                    </w:rPr>
                    <w:t>BAIGIAMOSIOS NUOSTATOS</w:t>
                  </w:r>
                </w:sdtContent>
              </w:sdt>
            </w:p>
            <w:p>
              <w:pPr>
                <w:suppressAutoHyphens/>
                <w:ind w:firstLine="709"/>
                <w:jc w:val="both"/>
                <w:textAlignment w:val="baseline"/>
                <w:rPr>
                  <w:lang w:eastAsia="lt-LT"/>
                </w:rPr>
              </w:pPr>
            </w:p>
            <w:sdt>
              <w:sdtPr>
                <w:alias w:val="25 p."/>
                <w:tag w:val="part_4c0717ac88104971a91b0d7f6b0e2794"/>
                <w:lock w:val="sdtLocked"/>
                <w:richText/>
              </w:sdtPr>
              <w:sdtContent>
                <w:p>
                  <w:pPr>
                    <w:suppressAutoHyphens/>
                    <w:ind w:firstLine="709"/>
                    <w:jc w:val="both"/>
                    <w:textAlignment w:val="baseline"/>
                    <w:rPr>
                      <w:lang w:eastAsia="lt-LT"/>
                    </w:rPr>
                  </w:pPr>
                  <w:sdt>
                    <w:sdtPr>
                      <w:alias w:val="Numeris"/>
                      <w:tag w:val="nr_4c0717ac88104971a91b0d7f6b0e2794"/>
                      <w:lock w:val="sdtLocked"/>
                      <w:richText/>
                    </w:sdtPr>
                    <w:sdtContent>
                      <w:r>
                        <w:rPr>
                          <w:lang w:eastAsia="lt-LT"/>
                        </w:rPr>
                        <w:t>25</w:t>
                      </w:r>
                    </w:sdtContent>
                  </w:sdt>
                  <w:r>
                    <w:rPr>
                      <w:lang w:eastAsia="lt-LT"/>
                    </w:rPr>
                    <w:t>. Įmonės, pažeidusios Aprašo nuostatas, atsako Energijos vartojimo efektyvumo didinimo įstatymo ir kitų Lietuvos Respublikos įstatymų nustatyta tvarka.</w:t>
                  </w:r>
                </w:p>
                <w:p>
                  <w:pPr>
                    <w:suppressAutoHyphens/>
                    <w:ind w:firstLine="709"/>
                    <w:jc w:val="both"/>
                    <w:textAlignment w:val="baseline"/>
                    <w:rPr>
                      <w:lang w:eastAsia="lt-LT"/>
                    </w:rPr>
                  </w:pPr>
                </w:p>
              </w:sdtContent>
            </w:sdt>
          </w:sdtContent>
        </w:sdt>
        <w:sdt>
          <w:sdtPr>
            <w:alias w:val="pabaiga"/>
            <w:tag w:val="part_424ed619567c43e3ac091c368854da9f"/>
            <w:lock w:val="sdtLocked"/>
            <w:richText/>
          </w:sdtPr>
          <w:sdtContent>
            <w:p>
              <w:pPr>
                <w:suppressAutoHyphens/>
                <w:jc w:val="center"/>
                <w:textAlignment w:val="baseline"/>
                <w:rPr>
                  <w:sz w:val="14"/>
                  <w:szCs w:val="14"/>
                </w:rPr>
              </w:pPr>
              <w:r>
                <w:rPr>
                  <w:szCs w:val="24"/>
                </w:rPr>
                <w:t xml:space="preserve">———————— </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e55e093bd11e7b23ac1559fb02b2d">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2017-09-07,
paskelbta TAR 2017-09-11, i. k. 2017-14487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1e13b001dd11e9a5eaf2cd290f1944">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2018-12-17,
paskelbta TAR 2018-12-18, i. k. 2018-20673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5f60a06a6a11e99989e603c54a3595">
            <w:r w:rsidRPr="00532B9F">
              <w:rPr>
                <w:rFonts w:ascii="Times New Roman" w:eastAsia="MS Mincho" w:hAnsi="Times New Roman"/>
                <w:sz w:val="20"/>
                <w:iCs/>
                <w:color w:val="0000FF" w:themeColor="hyperlink"/>
                <w:u w:val="single"/>
              </w:rPr>
              <w:t>1-130</w:t>
            </w:r>
          </w:fldSimple>
          <w:r>
            <w:rPr>
              <w:rFonts w:ascii="Times New Roman" w:eastAsia="MS Mincho" w:hAnsi="Times New Roman"/>
              <w:sz w:val="20"/>
              <w:iCs/>
            </w:rPr>
            <w:t>,
2019-04-26,
paskelbta TAR 2019-04-30, i. k. 2019-07007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ff68901b3c11ea8e248c77339e1836">
            <w:r w:rsidRPr="00532B9F">
              <w:rPr>
                <w:rFonts w:ascii="Times New Roman" w:eastAsia="MS Mincho" w:hAnsi="Times New Roman"/>
                <w:sz w:val="20"/>
                <w:iCs/>
                <w:color w:val="0000FF" w:themeColor="hyperlink"/>
                <w:u w:val="single"/>
              </w:rPr>
              <w:t>1-321</w:t>
            </w:r>
          </w:fldSimple>
          <w:r>
            <w:rPr>
              <w:rFonts w:ascii="Times New Roman" w:eastAsia="MS Mincho" w:hAnsi="Times New Roman"/>
              <w:sz w:val="20"/>
              <w:iCs/>
            </w:rPr>
            <w:t>,
2019-12-10,
paskelbta TAR 2019-12-11, i. k. 2019-19918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9f8cf45aa211f180c9c618618421ed">
            <w:r w:rsidRPr="00532B9F">
              <w:rPr>
                <w:rFonts w:ascii="Times New Roman" w:eastAsia="MS Mincho" w:hAnsi="Times New Roman"/>
                <w:sz w:val="20"/>
                <w:iCs/>
                <w:color w:val="0000FF" w:themeColor="hyperlink"/>
                <w:u w:val="single"/>
              </w:rPr>
              <w:t>1-134</w:t>
            </w:r>
          </w:fldSimple>
          <w:r>
            <w:rPr>
              <w:rFonts w:ascii="Times New Roman" w:eastAsia="MS Mincho" w:hAnsi="Times New Roman"/>
              <w:sz w:val="20"/>
              <w:iCs/>
            </w:rPr>
            <w:t>,
2026-05-28,
paskelbta TAR 2026-05-28, i. k. 2026-09182                </w:t>
          </w:r>
        </w:p>
        <w:p>
          <w:pPr>
            <w:jc w:val="both"/>
            <w:rPr>
              <w:rFonts w:ascii="Times New Roman" w:hAnsi="Times New Roman"/>
            </w:rPr>
          </w:pPr>
          <w:r>
            <w:rPr>
              <w:rFonts w:ascii="Times New Roman" w:hAnsi="Times New Roman"/>
              <w:sz w:val="20"/>
            </w:rPr>
            <w:t>Dėl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suppressAutoHyphens/>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p>
  <w:p>
    <w:pPr>
      <w:tabs>
        <w:tab w:val="center" w:pos="4819"/>
        <w:tab w:val="right" w:pos="9638"/>
      </w:tabs>
      <w:suppressAutoHyphens/>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13"/>
  <w:hyphenationZone w:val="396"/>
  <w:doNotHyphenateCap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005DD"/>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6BB8D4"/>
  <w15:docId w15:val="{32DC022F-2368-42E8-93DA-3DDE0D7D083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0664810">
      <w:bodyDiv w:val="1"/>
      <w:marLeft w:val="0"/>
      <w:marRight w:val="0"/>
      <w:marTop w:val="0"/>
      <w:marBottom w:val="0"/>
      <w:divBdr>
        <w:top w:val="none" w:sz="0" w:space="0" w:color="auto"/>
        <w:left w:val="none" w:sz="0" w:space="0" w:color="auto"/>
        <w:bottom w:val="none" w:sz="0" w:space="0" w:color="auto"/>
        <w:right w:val="none" w:sz="0" w:space="0" w:color="auto"/>
      </w:divBdr>
    </w:div>
    <w:div w:id="299768209">
      <w:bodyDiv w:val="1"/>
      <w:marLeft w:val="0"/>
      <w:marRight w:val="0"/>
      <w:marTop w:val="0"/>
      <w:marBottom w:val="0"/>
      <w:divBdr>
        <w:top w:val="none" w:sz="0" w:space="0" w:color="auto"/>
        <w:left w:val="none" w:sz="0" w:space="0" w:color="auto"/>
        <w:bottom w:val="none" w:sz="0" w:space="0" w:color="auto"/>
        <w:right w:val="none" w:sz="0" w:space="0" w:color="auto"/>
      </w:divBdr>
      <w:divsChild>
        <w:div w:id="1634867519">
          <w:marLeft w:val="0"/>
          <w:marRight w:val="0"/>
          <w:marTop w:val="0"/>
          <w:marBottom w:val="0"/>
          <w:divBdr>
            <w:top w:val="none" w:sz="0" w:space="0" w:color="auto"/>
            <w:left w:val="none" w:sz="0" w:space="0" w:color="auto"/>
            <w:bottom w:val="none" w:sz="0" w:space="0" w:color="auto"/>
            <w:right w:val="none" w:sz="0" w:space="0" w:color="auto"/>
          </w:divBdr>
        </w:div>
        <w:div w:id="1728340521">
          <w:marLeft w:val="0"/>
          <w:marRight w:val="0"/>
          <w:marTop w:val="0"/>
          <w:marBottom w:val="0"/>
          <w:divBdr>
            <w:top w:val="none" w:sz="0" w:space="0" w:color="auto"/>
            <w:left w:val="none" w:sz="0" w:space="0" w:color="auto"/>
            <w:bottom w:val="none" w:sz="0" w:space="0" w:color="auto"/>
            <w:right w:val="none" w:sz="0" w:space="0" w:color="auto"/>
          </w:divBdr>
        </w:div>
      </w:divsChild>
    </w:div>
    <w:div w:id="430125215">
      <w:bodyDiv w:val="1"/>
      <w:marLeft w:val="0"/>
      <w:marRight w:val="0"/>
      <w:marTop w:val="0"/>
      <w:marBottom w:val="0"/>
      <w:divBdr>
        <w:top w:val="none" w:sz="0" w:space="0" w:color="auto"/>
        <w:left w:val="none" w:sz="0" w:space="0" w:color="auto"/>
        <w:bottom w:val="none" w:sz="0" w:space="0" w:color="auto"/>
        <w:right w:val="none" w:sz="0" w:space="0" w:color="auto"/>
      </w:divBdr>
    </w:div>
    <w:div w:id="496532900">
      <w:bodyDiv w:val="1"/>
      <w:marLeft w:val="0"/>
      <w:marRight w:val="0"/>
      <w:marTop w:val="0"/>
      <w:marBottom w:val="0"/>
      <w:divBdr>
        <w:top w:val="none" w:sz="0" w:space="0" w:color="auto"/>
        <w:left w:val="none" w:sz="0" w:space="0" w:color="auto"/>
        <w:bottom w:val="none" w:sz="0" w:space="0" w:color="auto"/>
        <w:right w:val="none" w:sz="0" w:space="0" w:color="auto"/>
      </w:divBdr>
      <w:divsChild>
        <w:div w:id="1894345606">
          <w:marLeft w:val="0"/>
          <w:marRight w:val="0"/>
          <w:marTop w:val="0"/>
          <w:marBottom w:val="0"/>
          <w:divBdr>
            <w:top w:val="none" w:sz="0" w:space="0" w:color="auto"/>
            <w:left w:val="none" w:sz="0" w:space="0" w:color="auto"/>
            <w:bottom w:val="none" w:sz="0" w:space="0" w:color="auto"/>
            <w:right w:val="none" w:sz="0" w:space="0" w:color="auto"/>
          </w:divBdr>
          <w:divsChild>
            <w:div w:id="1352487724">
              <w:marLeft w:val="0"/>
              <w:marRight w:val="0"/>
              <w:marTop w:val="0"/>
              <w:marBottom w:val="0"/>
              <w:divBdr>
                <w:top w:val="none" w:sz="0" w:space="0" w:color="auto"/>
                <w:left w:val="none" w:sz="0" w:space="0" w:color="auto"/>
                <w:bottom w:val="none" w:sz="0" w:space="0" w:color="auto"/>
                <w:right w:val="none" w:sz="0" w:space="0" w:color="auto"/>
              </w:divBdr>
              <w:divsChild>
                <w:div w:id="1158619667">
                  <w:marLeft w:val="0"/>
                  <w:marRight w:val="0"/>
                  <w:marTop w:val="0"/>
                  <w:marBottom w:val="0"/>
                  <w:divBdr>
                    <w:top w:val="none" w:sz="0" w:space="0" w:color="auto"/>
                    <w:left w:val="none" w:sz="0" w:space="0" w:color="auto"/>
                    <w:bottom w:val="none" w:sz="0" w:space="0" w:color="auto"/>
                    <w:right w:val="none" w:sz="0" w:space="0" w:color="auto"/>
                  </w:divBdr>
                  <w:divsChild>
                    <w:div w:id="1642539997">
                      <w:marLeft w:val="0"/>
                      <w:marRight w:val="0"/>
                      <w:marTop w:val="0"/>
                      <w:marBottom w:val="0"/>
                      <w:divBdr>
                        <w:top w:val="none" w:sz="0" w:space="0" w:color="auto"/>
                        <w:left w:val="none" w:sz="0" w:space="0" w:color="auto"/>
                        <w:bottom w:val="none" w:sz="0" w:space="0" w:color="auto"/>
                        <w:right w:val="none" w:sz="0" w:space="0" w:color="auto"/>
                      </w:divBdr>
                      <w:divsChild>
                        <w:div w:id="75918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147538">
      <w:bodyDiv w:val="1"/>
      <w:marLeft w:val="0"/>
      <w:marRight w:val="0"/>
      <w:marTop w:val="0"/>
      <w:marBottom w:val="0"/>
      <w:divBdr>
        <w:top w:val="none" w:sz="0" w:space="0" w:color="auto"/>
        <w:left w:val="none" w:sz="0" w:space="0" w:color="auto"/>
        <w:bottom w:val="none" w:sz="0" w:space="0" w:color="auto"/>
        <w:right w:val="none" w:sz="0" w:space="0" w:color="auto"/>
      </w:divBdr>
    </w:div>
    <w:div w:id="1455439658">
      <w:bodyDiv w:val="1"/>
      <w:marLeft w:val="0"/>
      <w:marRight w:val="0"/>
      <w:marTop w:val="0"/>
      <w:marBottom w:val="0"/>
      <w:divBdr>
        <w:top w:val="none" w:sz="0" w:space="0" w:color="auto"/>
        <w:left w:val="none" w:sz="0" w:space="0" w:color="auto"/>
        <w:bottom w:val="none" w:sz="0" w:space="0" w:color="auto"/>
        <w:right w:val="none" w:sz="0" w:space="0" w:color="auto"/>
      </w:divBdr>
      <w:divsChild>
        <w:div w:id="1995254385">
          <w:marLeft w:val="0"/>
          <w:marRight w:val="0"/>
          <w:marTop w:val="0"/>
          <w:marBottom w:val="0"/>
          <w:divBdr>
            <w:top w:val="none" w:sz="0" w:space="0" w:color="auto"/>
            <w:left w:val="none" w:sz="0" w:space="0" w:color="auto"/>
            <w:bottom w:val="none" w:sz="0" w:space="0" w:color="auto"/>
            <w:right w:val="none" w:sz="0" w:space="0" w:color="auto"/>
          </w:divBdr>
          <w:divsChild>
            <w:div w:id="1005866910">
              <w:marLeft w:val="0"/>
              <w:marRight w:val="0"/>
              <w:marTop w:val="0"/>
              <w:marBottom w:val="0"/>
              <w:divBdr>
                <w:top w:val="none" w:sz="0" w:space="0" w:color="auto"/>
                <w:left w:val="none" w:sz="0" w:space="0" w:color="auto"/>
                <w:bottom w:val="none" w:sz="0" w:space="0" w:color="auto"/>
                <w:right w:val="none" w:sz="0" w:space="0" w:color="auto"/>
              </w:divBdr>
              <w:divsChild>
                <w:div w:id="1376468864">
                  <w:marLeft w:val="0"/>
                  <w:marRight w:val="0"/>
                  <w:marTop w:val="0"/>
                  <w:marBottom w:val="0"/>
                  <w:divBdr>
                    <w:top w:val="none" w:sz="0" w:space="0" w:color="auto"/>
                    <w:left w:val="none" w:sz="0" w:space="0" w:color="auto"/>
                    <w:bottom w:val="none" w:sz="0" w:space="0" w:color="auto"/>
                    <w:right w:val="none" w:sz="0" w:space="0" w:color="auto"/>
                  </w:divBdr>
                  <w:divsChild>
                    <w:div w:id="2077047154">
                      <w:marLeft w:val="0"/>
                      <w:marRight w:val="0"/>
                      <w:marTop w:val="0"/>
                      <w:marBottom w:val="0"/>
                      <w:divBdr>
                        <w:top w:val="none" w:sz="0" w:space="0" w:color="auto"/>
                        <w:left w:val="none" w:sz="0" w:space="0" w:color="auto"/>
                        <w:bottom w:val="none" w:sz="0" w:space="0" w:color="auto"/>
                        <w:right w:val="none" w:sz="0" w:space="0" w:color="auto"/>
                      </w:divBdr>
                      <w:divsChild>
                        <w:div w:id="103711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158402">
      <w:bodyDiv w:val="1"/>
      <w:marLeft w:val="0"/>
      <w:marRight w:val="0"/>
      <w:marTop w:val="0"/>
      <w:marBottom w:val="0"/>
      <w:divBdr>
        <w:top w:val="none" w:sz="0" w:space="0" w:color="auto"/>
        <w:left w:val="none" w:sz="0" w:space="0" w:color="auto"/>
        <w:bottom w:val="none" w:sz="0" w:space="0" w:color="auto"/>
        <w:right w:val="none" w:sz="0" w:space="0" w:color="auto"/>
      </w:divBdr>
      <w:divsChild>
        <w:div w:id="548882476">
          <w:marLeft w:val="0"/>
          <w:marRight w:val="0"/>
          <w:marTop w:val="0"/>
          <w:marBottom w:val="0"/>
          <w:divBdr>
            <w:top w:val="none" w:sz="0" w:space="0" w:color="auto"/>
            <w:left w:val="none" w:sz="0" w:space="0" w:color="auto"/>
            <w:bottom w:val="none" w:sz="0" w:space="0" w:color="auto"/>
            <w:right w:val="none" w:sz="0" w:space="0" w:color="auto"/>
          </w:divBdr>
        </w:div>
        <w:div w:id="557401040">
          <w:marLeft w:val="0"/>
          <w:marRight w:val="0"/>
          <w:marTop w:val="0"/>
          <w:marBottom w:val="0"/>
          <w:divBdr>
            <w:top w:val="none" w:sz="0" w:space="0" w:color="auto"/>
            <w:left w:val="none" w:sz="0" w:space="0" w:color="auto"/>
            <w:bottom w:val="none" w:sz="0" w:space="0" w:color="auto"/>
            <w:right w:val="none" w:sz="0" w:space="0" w:color="auto"/>
          </w:divBdr>
        </w:div>
        <w:div w:id="917904368">
          <w:marLeft w:val="0"/>
          <w:marRight w:val="0"/>
          <w:marTop w:val="0"/>
          <w:marBottom w:val="0"/>
          <w:divBdr>
            <w:top w:val="none" w:sz="0" w:space="0" w:color="auto"/>
            <w:left w:val="none" w:sz="0" w:space="0" w:color="auto"/>
            <w:bottom w:val="none" w:sz="0" w:space="0" w:color="auto"/>
            <w:right w:val="none" w:sz="0" w:space="0" w:color="auto"/>
          </w:divBdr>
        </w:div>
        <w:div w:id="1253004906">
          <w:marLeft w:val="0"/>
          <w:marRight w:val="0"/>
          <w:marTop w:val="0"/>
          <w:marBottom w:val="0"/>
          <w:divBdr>
            <w:top w:val="none" w:sz="0" w:space="0" w:color="auto"/>
            <w:left w:val="none" w:sz="0" w:space="0" w:color="auto"/>
            <w:bottom w:val="none" w:sz="0" w:space="0" w:color="auto"/>
            <w:right w:val="none" w:sz="0" w:space="0" w:color="auto"/>
          </w:divBdr>
        </w:div>
        <w:div w:id="1337659302">
          <w:marLeft w:val="0"/>
          <w:marRight w:val="0"/>
          <w:marTop w:val="0"/>
          <w:marBottom w:val="0"/>
          <w:divBdr>
            <w:top w:val="none" w:sz="0" w:space="0" w:color="auto"/>
            <w:left w:val="none" w:sz="0" w:space="0" w:color="auto"/>
            <w:bottom w:val="none" w:sz="0" w:space="0" w:color="auto"/>
            <w:right w:val="none" w:sz="0" w:space="0" w:color="auto"/>
          </w:divBdr>
        </w:div>
        <w:div w:id="1399672186">
          <w:marLeft w:val="0"/>
          <w:marRight w:val="0"/>
          <w:marTop w:val="0"/>
          <w:marBottom w:val="0"/>
          <w:divBdr>
            <w:top w:val="none" w:sz="0" w:space="0" w:color="auto"/>
            <w:left w:val="none" w:sz="0" w:space="0" w:color="auto"/>
            <w:bottom w:val="none" w:sz="0" w:space="0" w:color="auto"/>
            <w:right w:val="none" w:sz="0" w:space="0" w:color="auto"/>
          </w:divBdr>
        </w:div>
        <w:div w:id="1538470106">
          <w:marLeft w:val="0"/>
          <w:marRight w:val="0"/>
          <w:marTop w:val="0"/>
          <w:marBottom w:val="0"/>
          <w:divBdr>
            <w:top w:val="none" w:sz="0" w:space="0" w:color="auto"/>
            <w:left w:val="none" w:sz="0" w:space="0" w:color="auto"/>
            <w:bottom w:val="none" w:sz="0" w:space="0" w:color="auto"/>
            <w:right w:val="none" w:sz="0" w:space="0" w:color="auto"/>
          </w:divBdr>
        </w:div>
        <w:div w:id="1578132145">
          <w:marLeft w:val="0"/>
          <w:marRight w:val="0"/>
          <w:marTop w:val="0"/>
          <w:marBottom w:val="0"/>
          <w:divBdr>
            <w:top w:val="none" w:sz="0" w:space="0" w:color="auto"/>
            <w:left w:val="none" w:sz="0" w:space="0" w:color="auto"/>
            <w:bottom w:val="none" w:sz="0" w:space="0" w:color="auto"/>
            <w:right w:val="none" w:sz="0" w:space="0" w:color="auto"/>
          </w:divBdr>
        </w:div>
        <w:div w:id="1663578132">
          <w:marLeft w:val="0"/>
          <w:marRight w:val="0"/>
          <w:marTop w:val="0"/>
          <w:marBottom w:val="0"/>
          <w:divBdr>
            <w:top w:val="none" w:sz="0" w:space="0" w:color="auto"/>
            <w:left w:val="none" w:sz="0" w:space="0" w:color="auto"/>
            <w:bottom w:val="none" w:sz="0" w:space="0" w:color="auto"/>
            <w:right w:val="none" w:sz="0" w:space="0" w:color="auto"/>
          </w:divBdr>
        </w:div>
        <w:div w:id="2067681688">
          <w:marLeft w:val="0"/>
          <w:marRight w:val="0"/>
          <w:marTop w:val="0"/>
          <w:marBottom w:val="0"/>
          <w:divBdr>
            <w:top w:val="none" w:sz="0" w:space="0" w:color="auto"/>
            <w:left w:val="none" w:sz="0" w:space="0" w:color="auto"/>
            <w:bottom w:val="none" w:sz="0" w:space="0" w:color="auto"/>
            <w:right w:val="none" w:sz="0" w:space="0" w:color="auto"/>
          </w:divBdr>
        </w:div>
      </w:divsChild>
    </w:div>
    <w:div w:id="1848211223">
      <w:bodyDiv w:val="1"/>
      <w:marLeft w:val="0"/>
      <w:marRight w:val="0"/>
      <w:marTop w:val="0"/>
      <w:marBottom w:val="0"/>
      <w:divBdr>
        <w:top w:val="none" w:sz="0" w:space="0" w:color="auto"/>
        <w:left w:val="none" w:sz="0" w:space="0" w:color="auto"/>
        <w:bottom w:val="none" w:sz="0" w:space="0" w:color="auto"/>
        <w:right w:val="none" w:sz="0" w:space="0" w:color="auto"/>
      </w:divBdr>
      <w:divsChild>
        <w:div w:id="463086980">
          <w:marLeft w:val="0"/>
          <w:marRight w:val="0"/>
          <w:marTop w:val="0"/>
          <w:marBottom w:val="0"/>
          <w:divBdr>
            <w:top w:val="none" w:sz="0" w:space="0" w:color="auto"/>
            <w:left w:val="none" w:sz="0" w:space="0" w:color="auto"/>
            <w:bottom w:val="none" w:sz="0" w:space="0" w:color="auto"/>
            <w:right w:val="none" w:sz="0" w:space="0" w:color="auto"/>
          </w:divBdr>
        </w:div>
        <w:div w:id="601491986">
          <w:marLeft w:val="0"/>
          <w:marRight w:val="0"/>
          <w:marTop w:val="0"/>
          <w:marBottom w:val="0"/>
          <w:divBdr>
            <w:top w:val="none" w:sz="0" w:space="0" w:color="auto"/>
            <w:left w:val="none" w:sz="0" w:space="0" w:color="auto"/>
            <w:bottom w:val="none" w:sz="0" w:space="0" w:color="auto"/>
            <w:right w:val="none" w:sz="0" w:space="0" w:color="auto"/>
          </w:divBdr>
        </w:div>
        <w:div w:id="760567035">
          <w:marLeft w:val="0"/>
          <w:marRight w:val="0"/>
          <w:marTop w:val="0"/>
          <w:marBottom w:val="0"/>
          <w:divBdr>
            <w:top w:val="none" w:sz="0" w:space="0" w:color="auto"/>
            <w:left w:val="none" w:sz="0" w:space="0" w:color="auto"/>
            <w:bottom w:val="none" w:sz="0" w:space="0" w:color="auto"/>
            <w:right w:val="none" w:sz="0" w:space="0" w:color="auto"/>
          </w:divBdr>
        </w:div>
        <w:div w:id="939072448">
          <w:marLeft w:val="0"/>
          <w:marRight w:val="0"/>
          <w:marTop w:val="0"/>
          <w:marBottom w:val="0"/>
          <w:divBdr>
            <w:top w:val="none" w:sz="0" w:space="0" w:color="auto"/>
            <w:left w:val="none" w:sz="0" w:space="0" w:color="auto"/>
            <w:bottom w:val="none" w:sz="0" w:space="0" w:color="auto"/>
            <w:right w:val="none" w:sz="0" w:space="0" w:color="auto"/>
          </w:divBdr>
        </w:div>
        <w:div w:id="991837208">
          <w:marLeft w:val="0"/>
          <w:marRight w:val="0"/>
          <w:marTop w:val="0"/>
          <w:marBottom w:val="0"/>
          <w:divBdr>
            <w:top w:val="none" w:sz="0" w:space="0" w:color="auto"/>
            <w:left w:val="none" w:sz="0" w:space="0" w:color="auto"/>
            <w:bottom w:val="none" w:sz="0" w:space="0" w:color="auto"/>
            <w:right w:val="none" w:sz="0" w:space="0" w:color="auto"/>
          </w:divBdr>
        </w:div>
        <w:div w:id="1269193742">
          <w:marLeft w:val="0"/>
          <w:marRight w:val="0"/>
          <w:marTop w:val="0"/>
          <w:marBottom w:val="0"/>
          <w:divBdr>
            <w:top w:val="none" w:sz="0" w:space="0" w:color="auto"/>
            <w:left w:val="none" w:sz="0" w:space="0" w:color="auto"/>
            <w:bottom w:val="none" w:sz="0" w:space="0" w:color="auto"/>
            <w:right w:val="none" w:sz="0" w:space="0" w:color="auto"/>
          </w:divBdr>
        </w:div>
        <w:div w:id="1421175437">
          <w:marLeft w:val="0"/>
          <w:marRight w:val="0"/>
          <w:marTop w:val="0"/>
          <w:marBottom w:val="0"/>
          <w:divBdr>
            <w:top w:val="none" w:sz="0" w:space="0" w:color="auto"/>
            <w:left w:val="none" w:sz="0" w:space="0" w:color="auto"/>
            <w:bottom w:val="none" w:sz="0" w:space="0" w:color="auto"/>
            <w:right w:val="none" w:sz="0" w:space="0" w:color="auto"/>
          </w:divBdr>
        </w:div>
        <w:div w:id="1547913687">
          <w:marLeft w:val="0"/>
          <w:marRight w:val="0"/>
          <w:marTop w:val="0"/>
          <w:marBottom w:val="0"/>
          <w:divBdr>
            <w:top w:val="none" w:sz="0" w:space="0" w:color="auto"/>
            <w:left w:val="none" w:sz="0" w:space="0" w:color="auto"/>
            <w:bottom w:val="none" w:sz="0" w:space="0" w:color="auto"/>
            <w:right w:val="none" w:sz="0" w:space="0" w:color="auto"/>
          </w:divBdr>
        </w:div>
        <w:div w:id="1845198145">
          <w:marLeft w:val="0"/>
          <w:marRight w:val="0"/>
          <w:marTop w:val="0"/>
          <w:marBottom w:val="0"/>
          <w:divBdr>
            <w:top w:val="none" w:sz="0" w:space="0" w:color="auto"/>
            <w:left w:val="none" w:sz="0" w:space="0" w:color="auto"/>
            <w:bottom w:val="none" w:sz="0" w:space="0" w:color="auto"/>
            <w:right w:val="none" w:sz="0" w:space="0" w:color="auto"/>
          </w:divBdr>
        </w:div>
        <w:div w:id="185958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image" Target="media/image2.png"/>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eur-lex.europa.eu/legal-content/LIT/TXT/?uri=CELEX:32023L1791&amp;locale=lt"/>
  <Relationship Id="rId18" Type="http://schemas.openxmlformats.org/officeDocument/2006/relationships/hyperlink" TargetMode="External" Target="http://eur-lex.europa.eu/legal-content/LIT/TXT/?uri=CELEX:32023R0955&amp;locale=lt"/>
  <Relationship Id="rId19" Type="http://schemas.openxmlformats.org/officeDocument/2006/relationships/header" Target="header17.xml"/>
  <Relationship Id="rId2" Type="http://schemas.openxmlformats.org/officeDocument/2006/relationships/endnotes" Target="endnotes.xml"/>
  <Relationship Id="rId20" Type="http://schemas.openxmlformats.org/officeDocument/2006/relationships/header" Target="header18.xml"/>
  <Relationship Id="rId21" Type="http://schemas.openxmlformats.org/officeDocument/2006/relationships/footer" Target="footer19.xml"/>
  <Relationship Id="rId22" Type="http://schemas.openxmlformats.org/officeDocument/2006/relationships/footer" Target="footer20.xml"/>
  <Relationship Id="rId23" Type="http://schemas.openxmlformats.org/officeDocument/2006/relationships/header" Target="header19.xml"/>
  <Relationship Id="rId24" Type="http://schemas.openxmlformats.org/officeDocument/2006/relationships/footer" Target="footer21.xml"/>
  <Relationship Id="rId25" Type="http://schemas.openxmlformats.org/officeDocument/2006/relationships/hyperlink" TargetMode="External" Target="http://eur-lex.europa.eu/legal-content/LIT/TXT/?uri=CELEX:32018R2066&amp;locale=lt"/>
  <Relationship Id="rId26"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19f7c4a91e98445386e1abcd33f35f15" PartId="5ce183a7b01a48009592f6c38391b38f">
    <Part Type="preambule" DocPartId="dd17da369e424577b7a10c18cbfd9a8c" PartId="fbd6e8ef77ad4a03b65c7ba60a876107"/>
    <Part Type="punktas" Nr="1" Abbr="1 p." DocPartId="0dfad045a0fc46baa506bbb759961353" PartId="82d83868da9e49a3aae7c9f3aa46d578"/>
    <Part Type="punktas" Nr="2" Abbr="2 p." DocPartId="5939f9e674fd4e559f89817304b4482f" PartId="83fcff6d35b04657967bf439aa272249"/>
    <Part Type="signatura" DocPartId="7dcbd53ae84a484ca60ea8c99239b831" PartId="5ba2154f3dd8477b97a4028ca3265e69"/>
  </Part>
  <Part Type="patvirtinta" Title="ĮMONIŲ PAREIGŲ ĮGYVENDINANT ENERGIJOS NAUDOJIMO VADYBOS SISTEMĄ ARBA ENERGIJOS VARTOJIMO AUDITĄ BEI ŠIŲ PAREIGŲ LAIKYMOSI PRIEŽIŪROS IR ENERGIJOS VARTOJIMO AUDITO ATLIKIMO KOKYBĖS PRIEŽIŪROS TVARKOS APRAŠAS" DocPartId="4581973b02294d13a7bcb72219256b09" PartId="16a0b2c47add40f5b8abb3a32d2a8997">
    <Part Type="skyrius" Nr="1" Title="BENDROSIOS NUOSTATOS" DocPartId="3aed24272357405998fd1d70e7ec3f60" PartId="4ce8d1bbc1e947b095b0387e71ef448c">
      <Part Type="punktas" Nr="1" Abbr="1 p." DocPartId="55c275740f504876a7398669d3651a0d" PartId="12c8680ad9b34595867a40d750f6f94c"/>
      <Part Type="punktas" Nr="2" Abbr="2 p." DocPartId="f9f11994a3fb4e9ba4f69be0383c5ff2" PartId="dd86762fd4264f5781f87ff0c8c3fe93"/>
      <Part Type="punktas" Nr="3" Abbr="3 p." DocPartId="e8a4db1168fb45fc916732b7548b58fd" PartId="6c904f13238a4ebfa63323c8d53585dd"/>
      <Part Type="punktas" Nr="4" Abbr="4 p." DocPartId="67c8a1ceaed84f1281942872e35eecd6" PartId="ceaf7c3da6d74cabb0e5a88d4d712ea3"/>
      <Part Type="punktas" Nr="5" Abbr="5 p." DocPartId="0ae3ebed26ff4ddca23d2373a8855ff9" PartId="c7c3825c0f3d4e64b912e825f8d712f0"/>
      <Part Type="punktas" Nr="6" Abbr="6 p." DocPartId="21c7d0b77d4945b88e0c35fd05323b2d" PartId="c4ae3013c8cc402a934bb91b4829c9d5"/>
    </Part>
    <Part Type="skyrius" Nr="2" Title="ĮMONĖS VIDUTINIO METINIO GALUTINĖS ENERGIJOS SUVARTOJIMO APSKAIČIAVIMO METODIKA" DocPartId="5a324667061e40d09ca1e16def015269" PartId="425ecac1b1eb45749f64e31d80cede9a">
      <Part Type="punktas" Nr="7" Abbr="7 p." DocPartId="34a58901d55e4c819aacad3411db9a21" PartId="8aaab464491e4b038c6b9acf60df763a"/>
      <Part Type="punktas" Nr="8" Abbr="8 p." DocPartId="2c66a2e6648749e4a57777d9b2d96dcb" PartId="34223555d1db4f2b8a16388bd427e2b8"/>
      <Part Type="punktas" Nr="9" Abbr="9 p." DocPartId="99aa9075715a49498bcfcb25ad620754" PartId="ce4f251eaf8d4426bd63682ad96726cc"/>
      <Part Type="punktas" Nr="10" Abbr="10 p." DocPartId="5aed091429b24907993544fece59becf" PartId="f9154179d33f4cf58a14ab6047650a5e"/>
    </Part>
    <Part Type="skyrius" Nr="3" Title="ĮMONIŲ PAREIGA TEIKTI INFORMACIJĄ ENERGETIKOS MINISTRO ĮGALIOTAI INSTITUCIJAI" DocPartId="d7877e60450944fd81824d9df9d82ca4" PartId="085e8e3178e640bb8d23fdd3e979c085">
      <Part Type="punktas" Nr="11" Abbr="11 p." DocPartId="4cfd1a722af04833b2183aab12f901ab" PartId="eeb7178ddce940ba84efbceb8b811ff4"/>
      <Part Type="punktas" Nr="12" Abbr="12 p." DocPartId="dd67766c16084bfe9b032c42e4b5a01c" PartId="ef1c79a711ce44dbac6c2f5bf57d513d">
        <Part Type="papunktis" Nr="12.1" Abbr="12.1 pp." DocPartId="ec818736252f433c856a63ade0e1de0b" PartId="07c1c814cd914302babebad16bdb6871"/>
        <Part Type="papunktis" Nr="12.2" Abbr="12.2 pp." DocPartId="80a9836d90294f2a854dd14c13519342" PartId="d2bb3f00c50e4c92824953f315d7914f"/>
        <Part Type="papunktis" Nr="12.3" Abbr="12.3 pp." DocPartId="e0cfffdff6e64041ac2b0c8c6a07460a" PartId="39726cf3620a4c459152da09fd2a987d"/>
        <Part Type="papunktis" Nr="12.4" Abbr="12.4 pp." DocPartId="c6f5bbedec544d35814622b9e319b67d" PartId="9b344624a00d49bb86e14129eaf78bed"/>
        <Part Type="papunktis" Nr="12.5" Abbr="12.5 pp." DocPartId="62f82fd51ab54d7fb2440d5f0e209dfd" PartId="9d0a30af660d439d93b5b03b618c71a6"/>
      </Part>
    </Part>
    <Part Type="skyrius" Nr="4" Title="ĮMONIŲ PAREIGŲ LAIKYMOSI PRIEŽIŪROS REIKALAVIMAI BEI ENERGIJOS VARTOJIMO AUDITO ATLIKIMO KOKYBĖS KRITERIJAI" DocPartId="9f6fc9e1cd2f4610986a5014fd6642b1" PartId="b6fa7e4ca4a8469a85f2211617445ac7">
      <Part Type="punktas" Nr="13" Abbr="13 p." DocPartId="4b58c4d612694c7eba3b813f7c97ebd2" PartId="bfa010ad499e4626be7c93d3a7be3223"/>
      <Part Type="punktas" Nr="14" Abbr="14 p." DocPartId="bd333246f4ff4a86af24275a91502d98" PartId="5e1c6ba41733478dbc7e35ca92ee93fe"/>
      <Part Type="punktas" Nr="15" Abbr="15 p." DocPartId="1b5ea246c10b463ca5fa6f61a0f1c958" PartId="e030de0ab01c47269125b07543761d52"/>
      <Part Type="punktas" Nr="16" Abbr="16 p." DocPartId="90f9625cb08647a0972dc39cdb28c5d2" PartId="efb6cdf864be4a8995118eb37fe6f650"/>
      <Part Type="punktas" Nr="17" Abbr="17 p." DocPartId="bfa944810acf4d52b8ca4d2804426c06" PartId="db54ca8163234549a4aaa2b944f47c9e"/>
      <Part Type="punktas" Nr="18" Abbr="18 p." DocPartId="8f70221fbaa2433bb2aba085e448b997" PartId="1458c7870b3c4841b921c8bd6dbd59d3"/>
    </Part>
    <Part Type="skyrius" Nr="5" Title="ĮMONIŲ PAREIGOMS TAIKOMOS IŠIMTYS IR KITI KRITERIJAI" DocPartId="7d1ed07bc6dc4d7dba63782abdff8f64" PartId="28d4ff9949c94b8288e0694192e03198">
      <Part Type="punktas" Nr="19" Abbr="19 p." DocPartId="b5e4bbb146cc454b90001c54b3e201a7" PartId="443e5a1cc552404ebc7a6f44200a7e9e"/>
      <Part Type="punktas" Nr="20" Abbr="20 p." DocPartId="599f5e9f3c99466194ff52806af99417" PartId="d111060557e742c8bc0db03ffa5d612b"/>
      <Part Type="punktas" Nr="21" Abbr="21 p." DocPartId="89fd8c4c7a924c94a4f0376c59bd7b50" PartId="45ecea675abe43df97908aae9eee04cd">
        <Part Type="papunktis" Nr="21.1" Abbr="21.1 pp." DocPartId="71e0483faff54d9fbfc7c16fbabbb157" PartId="ae541c9ac62e468b9ac3f90033183934"/>
        <Part Type="papunktis" Nr="21.2" Abbr="21.2 pp." DocPartId="f967a6b9ab34418e86a930ea3858e691" PartId="ba9f3500331243a2be99016684a60f0a"/>
      </Part>
      <Part Type="punktas" Nr="22" Abbr="22 p." DocPartId="69b19d7ce4904b8b98b15d4d07f8e04d" PartId="e9477d5cba3141d49ae1a2d7a8cab50c"/>
      <Part Type="punktas" Nr="23" Abbr="23 p." DocPartId="c82bc2b385334b7d9bb2ecc1cae9fb42" PartId="50f7be673fc545bdac4e96868d51aaef"/>
      <Part Type="punktas" Nr="24" Abbr="24 p." DocPartId="37b90d7c00fb4fc8b7e853568ed852a3" PartId="25897975eb10472cadf2ea83dead2aec"/>
    </Part>
    <Part Type="skyrius" Nr="6" Title="BAIGIAMOSIOS NUOSTATOS" DocPartId="73b5b83ca26b4222bd13d00bcf915225" PartId="7b85e9d0d3b44a3fae93f71c6dcd79dd">
      <Part Type="punktas" Nr="25" Abbr="25 p." DocPartId="b95bdde4719445d888c043a70b7c3e75" PartId="4c0717ac88104971a91b0d7f6b0e2794"/>
    </Part>
    <Part Type="pabaiga" DocPartId="7f9dcba06ba245ad8f31a1b30a6a1e2b" PartId="424ed619567c43e3ac091c368854da9f"/>
  </Part>
</Parts>
</file>

<file path=customXml/itemProps1.xml><?xml version="1.0" encoding="utf-8"?>
<ds:datastoreItem xmlns:ds="http://schemas.openxmlformats.org/officeDocument/2006/customXml" ds:itemID="{91EFE494-FEDC-4DFF-94C0-E554D3F3B203}">
  <ds:schemaRefs>
    <ds:schemaRef ds:uri="http://schemas.openxmlformats.org/officeDocument/2006/bibliography"/>
  </ds:schemaRefs>
</ds:datastoreItem>
</file>

<file path=customXml/itemProps2.xml><?xml version="1.0" encoding="utf-8"?>
<ds:datastoreItem xmlns:ds="http://schemas.openxmlformats.org/officeDocument/2006/customXml" ds:itemID="{23EEBCE4-99E0-49FD-8E80-9736F2E5DCDB}">
  <ds:schemaRefs>
    <ds:schemaRef ds:uri="http://lrs.lt/TAIS/DocParts"/>
  </ds:schemaRefs>
</ds:datastoreItem>
</file>

<file path=docProps/app.xml><?xml version="1.0" encoding="utf-8"?>
<Properties xmlns="http://schemas.openxmlformats.org/officeDocument/2006/extended-properties">
  <Template>Normal</Template>
  <TotalTime>13</TotalTime>
  <Pages>12</Pages>
  <Words>19746</Words>
  <Characters>11256</Characters>
  <Application>Microsoft Office Word</Application>
  <DocSecurity>0</DocSecurity>
  <Lines>93</Lines>
  <Paragraphs>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Microsoft</Company>
  <LinksUpToDate>false</LinksUpToDate>
  <CharactersWithSpaces>30941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2017-09-12T07:35:00Z</dcterms:created>
  <dc:creator>Rasa Vitkauskaitė</dc:creator>
  <lastModifiedBy>PABIJŪNĖ Agnė</lastModifiedBy>
  <lastPrinted>2017-02-20T15:01:00Z</lastPrinted>
  <dcterms:modified xsi:type="dcterms:W3CDTF">2026-06-02T08:42:00Z</dcterms:modified>
  <revision>16</revision>
</coreProperties>
</file>