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rPr>
              <w:rFonts w:ascii="Times New Roman" w:hAnsi="Times New Roman"/>
              <w:b/>
              <w:i/>
            </w:rPr>
          </w:pPr>
          <w:r>
            <w:rPr>
              <w:rFonts w:ascii="Times New Roman" w:hAnsi="Times New Roman"/>
              <w:b/>
              <w:i/>
            </w:rPr>
            <w:t>Įsakymas netenka galios 2026-03-01:</w:t>
          </w:r>
        </w:p>
        <w:p>
          <w:pPr>
            <w:jc w:val="both"/>
            <w:rPr>
              <w:rFonts w:ascii="Times New Roman" w:hAnsi="Times New Roman"/>
              <w:i/>
            </w:rPr>
          </w:pPr>
          <w:r>
            <w:rPr>
              <w:rFonts w:ascii="Times New Roman" w:hAnsi="Times New Roman"/>
              <w:sz w:val="20"/>
              <w:i/>
            </w:rPr>
            <w:t>
                    Klaipėdos miesto savivaldybės administracija,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e9e5b501cc2f11f08918e1adc7c5b1ec">
            <w:r w:rsidRPr="00532B9F">
              <w:rPr>
                <w:rFonts w:ascii="Times New Roman" w:eastAsia="MS Mincho" w:hAnsi="Times New Roman"/>
                <w:sz w:val="20"/>
                <w:i/>
                <w:iCs/>
                <w:color w:val="0000FF" w:themeColor="hyperlink"/>
                <w:u w:val="single"/>
              </w:rPr>
              <w:t>AD1-920</w:t>
            </w:r>
          </w:fldSimple>
          <w:r>
            <w:rPr>
              <w:rFonts w:ascii="Times New Roman" w:eastAsia="MS Mincho" w:hAnsi="Times New Roman"/>
              <w:sz w:val="20"/>
              <w:iCs/>
              <w:i/>
            </w:rPr>
            <w:t>,
2025-11-28,
paskelbta TAR 2025-12-01, i. k. 2025-20227                </w:t>
          </w:r>
        </w:p>
        <w:p>
          <w:pPr>
            <w:jc w:val="both"/>
            <w:rPr>
              <w:rFonts w:ascii="Times New Roman" w:hAnsi="Times New Roman"/>
              <w:i/>
            </w:rPr>
          </w:pPr>
          <w:r>
            <w:rPr>
              <w:rFonts w:ascii="Times New Roman" w:hAnsi="Times New Roman"/>
              <w:sz w:val="20"/>
              <w:i/>
            </w:rPr>
            <w:t>Dėl Klaipėdos miesto savivaldybės viešųjų vietų prekiauti ir teikti paslaugas nuo (iš) laikinųjų įrenginių išdėstymo adresų sąrašo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2025-10-01 iki 2026-02-28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7efbd00826ff4366b5884f0000477275"/>
            <w:lock w:val="sdtLocked"/>
            <w:richText/>
          </w:sdtPr>
          <w:sdtContent>
            <w:p>
              <w:pPr>
                <w:jc w:val="both"/>
                <w:rPr>
                  <w:color w:val="000000"/>
                  <w:szCs w:val="24"/>
                  <w:lang w:eastAsia="lt-LT"/>
                </w:rPr>
              </w:pPr>
              <w:sdt>
                <w:sdtPr>
                  <w:alias w:val="Numeris"/>
                  <w:tag w:val="nr_7efbd00826ff4366b5884f0000477275"/>
                  <w:lock w:val="sdtLocked"/>
                  <w:richText/>
                </w:sdtPr>
                <w:sdtContent>
                  <w:r>
                    <w:rPr>
                      <w:color w:val="000000"/>
                      <w:szCs w:val="24"/>
                      <w:lang w:eastAsia="lt-LT"/>
                    </w:rPr>
                    <w:t>5</w:t>
                  </w:r>
                </w:sdtContent>
              </w:sdt>
              <w:r>
                <w:rPr>
                  <w:color w:val="000000"/>
                  <w:szCs w:val="24"/>
                  <w:lang w:eastAsia="lt-LT"/>
                </w:rPr>
                <w:t>. Vietos prekiauti paviljonuose ar laikinuose kilnojamuose įrenginiuose (tik prekyba žuvimi ir jos produkcija ar greito maisto produkcija):</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5.1.</w:t>
                    </w:r>
                  </w:p>
                </w:tc>
                <w:tc>
                  <w:tcPr>
                    <w:tcW w:w="621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5.2.</w:t>
                    </w:r>
                  </w:p>
                  <w:p>
                    <w:pPr>
                      <w:spacing w:line="276" w:lineRule="atLeast"/>
                      <w:jc w:val="center"/>
                      <w:rPr>
                        <w:szCs w:val="24"/>
                        <w:lang w:eastAsia="lt-LT"/>
                      </w:rPr>
                    </w:pPr>
                    <w:r>
                      <w:rPr>
                        <w:szCs w:val="24"/>
                        <w:lang w:eastAsia="lt-LT"/>
                      </w:rPr>
                      <w:t>5.3</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žiočių²</w:t>
                    </w:r>
                  </w:p>
                  <w:p>
                    <w:pPr>
                      <w:spacing w:line="276" w:lineRule="atLeast"/>
                      <w:jc w:val="both"/>
                      <w:rPr>
                        <w:szCs w:val="24"/>
                        <w:lang w:eastAsia="lt-LT"/>
                      </w:rPr>
                    </w:pPr>
                    <w:r>
                      <w:rPr>
                        <w:color w:val="000000"/>
                        <w:szCs w:val="24"/>
                        <w:lang w:eastAsia="lt-LT"/>
                      </w:rPr>
                      <w:t>Liepojos g. 27 prie prekybos centro</w:t>
                    </w:r>
                    <w:r>
                      <w:rPr>
                        <w:color w:val="000000"/>
                        <w:szCs w:val="24"/>
                        <w:vertAlign w:val="superscript"/>
                        <w:lang w:eastAsia="lt-LT"/>
                      </w:rPr>
                      <w:t>3</w:t>
                    </w:r>
                  </w:p>
                  <w:p>
                    <w:pPr>
                      <w:spacing w:line="276" w:lineRule="atLeast"/>
                      <w:jc w:val="both"/>
                      <w:rPr>
                        <w:szCs w:val="24"/>
                        <w:lang w:eastAsia="lt-LT"/>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1</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20</w:t>
                    </w:r>
                  </w:p>
                </w:tc>
              </w:tr>
            </w:tbl>
            <w:p>
              <w:pPr>
                <w:ind w:right="1134"/>
                <w:rPr>
                  <w:color w:val="000000"/>
                  <w:szCs w:val="24"/>
                  <w:lang w:eastAsia="lt-LT"/>
                </w:rPr>
              </w:pPr>
              <w:r>
                <w:rPr>
                  <w:color w:val="000000"/>
                  <w:szCs w:val="24"/>
                  <w:lang w:eastAsia="lt-LT"/>
                </w:rPr>
                <w:t>Iš viso: 6</w:t>
              </w:r>
            </w:p>
            <w:p>
              <w:pPr>
                <w:jc w:val="both"/>
                <w:rPr>
                  <w:color w:val="000000"/>
                  <w:szCs w:val="24"/>
                  <w:lang w:eastAsia="lt-LT"/>
                </w:rPr>
              </w:pPr>
              <w:r>
                <w:rPr>
                  <w:color w:val="000000"/>
                  <w:szCs w:val="24"/>
                  <w:lang w:eastAsia="lt-LT"/>
                </w:rPr>
                <w:t xml:space="preserve">¹  Priede Nr. 2 pažymėtose vietose Nr. 1, 2, 4 leidžiama prekiauti tik žuvimi ir jos produkcija.</w:t>
              </w:r>
            </w:p>
            <w:p>
              <w:pPr>
                <w:jc w:val="both"/>
                <w:rPr>
                  <w:color w:val="000000"/>
                  <w:szCs w:val="24"/>
                  <w:lang w:eastAsia="lt-LT"/>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p>
            <w:p>
              <w:pPr>
                <w:jc w:val="both"/>
                <w:rPr>
                  <w:szCs w:val="24"/>
                </w:rPr>
              </w:pPr>
              <w:r>
                <w:rPr>
                  <w:color w:val="000000"/>
                  <w:szCs w:val="24"/>
                  <w:vertAlign w:val="superscript"/>
                  <w:lang w:eastAsia="lt-LT"/>
                </w:rPr>
                <w:t>3</w:t>
              </w:r>
              <w:r>
                <w:rPr>
                  <w:color w:val="000000"/>
                  <w:szCs w:val="24"/>
                  <w:lang w:eastAsia="lt-LT"/>
                </w:rPr>
                <w:t xml:space="preserve"> Prekiauti žuvimi ir žuvies produktais leidžiama pateikus prekybos centro vystytojo sutikimą naudotis elektra.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a0231fa882844e218faa3bf82928ad4b"/>
            <w:lock w:val="sdtLocked"/>
            <w:richText/>
          </w:sdtPr>
          <w:sdtContent>
            <w:p>
              <w:pPr>
                <w:jc w:val="both"/>
                <w:rPr>
                  <w:color w:val="000000"/>
                  <w:szCs w:val="24"/>
                  <w:lang w:eastAsia="lt-LT"/>
                </w:rPr>
              </w:pPr>
              <w:sdt>
                <w:sdtPr>
                  <w:alias w:val="Numeris"/>
                  <w:tag w:val="nr_a0231fa882844e218faa3bf82928ad4b"/>
                  <w:lock w:val="sdtLocked"/>
                  <w:richText/>
                </w:sdtPr>
                <w:sdtContent>
                  <w:r>
                    <w:rPr>
                      <w:color w:val="000000"/>
                      <w:szCs w:val="24"/>
                      <w:lang w:eastAsia="lt-LT"/>
                    </w:rPr>
                    <w:t>8</w:t>
                  </w:r>
                </w:sdtContent>
              </w:sdt>
              <w:r>
                <w:rPr>
                  <w:color w:val="000000"/>
                  <w:szCs w:val="24"/>
                  <w:lang w:eastAsia="lt-LT"/>
                </w:rPr>
                <w:t>. Vietos prekiauti suvenyrais nuo (iš) laikinųjų įrenginių:</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8.1.</w:t>
                    </w:r>
                  </w:p>
                </w:tc>
                <w:tc>
                  <w:tcPr>
                    <w:tcW w:w="621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bl>
            <w:p>
              <w:pPr>
                <w:ind w:right="1133"/>
                <w:rPr>
                  <w:color w:val="000000"/>
                  <w:szCs w:val="24"/>
                  <w:lang w:eastAsia="lt-LT"/>
                </w:rPr>
              </w:pPr>
              <w:r>
                <w:rPr>
                  <w:color w:val="000000"/>
                  <w:szCs w:val="24"/>
                  <w:lang w:eastAsia="lt-LT"/>
                </w:rPr>
                <w:t>Iš viso: 33</w:t>
              </w:r>
            </w:p>
            <w:p>
              <w:pPr>
                <w:jc w:val="both"/>
                <w:rPr>
                  <w:color w:val="000000"/>
                  <w:szCs w:val="24"/>
                  <w:lang w:eastAsia="lt-LT"/>
                </w:rPr>
              </w:pPr>
              <w:r>
                <w:rPr>
                  <w:color w:val="000000"/>
                  <w:szCs w:val="24"/>
                  <w:lang w:eastAsia="lt-LT"/>
                </w:rPr>
                <w:t>¹Prekyba tik suvenyrais iš gintaro ir jo gaminių.</w:t>
              </w:r>
            </w:p>
            <w:p>
              <w:pPr>
                <w:jc w:val="both"/>
                <w:rPr>
                  <w:color w:val="000000"/>
                  <w:szCs w:val="24"/>
                  <w:lang w:eastAsia="lt-LT"/>
                </w:rPr>
              </w:pPr>
              <w:r>
                <w:rPr>
                  <w:color w:val="000000"/>
                  <w:szCs w:val="24"/>
                  <w:lang w:eastAsia="lt-LT"/>
                </w:rPr>
                <w:t>²Leidimas veiklai išduodamas tik pateikus Kuršių nerijos nacionalinio parko direkcijos sutikimą.</w:t>
              </w:r>
            </w:p>
            <w:p>
              <w:pPr>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44e11cee639e49e7853734fde8cdbb5f"/>
            <w:lock w:val="sdtLocked"/>
            <w:richText/>
          </w:sdtPr>
          <w:sdtContent>
            <w:p>
              <w:pPr>
                <w:tabs>
                  <w:tab w:val="left" w:pos="1134"/>
                </w:tabs>
                <w:jc w:val="both"/>
                <w:rPr>
                  <w:color w:val="000000"/>
                  <w:szCs w:val="24"/>
                  <w:lang w:eastAsia="lt-LT"/>
                </w:rPr>
              </w:pPr>
              <w:sdt>
                <w:sdtPr>
                  <w:alias w:val="Numeris"/>
                  <w:tag w:val="nr_44e11cee639e49e7853734fde8cdbb5f"/>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9609"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1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88"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1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19" w:type="dxa"/>
                    <w:tcBorders>
                      <w:top w:val="nil"/>
                      <w:left w:val="nil"/>
                      <w:bottom w:val="nil"/>
                      <w:right w:val="single" w:sz="12" w:space="0" w:color="auto"/>
                    </w:tcBorders>
                    <w:tcMar>
                      <w:top w:w="0" w:type="dxa"/>
                      <w:left w:w="108" w:type="dxa"/>
                      <w:bottom w:w="0" w:type="dxa"/>
                      <w:right w:w="108" w:type="dxa"/>
                    </w:tcMar>
                  </w:tcPr>
                  <w:p>
                    <w:r>
                      <w:t>II Melnragės paplūdimio prieigos</w:t>
                    </w:r>
                  </w:p>
                </w:tc>
                <w:tc>
                  <w:tcPr>
                    <w:tcW w:w="1982" w:type="dxa"/>
                    <w:tcBorders>
                      <w:top w:val="nil"/>
                      <w:left w:val="nil"/>
                      <w:bottom w:val="nil"/>
                      <w:right w:val="single" w:sz="12" w:space="0" w:color="auto"/>
                    </w:tcBorders>
                    <w:tcMar>
                      <w:top w:w="0" w:type="dxa"/>
                      <w:left w:w="108" w:type="dxa"/>
                      <w:bottom w:w="0" w:type="dxa"/>
                      <w:right w:w="108" w:type="dxa"/>
                    </w:tcMar>
                  </w:tcPr>
                  <w:p>
                    <w:pPr>
                      <w:jc w:val="center"/>
                    </w:pPr>
                    <w:r>
                      <w:t>3</w:t>
                    </w:r>
                  </w:p>
                </w:tc>
                <w:tc>
                  <w:tcPr>
                    <w:tcW w:w="1288" w:type="dxa"/>
                    <w:tcBorders>
                      <w:top w:val="nil"/>
                      <w:left w:val="nil"/>
                      <w:bottom w:val="nil"/>
                      <w:right w:val="single" w:sz="12" w:space="0" w:color="auto"/>
                    </w:tcBorders>
                    <w:tcMar>
                      <w:top w:w="0" w:type="dxa"/>
                      <w:left w:w="108" w:type="dxa"/>
                      <w:bottom w:w="0" w:type="dxa"/>
                      <w:right w:w="108" w:type="dxa"/>
                    </w:tcMar>
                  </w:tcPr>
                  <w:p>
                    <w:pPr>
                      <w:jc w:val="center"/>
                    </w:pPr>
                    <w: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i/>
                        <w:sz w:val="22"/>
                        <w:szCs w:val="24"/>
                        <w:lang w:eastAsia="lt-LT"/>
                      </w:rPr>
                      <w:t>Neteko galios nuo 2025-08-09</w:t>
                    </w:r>
                  </w:p>
                </w:tc>
                <w:tc>
                  <w:tcPr>
                    <w:tcW w:w="1982" w:type="dxa"/>
                    <w:tcBorders>
                      <w:top w:val="nil"/>
                      <w:left w:val="nil"/>
                      <w:bottom w:val="nil"/>
                      <w:right w:val="single" w:sz="12" w:space="0" w:color="auto"/>
                    </w:tcBorders>
                    <w:tcMar>
                      <w:top w:w="0" w:type="dxa"/>
                      <w:left w:w="108" w:type="dxa"/>
                      <w:bottom w:w="0" w:type="dxa"/>
                      <w:right w:w="108" w:type="dxa"/>
                    </w:tcMar>
                  </w:tcPr>
                  <w:p>
                    <w:pPr>
                      <w:spacing w:line="276" w:lineRule="atLeast"/>
                      <w:jc w:val="center"/>
                      <w:rPr>
                        <w:szCs w:val="24"/>
                        <w:lang w:eastAsia="lt-LT"/>
                      </w:rPr>
                    </w:pPr>
                  </w:p>
                </w:tc>
                <w:tc>
                  <w:tcPr>
                    <w:tcW w:w="1288" w:type="dxa"/>
                    <w:tcBorders>
                      <w:top w:val="nil"/>
                      <w:left w:val="nil"/>
                      <w:bottom w:val="nil"/>
                      <w:right w:val="single" w:sz="12" w:space="0" w:color="auto"/>
                    </w:tcBorders>
                    <w:tcMar>
                      <w:top w:w="0" w:type="dxa"/>
                      <w:left w:w="108" w:type="dxa"/>
                      <w:bottom w:w="0" w:type="dxa"/>
                      <w:right w:w="108" w:type="dxa"/>
                    </w:tcMar>
                  </w:tcPr>
                  <w:p>
                    <w:pPr>
                      <w:spacing w:line="276" w:lineRule="atLeast"/>
                      <w:jc w:val="center"/>
                      <w:rPr>
                        <w:szCs w:val="24"/>
                        <w:lang w:eastAsia="lt-LT"/>
                      </w:rPr>
                    </w:pP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1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19"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88"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3c832aaa4e264ceb81342da6e61d266e"/>
            <w:lock w:val="sdtLocked"/>
            <w:richText/>
          </w:sdtPr>
          <w:sdtContent>
            <w:p>
              <w:pPr>
                <w:keepNext/>
                <w:tabs>
                  <w:tab w:val="left" w:pos="5387"/>
                </w:tabs>
                <w:jc w:val="both"/>
                <w:outlineLvl w:val="1"/>
                <w:rPr>
                  <w:b/>
                  <w:caps/>
                  <w:color w:val="000000"/>
                  <w:szCs w:val="24"/>
                  <w:lang w:val="en-US" w:eastAsia="lt-LT"/>
                </w:rPr>
              </w:pPr>
              <w:sdt>
                <w:sdtPr>
                  <w:alias w:val="Numeris"/>
                  <w:tag w:val="nr_3c832aaa4e264ceb81342da6e61d266e"/>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i/>
                        <w:color w:val="000000"/>
                        <w:sz w:val="20"/>
                        <w:lang w:eastAsia="lt-LT"/>
                      </w:rPr>
                    </w:pPr>
                    <w:r>
                      <w:rPr>
                        <w:i/>
                        <w:color w:val="000000"/>
                        <w:sz w:val="20"/>
                        <w:lang w:eastAsia="lt-LT"/>
                      </w:rPr>
                      <w:t>Neteko galios nuo 2025-06-06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ec12258776d345118a1ec0894505e47a"/>
            <w:lock w:val="sdtLocked"/>
            <w:richText/>
          </w:sdtPr>
          <w:sdtContent>
            <w:p>
              <w:pPr>
                <w:jc w:val="both"/>
                <w:rPr>
                  <w:b/>
                  <w:color w:val="000000"/>
                  <w:szCs w:val="24"/>
                  <w:lang w:eastAsia="lt-LT"/>
                </w:rPr>
              </w:pPr>
              <w:sdt>
                <w:sdtPr>
                  <w:alias w:val="Numeris"/>
                  <w:tag w:val="nr_ec12258776d345118a1ec0894505e47a"/>
                  <w:lock w:val="sdtLocked"/>
                  <w:richText/>
                </w:sdtPr>
                <w:sdtContent>
                  <w:r>
                    <w:rPr>
                      <w:b/>
                      <w:color w:val="000000"/>
                      <w:szCs w:val="24"/>
                      <w:lang w:eastAsia="lt-LT"/>
                    </w:rPr>
                    <w:t>15</w:t>
                  </w:r>
                </w:sdtContent>
              </w:sdt>
              <w:r>
                <w:rPr>
                  <w:b/>
                  <w:color w:val="000000"/>
                  <w:szCs w:val="24"/>
                  <w:lang w:eastAsia="lt-LT"/>
                </w:rPr>
                <w:t>. Vietos prekiauti pramoninės gamybos fasuotais ledais ir gaiviaisiais gėrimais iš šaldomų vežimėlių</w:t>
              </w:r>
            </w:p>
            <w:p>
              <w:pPr>
                <w:jc w:val="both"/>
                <w:rPr>
                  <w:color w:val="000000"/>
                  <w:szCs w:val="24"/>
                  <w:lang w:eastAsia="lt-LT"/>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w:t>
                    </w:r>
                  </w:p>
                  <w:p>
                    <w:pPr>
                      <w:spacing w:line="276" w:lineRule="atLeast"/>
                      <w:jc w:val="center"/>
                      <w:rPr>
                        <w:szCs w:val="24"/>
                        <w:lang w:eastAsia="lt-LT"/>
                      </w:rPr>
                    </w:pPr>
                    <w:r>
                      <w:rPr>
                        <w:color w:val="000000"/>
                        <w:szCs w:val="24"/>
                        <w:lang w:eastAsia="lt-LT"/>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 (maksimalus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rPr>
                  <w:trHeight w:val="270"/>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15.4.</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15.5.</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H. Manto g. ties Danės krantine, kairė pusė link miesto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15.6.</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Tiltų g. 1 ties Danės krantine</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15.7.</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Sausio 15-sios g. 8</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15.8.</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UAB „Senasis turgus“ prieigos, dešinė pusė link turgaus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15.9.</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15.10.</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Kūlių Vartų g. 3</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15.14.</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 Girulių paplūdimio prieigos, betonuota aikštelė</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15.15.</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senosios perkėlos prieigos, takas į paplūdimį²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15.16.</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senosios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15.17.</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g. 4 prie Delfinariumo¹</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15.18.</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15.19.</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naujosios perkėlos paplūdimio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15.20.</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II Melnragės paplūdimio prieigos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II Melnragės paplūdimio prieigos, prie gelbėjimo stoties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Neįgaliųjų paplūdimio prieigos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Danės g. perkėlos į Smiltynę prieigos, dešinė Danės upės pusė link Šiaurinio rago</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15.24.</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Audros g. 2A</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15.25.</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Danės skveras, ruožas nuo Arkos paminklo iki žvejo skulptūros</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15.26.</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 ir jo prieigos (išskyrus atrakcionų (laipynių)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 (4)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15.27.</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prieigose</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15.28.</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ties keleivių įlaipinimo–išlaipinimo vieta²</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15.29.</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15.30.</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Žvejų g. 20 mažųjų laivų uostelio krantinėje</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15.31.</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r>
                      <w:rPr>
                        <w:color w:val="000000"/>
                        <w:szCs w:val="24"/>
                        <w:vertAlign w:val="superscript"/>
                        <w:lang w:eastAsia="lt-LT"/>
                      </w:rPr>
                      <w:t>3</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15.32.</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15.33.</w:t>
                    </w:r>
                  </w:p>
                </w:tc>
                <w:tc>
                  <w:tcPr>
                    <w:tcW w:w="557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843"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15.34.</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 prie įėjimo į bendrąjį paplūdimį²</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(1)</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13</w:t>
                    </w:r>
                  </w:p>
                </w:tc>
              </w:tr>
            </w:tbl>
            <w:p>
              <w:pPr>
                <w:ind w:right="1983"/>
                <w:rPr>
                  <w:color w:val="000000"/>
                  <w:szCs w:val="24"/>
                  <w:lang w:eastAsia="lt-LT"/>
                </w:rPr>
              </w:pPr>
              <w:r>
                <w:rPr>
                  <w:color w:val="000000"/>
                  <w:szCs w:val="24"/>
                  <w:lang w:eastAsia="lt-LT"/>
                </w:rPr>
                <w:t>Iš viso: 45</w:t>
              </w:r>
            </w:p>
            <w:p>
              <w:pPr>
                <w:jc w:val="both"/>
                <w:rPr>
                  <w:color w:val="000000"/>
                  <w:szCs w:val="24"/>
                  <w:lang w:eastAsia="lt-LT"/>
                </w:rPr>
              </w:pPr>
              <w:r>
                <w:rPr>
                  <w:color w:val="000000"/>
                  <w:szCs w:val="24"/>
                  <w:lang w:eastAsia="lt-LT"/>
                </w:rPr>
                <w:t>¹Prekyba ledais ir gaiviaisiais gėrimais iš šaldomų vežimėlių vykdoma tik gavus Lietuvos jūrų muziejaus-delfinariumo administracijos sutikimą.</w:t>
              </w:r>
            </w:p>
            <w:p>
              <w:pPr>
                <w:jc w:val="both"/>
                <w:rPr>
                  <w:color w:val="000000"/>
                  <w:szCs w:val="24"/>
                  <w:lang w:eastAsia="lt-LT"/>
                </w:rPr>
              </w:pPr>
              <w:r>
                <w:rPr>
                  <w:color w:val="000000"/>
                  <w:szCs w:val="24"/>
                  <w:lang w:eastAsia="lt-LT"/>
                </w:rPr>
                <w:t>²Leidimas veiklai išduodamas tik pateikus Kuršių nerijos nacionalinio parko direkcijos sutikimą.</w:t>
              </w:r>
            </w:p>
            <w:p>
              <w:pPr>
                <w:jc w:val="both"/>
                <w:rPr>
                  <w:b/>
                  <w:bCs/>
                  <w:color w:val="000000"/>
                  <w:szCs w:val="24"/>
                  <w:lang w:eastAsia="lt-LT"/>
                </w:rPr>
              </w:pPr>
              <w:r>
                <w:rPr>
                  <w:color w:val="000000"/>
                  <w:szCs w:val="24"/>
                  <w:vertAlign w:val="superscript"/>
                  <w:lang w:eastAsia="lt-LT"/>
                </w:rPr>
                <w:t>3</w:t>
              </w:r>
              <w:r>
                <w:rPr>
                  <w:color w:val="000000"/>
                  <w:szCs w:val="24"/>
                  <w:lang w:eastAsia="lt-LT"/>
                </w:rPr>
                <w:t xml:space="preserve">Leidimas veiklai išduodamas tik pateikus sklypo valdytojo sutikimą vykdyti prekybą. </w:t>
              </w:r>
            </w:p>
            <w:p>
              <w:pPr>
                <w:jc w:val="both"/>
                <w:rPr>
                  <w:color w:val="000000"/>
                  <w:szCs w:val="24"/>
                  <w:lang w:eastAsia="lt-LT"/>
                </w:rPr>
              </w:pPr>
              <w:r>
                <w:rPr>
                  <w:color w:val="000000"/>
                  <w:szCs w:val="24"/>
                  <w:lang w:eastAsia="lt-LT"/>
                </w:rPr>
                <w:t>Vieno šaldomo vežimėlio užimamas plotas negali būti didesnis kaip 2,00 m</w:t>
              </w:r>
              <w:r>
                <w:rPr>
                  <w:color w:val="000000"/>
                  <w:szCs w:val="24"/>
                  <w:vertAlign w:val="superscript"/>
                  <w:lang w:eastAsia="lt-LT"/>
                </w:rPr>
                <w:t>2</w:t>
              </w:r>
              <w:r>
                <w:rPr>
                  <w:color w:val="000000"/>
                  <w:szCs w:val="24"/>
                  <w:lang w:eastAsia="lt-LT"/>
                </w:rPr>
                <w:t>.</w:t>
              </w:r>
            </w:p>
            <w:p>
              <w:pPr>
                <w:jc w:val="both"/>
                <w:rPr>
                  <w:szCs w:val="24"/>
                </w:rPr>
              </w:pPr>
              <w:r>
                <w:rPr>
                  <w:color w:val="000000"/>
                  <w:szCs w:val="24"/>
                  <w:lang w:eastAsia="lt-LT"/>
                </w:rPr>
                <w:t>Veikla vykdoma nuo balandžio 1 d. iki spalio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2adc63e8a5ee40f3800f79c9034c1279"/>
            <w:lock w:val="sdtLocked"/>
            <w:richText/>
          </w:sdtPr>
          <w:sdtContent>
            <w:p>
              <w:pPr>
                <w:jc w:val="both"/>
                <w:rPr>
                  <w:color w:val="000000"/>
                  <w:szCs w:val="24"/>
                  <w:lang w:eastAsia="lt-LT"/>
                </w:rPr>
              </w:pPr>
              <w:sdt>
                <w:sdtPr>
                  <w:alias w:val="Numeris"/>
                  <w:tag w:val="nr_2adc63e8a5ee40f3800f79c9034c1279"/>
                  <w:lock w:val="sdtLocked"/>
                  <w:richText/>
                </w:sdtPr>
                <w:sdtContent>
                  <w:r>
                    <w:rPr>
                      <w:color w:val="000000"/>
                      <w:szCs w:val="24"/>
                      <w:lang w:eastAsia="lt-LT"/>
                    </w:rPr>
                    <w:t>17</w:t>
                  </w:r>
                </w:sdtContent>
              </w:sdt>
              <w:r>
                <w:rPr>
                  <w:color w:val="000000"/>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firstLine="124"/>
                <w:jc w:val="both"/>
                <w:rPr>
                  <w:color w:val="000000"/>
                  <w:szCs w:val="24"/>
                  <w:lang w:eastAsia="lt-LT"/>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w:t>
                    </w:r>
                    <w:r>
                      <w:rPr>
                        <w:color w:val="000000"/>
                        <w:szCs w:val="24"/>
                        <w:vertAlign w:val="superscript"/>
                        <w:lang w:eastAsia="lt-L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senasis paplūdimys</w:t>
                    </w:r>
                    <w:r>
                      <w:rPr>
                        <w:color w:val="000000"/>
                        <w:szCs w:val="24"/>
                        <w:vertAlign w:val="superscript"/>
                        <w:lang w:eastAsia="lt-L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naujasis paplūdimys</w:t>
                    </w:r>
                    <w:r>
                      <w:rPr>
                        <w:color w:val="000000"/>
                        <w:szCs w:val="24"/>
                        <w:vertAlign w:val="superscript"/>
                        <w:lang w:eastAsia="lt-L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r>
                      <w:rPr>
                        <w:color w:val="000000"/>
                        <w:szCs w:val="24"/>
                        <w:vertAlign w:val="superscript"/>
                        <w:lang w:eastAsia="lt-L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3 ir Nr. 4  (išskyrus atrakcionų (laipynių) parko teritoriją)</w:t>
                    </w:r>
                    <w:r>
                      <w:rPr>
                        <w:color w:val="000000"/>
                        <w:szCs w:val="24"/>
                        <w:vertAlign w:val="superscript"/>
                        <w:lang w:eastAsia="lt-LT"/>
                      </w:rPr>
                      <w:t>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81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115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i/>
                        <w:sz w:val="20"/>
                        <w:lang w:eastAsia="lt-LT"/>
                      </w:rPr>
                    </w:pPr>
                    <w:r>
                      <w:rPr>
                        <w:i/>
                        <w:sz w:val="20"/>
                        <w:lang w:eastAsia="lt-LT"/>
                      </w:rPr>
                      <w:t>Neteko galios nuo 2025-06-21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pastatu Žvejų g. 12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Pilies tiltu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Kairioji Danės upės krantinė šalia burlaivio „Meridianas“ (vandens pramogų priemonių nuoma)</w:t>
                    </w:r>
                    <w:r>
                      <w:rPr>
                        <w:color w:val="000000"/>
                        <w:szCs w:val="24"/>
                        <w:vertAlign w:val="superscript"/>
                        <w:lang w:eastAsia="lt-LT"/>
                      </w:rPr>
                      <w:t>4</w:t>
                    </w:r>
                    <w:r>
                      <w:rPr>
                        <w:color w:val="000000"/>
                        <w:szCs w:val="24"/>
                        <w:lang w:eastAsia="lt-LT"/>
                      </w:rPr>
                      <w:t>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1, Nr. 2 (išskyrus atrakcionų (laipynių) parko teritoriją)</w:t>
                    </w:r>
                    <w:r>
                      <w:rPr>
                        <w:color w:val="000000"/>
                        <w:szCs w:val="24"/>
                        <w:vertAlign w:val="superscript"/>
                        <w:lang w:eastAsia="lt-LT"/>
                      </w:rPr>
                      <w:t>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Vasaros koncertų estrados prieigos prie tako į Girulių mišką (dviračių aptarnavimas ir remontas)</w:t>
                    </w:r>
                    <w:r>
                      <w:rPr>
                        <w:szCs w:val="24"/>
                        <w:vertAlign w:val="superscript"/>
                        <w:lang w:eastAsia="lt-L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Jono kalnelis, Bastionų g. </w:t>
                    </w:r>
                    <w:r>
                      <w:rPr>
                        <w:color w:val="000000"/>
                        <w:szCs w:val="24"/>
                        <w:lang w:eastAsia="lt-LT"/>
                      </w:rPr>
                      <w:t>(kanojų ir baidarių nuoma)</w:t>
                    </w:r>
                    <w:r>
                      <w:rPr>
                        <w:color w:val="000000"/>
                        <w:szCs w:val="24"/>
                        <w:vertAlign w:val="superscript"/>
                        <w:lang w:eastAsia="lt-LT"/>
                      </w:rPr>
                      <w:t> 4</w:t>
                    </w:r>
                    <w:r>
                      <w:rPr>
                        <w:color w:val="000000"/>
                        <w:szCs w:val="24"/>
                        <w:lang w:eastAsia="lt-LT"/>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39</w:t>
                    </w:r>
                  </w:p>
                </w:tc>
              </w:tr>
            </w:tbl>
            <w:p>
              <w:pPr>
                <w:rPr>
                  <w:color w:val="000000"/>
                  <w:szCs w:val="24"/>
                  <w:lang w:eastAsia="lt-LT"/>
                </w:rPr>
              </w:pPr>
              <w:r>
                <w:rPr>
                  <w:color w:val="000000"/>
                  <w:szCs w:val="24"/>
                  <w:lang w:eastAsia="lt-LT"/>
                </w:rPr>
                <w:t>Iš viso: 28</w:t>
              </w:r>
            </w:p>
            <w:p>
              <w:pPr>
                <w:jc w:val="both"/>
                <w:rPr>
                  <w:color w:val="000000"/>
                  <w:szCs w:val="24"/>
                  <w:lang w:eastAsia="lt-LT"/>
                </w:rPr>
              </w:pPr>
              <w:r>
                <w:rPr>
                  <w:color w:val="000000"/>
                  <w:szCs w:val="24"/>
                  <w:lang w:eastAsia="lt-LT"/>
                </w:rPr>
                <w:t>¹ Leidimas veiklai išduodamas tik pateikus Kuršių nerijos nacionalinio parko direkcijos sutikimą.</w:t>
              </w:r>
            </w:p>
            <w:p>
              <w:pPr>
                <w:jc w:val="both"/>
                <w:rPr>
                  <w:color w:val="000000"/>
                  <w:szCs w:val="24"/>
                  <w:lang w:eastAsia="lt-LT"/>
                </w:rPr>
              </w:pPr>
              <w:r>
                <w:rPr>
                  <w:color w:val="000000"/>
                  <w:szCs w:val="24"/>
                  <w:lang w:eastAsia="lt-LT"/>
                </w:rPr>
                <w:t>² Leidimas veiklai išduodamas tik pateikus Kuršių nerijos nacionalinio parko direkcijos sutikimą. 12 priede pažymėtoje vietoje Nr. 2 leidžiama teikti tik nestacionarios pirties paslaugas.</w:t>
              </w:r>
            </w:p>
            <w:p>
              <w:pPr>
                <w:jc w:val="both"/>
                <w:rPr>
                  <w:color w:val="000000"/>
                  <w:szCs w:val="24"/>
                  <w:lang w:eastAsia="lt-LT"/>
                </w:rPr>
              </w:pPr>
              <w:r>
                <w:rPr>
                  <w:color w:val="000000"/>
                  <w:szCs w:val="24"/>
                  <w:lang w:eastAsia="lt-LT"/>
                </w:rPr>
                <w:t>³Dviračių ir kitų bevariklių transporto priemonių nuomos paslaugų vietos.</w:t>
              </w:r>
            </w:p>
            <w:p>
              <w:pPr>
                <w:jc w:val="both"/>
                <w:rPr>
                  <w:color w:val="000000"/>
                  <w:szCs w:val="24"/>
                  <w:lang w:eastAsia="lt-LT"/>
                </w:rPr>
              </w:pPr>
              <w:r>
                <w:rPr>
                  <w:color w:val="000000"/>
                  <w:szCs w:val="24"/>
                  <w:lang w:eastAsia="lt-LT"/>
                </w:rPr>
                <w:t>⁴Leidimas teikti vandens pramogų priemonių nuomos paslaugą išduodamas tik pateikus sudarytą sutartį su krantinių valdytoju ar naudotoju, jeigu ji perduota valdyti ar naudoti kitam asmeniui.</w:t>
              </w:r>
            </w:p>
            <w:p>
              <w:pPr>
                <w:jc w:val="both"/>
                <w:rPr>
                  <w:color w:val="000000"/>
                  <w:szCs w:val="24"/>
                  <w:lang w:eastAsia="lt-LT"/>
                </w:rPr>
              </w:pPr>
              <w:r>
                <w:rPr>
                  <w:color w:val="000000"/>
                  <w:szCs w:val="24"/>
                  <w:lang w:eastAsia="lt-LT"/>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lang w:eastAsia="lt-LT"/>
                </w:rPr>
              </w:pPr>
              <w:r>
                <w:rPr>
                  <w:color w:val="000000"/>
                  <w:szCs w:val="24"/>
                  <w:lang w:eastAsia="lt-LT"/>
                </w:rPr>
                <w:t>⁶Leidimas išduodamas tik pateikus Vasaros koncertų estrados valdytojo sutikimą.</w:t>
              </w:r>
            </w:p>
            <w:p>
              <w:pPr>
                <w:jc w:val="both"/>
                <w:rPr>
                  <w:color w:val="000000"/>
                  <w:szCs w:val="24"/>
                  <w:lang w:eastAsia="lt-LT"/>
                </w:rPr>
              </w:pPr>
              <w:r>
                <w:rPr>
                  <w:color w:val="000000"/>
                  <w:szCs w:val="24"/>
                  <w:vertAlign w:val="superscript"/>
                  <w:lang w:eastAsia="lt-L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plotą (išskyrus mobilių (mažųjų) atrakcionų vietas, kurių užimamas plotas negali būti didesnis kaip 100 m</w:t>
              </w:r>
              <w:r>
                <w:rPr>
                  <w:color w:val="000000"/>
                  <w:szCs w:val="24"/>
                  <w:vertAlign w:val="superscript"/>
                  <w:lang w:eastAsia="lt-LT"/>
                </w:rPr>
                <w:t>2</w:t>
              </w:r>
              <w:r>
                <w:rPr>
                  <w:color w:val="000000"/>
                  <w:szCs w:val="24"/>
                  <w:lang w:eastAsia="lt-LT"/>
                </w:rPr>
                <w:t>).</w:t>
              </w:r>
            </w:p>
            <w:p>
              <w:pPr>
                <w:jc w:val="both"/>
                <w:rPr>
                  <w:szCs w:val="24"/>
                  <w:lang w:eastAsia="lt-LT"/>
                </w:rPr>
              </w:pPr>
              <w:r>
                <w:rPr>
                  <w:color w:val="000000"/>
                  <w:szCs w:val="24"/>
                  <w:lang w:eastAsia="lt-LT"/>
                </w:rPr>
                <w:t>Veiklą leidžiama vykdyti nuo balandžio 1 d. iki spalio 31 d. (išskyrus dviračių mainų ar dalijimosi sistemos paslaugų teikimo paslaugas ir atrakcionų (laipynių) parko paslaugas pagal konkursinę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d78f14dcb11f0b070ee7f1ceefc75">
                <w:r w:rsidRPr="00532B9F">
                  <w:rPr>
                    <w:rFonts w:ascii="Times New Roman" w:eastAsia="MS Mincho" w:hAnsi="Times New Roman"/>
                    <w:sz w:val="20"/>
                    <w:i/>
                    <w:iCs/>
                    <w:color w:val="0000FF" w:themeColor="hyperlink"/>
                    <w:u w:val="single"/>
                  </w:rPr>
                  <w:t>AD1-516</w:t>
                </w:r>
              </w:fldSimple>
              <w:r>
                <w:rPr>
                  <w:rFonts w:ascii="Times New Roman" w:eastAsia="MS Mincho" w:hAnsi="Times New Roman"/>
                  <w:sz w:val="20"/>
                  <w:i/>
                  <w:iCs/>
                </w:rPr>
                <w:t>,
2025-06-18,
paskelbta TAR 2025-06-20, i. k. 2025-11266            </w:t>
              </w:r>
            </w:p>
            <w:p/>
          </w:sdtContent>
        </w:sdt>
        <w:sdt>
          <w:sdtPr>
            <w:alias w:val="18 p."/>
            <w:tag w:val="part_8920c3fb8f1c4ec69eccfb53762e1f79"/>
            <w:lock w:val="sdtLocked"/>
            <w:richText/>
          </w:sdtPr>
          <w:sdtContent>
            <w:p>
              <w:pPr>
                <w:jc w:val="both"/>
                <w:rPr>
                  <w:color w:val="000000"/>
                  <w:szCs w:val="24"/>
                  <w:lang w:eastAsia="lt-LT"/>
                </w:rPr>
              </w:pPr>
              <w:sdt>
                <w:sdtPr>
                  <w:alias w:val="Numeris"/>
                  <w:tag w:val="nr_8920c3fb8f1c4ec69eccfb53762e1f79"/>
                  <w:lock w:val="sdtLocked"/>
                  <w:richText/>
                </w:sdtPr>
                <w:sdtContent>
                  <w:r>
                    <w:rPr>
                      <w:b/>
                      <w:color w:val="000000"/>
                      <w:szCs w:val="24"/>
                      <w:lang w:eastAsia="lt-LT"/>
                    </w:rPr>
                    <w:t>18</w:t>
                  </w:r>
                </w:sdtContent>
              </w:sdt>
              <w:r>
                <w:rPr>
                  <w:b/>
                  <w:color w:val="000000"/>
                  <w:szCs w:val="24"/>
                  <w:lang w:eastAsia="lt-LT"/>
                </w:rPr>
                <w:t>. Vežimo mažaisiais autotraukinukais paslaugų teikimo vietos</w:t>
              </w:r>
            </w:p>
            <w:p>
              <w:pPr>
                <w:ind w:firstLine="62"/>
                <w:jc w:val="both"/>
                <w:rPr>
                  <w:color w:val="000000"/>
                  <w:sz w:val="27"/>
                  <w:szCs w:val="27"/>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w:t>
                    </w:r>
                  </w:p>
                  <w:p>
                    <w:pPr>
                      <w:spacing w:line="276" w:lineRule="atLeast"/>
                      <w:jc w:val="center"/>
                      <w:rPr>
                        <w:szCs w:val="24"/>
                        <w:lang w:eastAsia="lt-LT"/>
                      </w:rPr>
                    </w:pPr>
                    <w:r>
                      <w:rPr>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Mažųjų autotraukinukų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i/>
                        <w:iCs/>
                        <w:color w:val="000000"/>
                        <w:sz w:val="22"/>
                        <w:szCs w:val="22"/>
                        <w:lang w:eastAsia="lt-LT"/>
                      </w:rPr>
                      <w:t>Neteko galios nuo 2025-08-09</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ind w:firstLine="62"/>
                      <w:jc w:val="center"/>
                      <w:rPr>
                        <w:szCs w:val="24"/>
                        <w:lang w:eastAsia="lt-LT"/>
                      </w:rPr>
                    </w:pP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szCs w:val="24"/>
                        <w:lang w:eastAsia="lt-LT"/>
                      </w:rPr>
                      <w:t>18.5.</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szCs w:val="24"/>
                        <w:lang w:eastAsia="lt-LT"/>
                      </w:rPr>
                      <w:t>Smiltynės naujoji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8"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szCs w:val="24"/>
                        <w:lang w:eastAsia="lt-LT"/>
                      </w:rPr>
                      <w:t>18.6.</w:t>
                    </w:r>
                  </w:p>
                </w:tc>
                <w:tc>
                  <w:tcPr>
                    <w:tcW w:w="6708" w:type="dxa"/>
                    <w:tcBorders>
                      <w:top w:val="nil"/>
                      <w:left w:val="nil"/>
                      <w:bottom w:val="single" w:sz="8" w:space="0" w:color="auto"/>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szCs w:val="24"/>
                        <w:lang w:eastAsia="lt-LT"/>
                      </w:rPr>
                      <w:t>Kruizinių laivų terminalas–Tiltų g.–Liepų g.–Lietuvininkų a.–Naujoji Uosto g.–Kruizinių laivų terminalas</w:t>
                    </w:r>
                  </w:p>
                </w:tc>
                <w:tc>
                  <w:tcPr>
                    <w:tcW w:w="2126" w:type="dxa"/>
                    <w:tcBorders>
                      <w:top w:val="nil"/>
                      <w:left w:val="nil"/>
                      <w:bottom w:val="single" w:sz="8"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r>
                      <w:rPr>
                        <w:szCs w:val="24"/>
                        <w:lang w:eastAsia="lt-LT"/>
                      </w:rPr>
                      <w:t>18.7.</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tLeast"/>
                      <w:jc w:val="both"/>
                      <w:rPr>
                        <w:szCs w:val="24"/>
                        <w:lang w:eastAsia="lt-LT"/>
                      </w:rPr>
                    </w:pPr>
                    <w:r>
                      <w:rPr>
                        <w:i/>
                        <w:iCs/>
                        <w:color w:val="000000"/>
                        <w:sz w:val="22"/>
                        <w:szCs w:val="22"/>
                        <w:lang w:eastAsia="lt-LT"/>
                      </w:rPr>
                      <w:t>Neteko galios nuo 2025-10-01</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tLeast"/>
                      <w:jc w:val="center"/>
                      <w:rPr>
                        <w:szCs w:val="24"/>
                        <w:lang w:eastAsia="lt-LT"/>
                      </w:rPr>
                    </w:pPr>
                  </w:p>
                </w:tc>
              </w:tr>
            </w:tbl>
            <w:p>
              <w:pPr>
                <w:ind w:right="282"/>
                <w:rPr>
                  <w:color w:val="000000"/>
                  <w:szCs w:val="24"/>
                  <w:lang w:eastAsia="lt-LT"/>
                </w:rPr>
              </w:pPr>
              <w:r>
                <w:rPr>
                  <w:color w:val="000000"/>
                  <w:szCs w:val="24"/>
                  <w:lang w:eastAsia="lt-LT"/>
                </w:rPr>
                <w:t>Iš viso: 14</w:t>
              </w:r>
            </w:p>
            <w:p>
              <w:pPr>
                <w:ind w:firstLine="709"/>
                <w:jc w:val="both"/>
                <w:rPr>
                  <w:color w:val="000000"/>
                  <w:szCs w:val="24"/>
                  <w:lang w:eastAsia="lt-LT"/>
                </w:rPr>
              </w:pPr>
              <w:r>
                <w:rPr>
                  <w:color w:val="000000"/>
                  <w:szCs w:val="24"/>
                  <w:lang w:eastAsia="lt-LT"/>
                </w:rPr>
                <w:t>Teikti vežimo mažaisiais autotraukinukais paslaugą leidžiama tik laikantis Kelių eismo taisyklių reikalavimų.</w:t>
              </w:r>
            </w:p>
            <w:p>
              <w:pPr>
                <w:ind w:firstLine="709"/>
                <w:jc w:val="both"/>
                <w:rPr>
                  <w:color w:val="000000"/>
                  <w:szCs w:val="24"/>
                  <w:lang w:eastAsia="lt-LT"/>
                </w:rPr>
              </w:pPr>
              <w:r>
                <w:rPr>
                  <w:color w:val="000000"/>
                  <w:szCs w:val="24"/>
                  <w:lang w:eastAsia="lt-LT"/>
                </w:rPr>
                <w:t>Paslaugos teikėjas privalo užtikrinti tvarkingą ir reprezentatyvią transporto priemonės ir jos valdytojo (vairuotojo) išvaizdą</w:t>
              </w:r>
              <w:r>
                <w:rPr>
                  <w:b/>
                  <w:bCs/>
                  <w:color w:val="000000"/>
                  <w:szCs w:val="24"/>
                  <w:lang w:eastAsia="lt-LT"/>
                </w:rPr>
                <w:t xml:space="preserve">, </w:t>
              </w:r>
              <w:r>
                <w:rPr>
                  <w:color w:val="000000"/>
                  <w:szCs w:val="24"/>
                  <w:lang w:eastAsia="lt-LT"/>
                </w:rPr>
                <w:t>viešosios tvarkos laikymąsi, nekeliant triukšmo ar konfliktinių situacijų tarpusavyje dėl konkurencijos.</w:t>
              </w:r>
            </w:p>
            <w:p>
              <w:pPr>
                <w:ind w:firstLine="709"/>
                <w:jc w:val="both"/>
                <w:rPr>
                  <w:szCs w:val="24"/>
                </w:rPr>
              </w:pPr>
              <w:r>
                <w:rPr>
                  <w:color w:val="000000"/>
                  <w:szCs w:val="24"/>
                  <w:lang w:eastAsia="lt-LT"/>
                </w:rPr>
                <w:t>Leidimą paslaugoms teikti turintis asmuo įsipareigoja veiklą vykdyti pagal grafiką, kuris turi būti skelbiamas keleivių įlaipinimo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b5f420d011f08fdabd4950271e2c">
                <w:r w:rsidRPr="00532B9F">
                  <w:rPr>
                    <w:rFonts w:ascii="Times New Roman" w:eastAsia="MS Mincho" w:hAnsi="Times New Roman"/>
                    <w:sz w:val="20"/>
                    <w:i/>
                    <w:iCs/>
                    <w:color w:val="0000FF" w:themeColor="hyperlink"/>
                    <w:u w:val="single"/>
                  </w:rPr>
                  <w:t>AD1-314</w:t>
                </w:r>
              </w:fldSimple>
              <w:r>
                <w:rPr>
                  <w:rFonts w:ascii="Times New Roman" w:eastAsia="MS Mincho" w:hAnsi="Times New Roman"/>
                  <w:sz w:val="20"/>
                  <w:i/>
                  <w:iCs/>
                </w:rPr>
                <w:t>,
2025-04-24,
paskelbta TAR 2025-04-24, i. k. 2025-07151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0b05f4954411f0a8bbd1e98310677d">
                <w:r w:rsidRPr="00532B9F">
                  <w:rPr>
                    <w:rFonts w:ascii="Times New Roman" w:eastAsia="MS Mincho" w:hAnsi="Times New Roman"/>
                    <w:sz w:val="20"/>
                    <w:i/>
                    <w:iCs/>
                    <w:color w:val="0000FF" w:themeColor="hyperlink"/>
                    <w:u w:val="single"/>
                  </w:rPr>
                  <w:t>AD1-739</w:t>
                </w:r>
              </w:fldSimple>
              <w:r>
                <w:rPr>
                  <w:rFonts w:ascii="Times New Roman" w:eastAsia="MS Mincho" w:hAnsi="Times New Roman"/>
                  <w:sz w:val="20"/>
                  <w:i/>
                  <w:iCs/>
                </w:rPr>
                <w:t>,
2025-09-19,
paskelbta TAR 2025-09-19, i. k. 2025-15692            </w:t>
              </w:r>
            </w:p>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1ce5005e00604dc8ac17935701d4a4f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2025-06-06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a9251741b11f0a8bbd1e98310677d">
            <w:r w:rsidRPr="00532B9F">
              <w:rPr>
                <w:rFonts w:ascii="Times New Roman" w:eastAsia="MS Mincho" w:hAnsi="Times New Roman"/>
                <w:sz w:val="20"/>
                <w:i/>
                <w:iCs/>
                <w:color w:val="0000FF" w:themeColor="hyperlink"/>
                <w:u w:val="single"/>
              </w:rPr>
              <w:t>AD1-644</w:t>
            </w:r>
          </w:fldSimple>
          <w:r>
            <w:rPr>
              <w:rFonts w:ascii="Times New Roman" w:eastAsia="MS Mincho" w:hAnsi="Times New Roman"/>
              <w:sz w:val="20"/>
              <w:i/>
              <w:iCs/>
            </w:rPr>
            <w:t>,
2025-08-08,
paskelbta TAR 2025-08-08, i. k. 2025-13879        </w:t>
          </w:r>
        </w:p>
        <w:p/>
        <w:p>
          <w:pPr>
            <w:pStyle w:val="PlainText"/>
            <w:rPr>
              <w:rFonts w:ascii="Times New Roman" w:eastAsia="MS Mincho" w:hAnsi="Times New Roman"/>
              <w:sz w:val="20"/>
              <w:iCs/>
            </w:rPr>
          </w:pPr>
          <w:r>
            <w:rPr>
              <w:rFonts w:ascii="Times New Roman" w:eastAsia="MS Mincho" w:hAnsi="Times New Roman"/>
              <w:sz w:val="20"/>
              <w:iCs/>
            </w:rPr>
            <w:t>Nr_3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0c460883611eea5a28c81c82193a8">
            <w:r w:rsidRPr="00532B9F">
              <w:rPr>
                <w:rFonts w:ascii="Times New Roman" w:eastAsia="MS Mincho" w:hAnsi="Times New Roman"/>
                <w:sz w:val="20"/>
                <w:iCs/>
                <w:color w:val="0000FF" w:themeColor="hyperlink"/>
                <w:u w:val="single"/>
              </w:rPr>
              <w:t>AD1-1177</w:t>
            </w:r>
          </w:fldSimple>
          <w:r>
            <w:rPr>
              <w:rFonts w:ascii="Times New Roman" w:eastAsia="MS Mincho" w:hAnsi="Times New Roman"/>
              <w:sz w:val="20"/>
              <w:iCs/>
            </w:rPr>
            <w:t>,
2023-11-21,
paskelbta TAR 2023-11-21, i. k. 2023-22351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d76b0f70b11eeb15a8086c0c045d4">
            <w:r w:rsidRPr="00532B9F">
              <w:rPr>
                <w:rFonts w:ascii="Times New Roman" w:eastAsia="MS Mincho" w:hAnsi="Times New Roman"/>
                <w:sz w:val="20"/>
                <w:iCs/>
                <w:color w:val="0000FF" w:themeColor="hyperlink"/>
                <w:u w:val="single"/>
              </w:rPr>
              <w:t>AD1-310</w:t>
            </w:r>
          </w:fldSimple>
          <w:r>
            <w:rPr>
              <w:rFonts w:ascii="Times New Roman" w:eastAsia="MS Mincho" w:hAnsi="Times New Roman"/>
              <w:sz w:val="20"/>
              <w:iCs/>
            </w:rPr>
            <w:t>,
2024-04-10,
paskelbta TAR 2024-04-10, i. k. 2024-06721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8f5037ad11efbdaea558de59136c">
            <w:r w:rsidRPr="00532B9F">
              <w:rPr>
                <w:rFonts w:ascii="Times New Roman" w:eastAsia="MS Mincho" w:hAnsi="Times New Roman"/>
                <w:sz w:val="20"/>
                <w:iCs/>
                <w:color w:val="0000FF" w:themeColor="hyperlink"/>
                <w:u w:val="single"/>
              </w:rPr>
              <w:t>AD1-567</w:t>
            </w:r>
          </w:fldSimple>
          <w:r>
            <w:rPr>
              <w:rFonts w:ascii="Times New Roman" w:eastAsia="MS Mincho" w:hAnsi="Times New Roman"/>
              <w:sz w:val="20"/>
              <w:iCs/>
            </w:rPr>
            <w:t>,
2024-07-01,
paskelbta TAR 2024-07-01, i. k. 2024-12300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2eb5f420d011f08fdabd4950271e2c">
            <w:r w:rsidRPr="00532B9F">
              <w:rPr>
                <w:rFonts w:ascii="Times New Roman" w:eastAsia="MS Mincho" w:hAnsi="Times New Roman"/>
                <w:sz w:val="20"/>
                <w:iCs/>
                <w:color w:val="0000FF" w:themeColor="hyperlink"/>
                <w:u w:val="single"/>
              </w:rPr>
              <w:t>AD1-314</w:t>
            </w:r>
          </w:fldSimple>
          <w:r>
            <w:rPr>
              <w:rFonts w:ascii="Times New Roman" w:eastAsia="MS Mincho" w:hAnsi="Times New Roman"/>
              <w:sz w:val="20"/>
              <w:iCs/>
            </w:rPr>
            <w:t>,
2025-04-24,
paskelbta TAR 2025-04-24, i. k. 2025-07151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f50a7141d711f0b070ee7f1ceefc75">
            <w:r w:rsidRPr="00532B9F">
              <w:rPr>
                <w:rFonts w:ascii="Times New Roman" w:eastAsia="MS Mincho" w:hAnsi="Times New Roman"/>
                <w:sz w:val="20"/>
                <w:iCs/>
                <w:color w:val="0000FF" w:themeColor="hyperlink"/>
                <w:u w:val="single"/>
              </w:rPr>
              <w:t>AD1-483</w:t>
            </w:r>
          </w:fldSimple>
          <w:r>
            <w:rPr>
              <w:rFonts w:ascii="Times New Roman" w:eastAsia="MS Mincho" w:hAnsi="Times New Roman"/>
              <w:sz w:val="20"/>
              <w:iCs/>
            </w:rPr>
            <w:t>,
2025-06-05,
paskelbta TAR 2025-06-05, i. k. 2025-10260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d78f14dcb11f0b070ee7f1ceefc75">
            <w:r w:rsidRPr="00532B9F">
              <w:rPr>
                <w:rFonts w:ascii="Times New Roman" w:eastAsia="MS Mincho" w:hAnsi="Times New Roman"/>
                <w:sz w:val="20"/>
                <w:iCs/>
                <w:color w:val="0000FF" w:themeColor="hyperlink"/>
                <w:u w:val="single"/>
              </w:rPr>
              <w:t>AD1-516</w:t>
            </w:r>
          </w:fldSimple>
          <w:r>
            <w:rPr>
              <w:rFonts w:ascii="Times New Roman" w:eastAsia="MS Mincho" w:hAnsi="Times New Roman"/>
              <w:sz w:val="20"/>
              <w:iCs/>
            </w:rPr>
            <w:t>,
2025-06-18,
paskelbta TAR 2025-06-20, i. k. 2025-11266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fa9251741b11f0a8bbd1e98310677d">
            <w:r w:rsidRPr="00532B9F">
              <w:rPr>
                <w:rFonts w:ascii="Times New Roman" w:eastAsia="MS Mincho" w:hAnsi="Times New Roman"/>
                <w:sz w:val="20"/>
                <w:iCs/>
                <w:color w:val="0000FF" w:themeColor="hyperlink"/>
                <w:u w:val="single"/>
              </w:rPr>
              <w:t>AD1-644</w:t>
            </w:r>
          </w:fldSimple>
          <w:r>
            <w:rPr>
              <w:rFonts w:ascii="Times New Roman" w:eastAsia="MS Mincho" w:hAnsi="Times New Roman"/>
              <w:sz w:val="20"/>
              <w:iCs/>
            </w:rPr>
            <w:t>,
2025-08-08,
paskelbta TAR 2025-08-08, i. k. 2025-13879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0b05f4954411f0a8bbd1e98310677d">
            <w:r w:rsidRPr="00532B9F">
              <w:rPr>
                <w:rFonts w:ascii="Times New Roman" w:eastAsia="MS Mincho" w:hAnsi="Times New Roman"/>
                <w:sz w:val="20"/>
                <w:iCs/>
                <w:color w:val="0000FF" w:themeColor="hyperlink"/>
                <w:u w:val="single"/>
              </w:rPr>
              <w:t>AD1-739</w:t>
            </w:r>
          </w:fldSimple>
          <w:r>
            <w:rPr>
              <w:rFonts w:ascii="Times New Roman" w:eastAsia="MS Mincho" w:hAnsi="Times New Roman"/>
              <w:sz w:val="20"/>
              <w:iCs/>
            </w:rPr>
            <w:t>,
2025-09-19,
paskelbta TAR 2025-09-19, i. k. 2025-15692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FC65655"/>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37.xml"/>
  <Relationship Id="rId16" Type="http://schemas.openxmlformats.org/officeDocument/2006/relationships/header" Target="header38.xml"/>
  <Relationship Id="rId17" Type="http://schemas.openxmlformats.org/officeDocument/2006/relationships/footer" Target="footer37.xml"/>
  <Relationship Id="rId18" Type="http://schemas.openxmlformats.org/officeDocument/2006/relationships/footer" Target="footer38.xml"/>
  <Relationship Id="rId19" Type="http://schemas.openxmlformats.org/officeDocument/2006/relationships/header" Target="header39.xml"/>
  <Relationship Id="rId2" Type="http://schemas.openxmlformats.org/officeDocument/2006/relationships/header" Target="header26.xml"/>
  <Relationship Id="rId20" Type="http://schemas.openxmlformats.org/officeDocument/2006/relationships/footer" Target="footer39.xml"/>
  <Relationship Id="rId21"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7efbd00826ff4366b5884f000047727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a0231fa882844e218faa3bf82928ad4b"/>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44e11cee639e49e7853734fde8cdbb5f"/>
    <Part Type="punktas" Nr="12" Abbr="12 p." DocPartId="9788602af4f2446cb9bb90e949b68f39" PartId="44574266c74843b3bf1e0ac8c8141d0a"/>
    <Part Type="punktas" Nr="13" Abbr="13 p." DocPartId="69e7cf11ed3f43ecb030addd0128d067" PartId="3c832aaa4e264ceb81342da6e61d266e"/>
    <Part Type="punktas" Nr="14" Abbr="14 p." DocPartId="e516c6b42ac34f9db296bd540cd0c737" PartId="7c65f77010184d52b1fab0bd2ecb4fd1"/>
    <Part Type="punktas" Nr="15" Abbr="15 p." DocPartId="acb0269e068e4e8a89a41ce798f7ec18" PartId="ec12258776d345118a1ec0894505e47a"/>
    <Part Type="punktas" Nr="16" Abbr="16 p." DocPartId="bb077395f4a044979795b57fbf07e0a4" PartId="575c3528e06a498aa2a6075f6383fd47"/>
    <Part Type="punktas" Nr="17" Abbr="17 p." DocPartId="630568a63f544caebb1e51828ff77567" PartId="2adc63e8a5ee40f3800f79c9034c1279"/>
    <Part Type="punktas" Nr="18" Abbr="18 p." DocPartId="fc1ae064fbf9455090309cdf39eb6fb6" PartId="8920c3fb8f1c4ec69eccfb53762e1f79"/>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1ce5005e00604dc8ac17935701d4a4f4"/>
    <Part Type="pabaiga" DocPartId="f302e327637b410d85c184886ec96684" PartId="b052010bb06543969fda7d091dc884a2"/>
  </Part>
</Parts>
</file>

<file path=customXml/itemProps1.xml><?xml version="1.0" encoding="utf-8"?>
<ds:datastoreItem xmlns:ds="http://schemas.openxmlformats.org/officeDocument/2006/customXml" ds:itemID="{8CD924EB-457A-48DC-B5A6-D472B4F8603D}">
  <ds:schemaRefs>
    <ds:schemaRef ds:uri="http://lrs.lt/TAIS/DocParts"/>
  </ds:schemaRefs>
</ds:datastoreItem>
</file>

<file path=docProps/app.xml><?xml version="1.0" encoding="utf-8"?>
<Properties xmlns="http://schemas.openxmlformats.org/officeDocument/2006/extended-properties">
  <Template>Normal.dotm</Template>
  <TotalTime>28</TotalTime>
  <Pages>15</Pages>
  <Words>19305</Words>
  <Characters>11004</Characters>
  <Application>Microsoft Office Word</Application>
  <DocSecurity>0</DocSecurity>
  <Lines>91</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30249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PAPINIGIENĖ Augustė</lastModifiedBy>
  <dcterms:modified xsi:type="dcterms:W3CDTF">2025-09-23T11:42:00Z</dcterms:modified>
  <revision>20</revision>
  <dc:title>&lt;Data&gt; Nr</dc:title>
</coreProperties>
</file>