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820201056c94386b3ce904487cd5ddd"/>
        <w:lock w:val="sdtLocked"/>
        <w:richText/>
      </w:sdtPr>
      <w:sdtContent>
        <w:p>
          <w:pPr>
            <w:jc w:val="both"/>
            <w:rPr>
              <w:rFonts w:ascii="Times New Roman" w:hAnsi="Times New Roman"/>
            </w:rPr>
          </w:pPr>
          <w:r>
            <w:rPr>
              <w:rFonts w:ascii="Times New Roman" w:hAnsi="Times New Roman"/>
              <w:b/>
              <w:i/>
            </w:rPr>
            <w:t>Suvestinė redakcija nuo 2016-07-08 iki 2016-10-17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2016-06-21, i. k. 2016-17287</w:t>
          </w:r>
        </w:p>
        <w:p>
          <w:pPr>
            <w:jc w:val="both"/>
            <w:rPr>
              <w:rFonts w:ascii="Times New Roman" w:hAnsi="Times New Roman"/>
              <w:sz w:val="20"/>
            </w:rPr>
          </w:pPr>
        </w:p>
        <w:p>
          <w:pPr>
            <w:tabs>
              <w:tab w:val="center" w:pos="4153"/>
              <w:tab w:val="right" w:pos="8306"/>
            </w:tabs>
            <w:overflowPunct w:val="0"/>
            <w:spacing w:line="276" w:lineRule="auto"/>
            <w:jc w:val="center"/>
          </w:pPr>
          <w:r>
            <w:rPr>
              <w:szCs w:val="24"/>
              <w:lang w:eastAsia="lt-LT"/>
            </w:rPr>
            <w:drawing>
              <wp:inline distT="0" distB="0" distL="0" distR="0">
                <wp:extent cx="552450" cy="5619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overflowPunct w:val="0"/>
            <w:spacing w:line="276" w:lineRule="auto"/>
            <w:jc w:val="center"/>
            <w:rPr>
              <w:b/>
              <w:bCs/>
            </w:rPr>
          </w:pPr>
          <w:r>
            <w:rPr>
              <w:b/>
              <w:bCs/>
            </w:rPr>
            <w:t>LIETUVOS MOKSLO TARYBOS PIRMININKAS</w:t>
          </w:r>
        </w:p>
        <w:p>
          <w:pPr>
            <w:tabs>
              <w:tab w:val="center" w:pos="0"/>
              <w:tab w:val="center" w:pos="4153"/>
              <w:tab w:val="left" w:pos="6480"/>
              <w:tab w:val="right" w:pos="8306"/>
            </w:tabs>
            <w:overflowPunct w:val="0"/>
            <w:spacing w:line="276" w:lineRule="auto"/>
            <w:rPr>
              <w:b/>
            </w:rPr>
          </w:pPr>
        </w:p>
        <w:p>
          <w:pPr>
            <w:spacing w:line="276" w:lineRule="auto"/>
            <w:jc w:val="center"/>
            <w:rPr>
              <w:b/>
              <w:bCs/>
              <w:caps/>
              <w:szCs w:val="24"/>
            </w:rPr>
          </w:pPr>
          <w:r>
            <w:rPr>
              <w:b/>
              <w:caps/>
              <w:szCs w:val="24"/>
            </w:rPr>
            <w:t>ĮSAKYMAS</w:t>
          </w:r>
        </w:p>
        <w:p>
          <w:pPr>
            <w:spacing w:line="276" w:lineRule="auto"/>
            <w:jc w:val="center"/>
            <w:rPr>
              <w:b/>
              <w:caps/>
              <w:szCs w:val="24"/>
            </w:rPr>
          </w:pPr>
          <w:r>
            <w:rPr>
              <w:b/>
              <w:bCs/>
              <w:caps/>
              <w:szCs w:val="24"/>
            </w:rPr>
            <w:t>DĖL</w:t>
          </w:r>
          <w:r>
            <w:rPr>
              <w:b/>
              <w:szCs w:val="24"/>
            </w:rPr>
            <w:t xml:space="preserve"> PAVYZDINIŲ MOKSLO IR SKLAIDOS PROJEKTŲ GALIMOS MOKSLINĖS IR (AR) TECHNOLOGINĖS PRODUKCIJOS SĄRAŠŲ PATVIRTINIMO</w:t>
          </w:r>
        </w:p>
        <w:p>
          <w:pPr>
            <w:spacing w:line="276" w:lineRule="auto"/>
            <w:jc w:val="center"/>
            <w:rPr>
              <w:caps/>
              <w:szCs w:val="24"/>
            </w:rPr>
          </w:pPr>
        </w:p>
        <w:p>
          <w:pPr>
            <w:spacing w:line="276" w:lineRule="auto"/>
            <w:jc w:val="center"/>
            <w:rPr>
              <w:rFonts w:ascii="TimesLT" w:hAnsi="TimesLT"/>
              <w:szCs w:val="24"/>
              <w:lang w:val="en-US"/>
            </w:rPr>
          </w:pPr>
          <w:r>
            <w:rPr>
              <w:rFonts w:ascii="TimesLT" w:hAnsi="TimesLT"/>
              <w:szCs w:val="24"/>
              <w:lang w:val="en-US"/>
            </w:rPr>
            <w:t>2014 m. spalio 31 d. Nr. V–217</w:t>
          </w:r>
        </w:p>
        <w:p>
          <w:pPr>
            <w:spacing w:line="276" w:lineRule="auto"/>
            <w:ind w:left="90"/>
            <w:jc w:val="center"/>
            <w:rPr>
              <w:b/>
              <w:szCs w:val="24"/>
            </w:rPr>
          </w:pPr>
          <w:r>
            <w:rPr>
              <w:szCs w:val="24"/>
            </w:rPr>
            <w:t>Vilnius</w:t>
          </w:r>
        </w:p>
        <w:p>
          <w:pPr>
            <w:tabs>
              <w:tab w:val="left" w:pos="4080"/>
            </w:tabs>
            <w:spacing w:line="276" w:lineRule="auto"/>
            <w:ind w:right="-23"/>
            <w:jc w:val="center"/>
            <w:rPr>
              <w:b/>
              <w:bCs/>
              <w:caps/>
              <w:szCs w:val="24"/>
            </w:rPr>
          </w:pPr>
        </w:p>
        <w:p>
          <w:pPr>
            <w:tabs>
              <w:tab w:val="left" w:pos="4080"/>
            </w:tabs>
            <w:spacing w:line="276" w:lineRule="auto"/>
            <w:ind w:right="-23"/>
            <w:jc w:val="center"/>
            <w:rPr>
              <w:b/>
              <w:bCs/>
              <w:caps/>
              <w:szCs w:val="24"/>
            </w:rPr>
          </w:pPr>
        </w:p>
        <w:sdt>
          <w:sdtPr>
            <w:alias w:val="preambule"/>
            <w:tag w:val="part_9421cae18a124befbbe5b1c6d6708b27"/>
            <w:lock w:val="sdtLocked"/>
            <w:richText/>
          </w:sdtPr>
          <w:sdtContent>
            <w:p>
              <w:pPr>
                <w:spacing w:line="276" w:lineRule="auto"/>
                <w:ind w:right="-29" w:firstLine="851"/>
                <w:jc w:val="both"/>
                <w:rPr>
                  <w:szCs w:val="24"/>
                </w:rPr>
              </w:pPr>
              <w:r>
                <w:rPr>
                  <w:szCs w:val="24"/>
                </w:rPr>
                <w:t xml:space="preserve">Vadovaudamasis Lietuvos mokslo tarybos (toliau – Taryba) 2014 m. spalio 27 d. nutarimu Nr. VIII-26 patvirtintų Lietuvos mokslo tarybos mokslo ir sklaidos projektų konkursinio finansavimo bendrųjų taisyklių, 17 punktu, </w:t>
              </w:r>
            </w:p>
          </w:sdtContent>
        </w:sdt>
        <w:sdt>
          <w:sdtPr>
            <w:alias w:val="1 p."/>
            <w:tag w:val="part_4234ad816773446c91e980d175640645"/>
            <w:lock w:val="sdtLocked"/>
            <w:richText/>
          </w:sdtPr>
          <w:sdtContent>
            <w:p>
              <w:pPr>
                <w:spacing w:line="276" w:lineRule="auto"/>
                <w:ind w:right="-29" w:firstLine="851"/>
                <w:jc w:val="both"/>
                <w:rPr>
                  <w:szCs w:val="24"/>
                </w:rPr>
              </w:pPr>
              <w:sdt>
                <w:sdtPr>
                  <w:alias w:val="Numeris"/>
                  <w:tag w:val="nr_4234ad816773446c91e980d175640645"/>
                  <w:lock w:val="sdtLocked"/>
                  <w:richText/>
                </w:sdtPr>
                <w:sdtContent>
                  <w:r>
                    <w:rPr>
                      <w:szCs w:val="24"/>
                    </w:rPr>
                    <w:t>1</w:t>
                  </w:r>
                </w:sdtContent>
              </w:sdt>
              <w:r>
                <w:rPr>
                  <w:szCs w:val="24"/>
                </w:rPr>
                <w:t xml:space="preserve">. T v i r t i n u  pridedamus:</w:t>
              </w:r>
            </w:p>
            <w:sdt>
              <w:sdtPr>
                <w:alias w:val="1.1 pp."/>
                <w:tag w:val="part_d41edfeba3684c7b8a86aa3a5f20a04a"/>
                <w:lock w:val="sdtLocked"/>
                <w:richText/>
              </w:sdtPr>
              <w:sdtContent>
                <w:p>
                  <w:pPr>
                    <w:spacing w:line="276" w:lineRule="auto"/>
                    <w:ind w:firstLine="851"/>
                    <w:jc w:val="both"/>
                    <w:rPr>
                      <w:rFonts w:eastAsia="Calibri"/>
                      <w:bCs/>
                      <w:szCs w:val="24"/>
                    </w:rPr>
                  </w:pPr>
                  <w:sdt>
                    <w:sdtPr>
                      <w:alias w:val="Numeris"/>
                      <w:tag w:val="nr_d41edfeba3684c7b8a86aa3a5f20a04a"/>
                      <w:lock w:val="sdtLocked"/>
                      <w:richText/>
                    </w:sdtPr>
                    <w:sdtContent>
                      <w:r>
                        <w:rPr>
                          <w:szCs w:val="24"/>
                        </w:rPr>
                        <w:t>1.1</w:t>
                      </w:r>
                    </w:sdtContent>
                  </w:sdt>
                  <w:r>
                    <w:rPr>
                      <w:szCs w:val="24"/>
                    </w:rPr>
                    <w:t>. </w:t>
                  </w:r>
                  <w:r>
                    <w:rPr>
                      <w:rFonts w:eastAsia="Calibri"/>
                      <w:bCs/>
                      <w:szCs w:val="24"/>
                    </w:rPr>
                    <w:t>Pavyzdinį humanitarinių ir socialinių mokslo sričių mokslo ir sklaidos projektų galimos produkcijos sąrašą;</w:t>
                  </w:r>
                </w:p>
              </w:sdtContent>
            </w:sdt>
            <w:sdt>
              <w:sdtPr>
                <w:alias w:val="1.2 pp."/>
                <w:tag w:val="part_523b14d40b704f4391e3cdc5d6f798d6"/>
                <w:lock w:val="sdtLocked"/>
                <w:richText/>
              </w:sdtPr>
              <w:sdtContent>
                <w:p>
                  <w:pPr>
                    <w:spacing w:line="276" w:lineRule="auto"/>
                    <w:ind w:firstLine="851"/>
                    <w:jc w:val="both"/>
                    <w:rPr>
                      <w:szCs w:val="24"/>
                    </w:rPr>
                  </w:pPr>
                  <w:sdt>
                    <w:sdtPr>
                      <w:alias w:val="Numeris"/>
                      <w:tag w:val="nr_523b14d40b704f4391e3cdc5d6f798d6"/>
                      <w:lock w:val="sdtLocked"/>
                      <w:richText/>
                    </w:sdtPr>
                    <w:sdtContent>
                      <w:r>
                        <w:rPr>
                          <w:rFonts w:eastAsia="Calibri"/>
                          <w:bCs/>
                          <w:szCs w:val="24"/>
                        </w:rPr>
                        <w:t>1.2</w:t>
                      </w:r>
                    </w:sdtContent>
                  </w:sdt>
                  <w:r>
                    <w:rPr>
                      <w:rFonts w:eastAsia="Calibri"/>
                      <w:bCs/>
                      <w:szCs w:val="24"/>
                    </w:rPr>
                    <w:t>. </w:t>
                  </w:r>
                  <w:r>
                    <w:rPr>
                      <w:szCs w:val="24"/>
                    </w:rPr>
                    <w:t>Pavyzdinį fizinių, biomedicinos, technologijos ir žemės ūkio mokslo sričių mokslo ir sklaidos projektų galimos mokslinės ir (ar) technologinės produkcijos sąrašą.</w:t>
                  </w:r>
                </w:p>
              </w:sdtContent>
            </w:sdt>
          </w:sdtContent>
        </w:sdt>
        <w:sdt>
          <w:sdtPr>
            <w:alias w:val="2 p."/>
            <w:tag w:val="part_0a1b3addb7eb4f448577e811a4c6e019"/>
            <w:lock w:val="sdtLocked"/>
            <w:richText/>
          </w:sdtPr>
          <w:sdtContent>
            <w:p>
              <w:pPr>
                <w:spacing w:line="276" w:lineRule="auto"/>
                <w:ind w:firstLine="851"/>
                <w:jc w:val="both"/>
              </w:pPr>
              <w:sdt>
                <w:sdtPr>
                  <w:alias w:val="Numeris"/>
                  <w:tag w:val="nr_0a1b3addb7eb4f448577e811a4c6e019"/>
                  <w:lock w:val="sdtLocked"/>
                  <w:richText/>
                </w:sdtPr>
                <w:sdtContent>
                  <w:r>
                    <w:rPr>
                      <w:szCs w:val="24"/>
                      <w:lang w:val="en-US"/>
                    </w:rPr>
                    <w:t>2</w:t>
                  </w:r>
                </w:sdtContent>
              </w:sdt>
              <w:r>
                <w:rPr>
                  <w:szCs w:val="24"/>
                  <w:lang w:val="en-US"/>
                </w:rPr>
                <w:t xml:space="preserve">. P r i p a ž į s t u  netekusiu galios</w:t>
              </w:r>
              <w:r>
                <w:rPr>
                  <w:szCs w:val="24"/>
                </w:rPr>
                <w:t xml:space="preserve"> Tarybos pirmininko 2012 m. vasario 3 d. įsakymą Nr. V-29.</w:t>
              </w:r>
            </w:p>
          </w:sdtContent>
        </w:sdt>
        <w:sdt>
          <w:sdtPr>
            <w:alias w:val="signatura"/>
            <w:tag w:val="part_4247e18127f24d809eed520d4088fbb8"/>
            <w:lock w:val="sdtLocked"/>
            <w:richText/>
          </w:sdtPr>
          <w:sdtContent>
            <w:p>
              <w:pPr>
                <w:tabs>
                  <w:tab w:val="left" w:pos="7371"/>
                </w:tabs>
                <w:spacing w:line="276" w:lineRule="auto"/>
                <w:ind w:right="-23"/>
              </w:pPr>
            </w:p>
            <w:p>
              <w:pPr>
                <w:tabs>
                  <w:tab w:val="left" w:pos="7371"/>
                </w:tabs>
                <w:spacing w:line="276" w:lineRule="auto"/>
                <w:ind w:right="-23"/>
              </w:pPr>
            </w:p>
            <w:p>
              <w:pPr>
                <w:tabs>
                  <w:tab w:val="left" w:pos="7371"/>
                </w:tabs>
                <w:spacing w:line="276" w:lineRule="auto"/>
                <w:ind w:right="-23"/>
              </w:pPr>
            </w:p>
            <w:p>
              <w:pPr>
                <w:tabs>
                  <w:tab w:val="left" w:pos="7371"/>
                </w:tabs>
                <w:spacing w:line="276" w:lineRule="auto"/>
                <w:ind w:right="-23"/>
              </w:pPr>
              <w:r>
                <w:rPr>
                  <w:szCs w:val="24"/>
                </w:rPr>
                <w:t>Pirmininkas</w:t>
                <w:tab/>
                <w:t>Dainius H. Pauža</w:t>
              </w:r>
            </w:p>
          </w:sdtContent>
        </w:sdt>
      </w:sdtContent>
    </w:sdt>
    <w:sdt>
      <w:sdtPr>
        <w:alias w:val="patvirtinta"/>
        <w:tag w:val="part_2a81b5a78f2849c59e0d6c3915a7d14a"/>
        <w:lock w:val="sdtLocked"/>
        <w:richText/>
      </w:sdtPr>
      <w:sdtContent>
        <w:p>
          <w:pPr>
            <w:ind w:left="10773"/>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567" w:bottom="1134" w:left="1701" w:header="567" w:footer="567" w:gutter="0"/>
              <w:paperSrc w:first="859" w:other="859"/>
              <w:cols w:space="1296"/>
              <w:titlePg/>
            </w:sectPr>
          </w:pPr>
        </w:p>
        <w:p>
          <w:pPr>
            <w:ind w:left="10773"/>
            <w:rPr>
              <w:szCs w:val="24"/>
              <w:lang w:val="en-US"/>
            </w:rPr>
          </w:pPr>
          <w:r>
            <w:rPr>
              <w:szCs w:val="24"/>
              <w:lang w:val="en-US"/>
            </w:rPr>
            <w:t>PATVIRTINTA</w:t>
          </w:r>
        </w:p>
        <w:p>
          <w:pPr>
            <w:ind w:left="10773"/>
            <w:rPr>
              <w:szCs w:val="24"/>
              <w:lang w:val="en-US"/>
            </w:rPr>
          </w:pPr>
          <w:r>
            <w:rPr>
              <w:szCs w:val="24"/>
              <w:lang w:val="en-US"/>
            </w:rPr>
            <w:t>Lietuvos mokslo tarybos pirmininko</w:t>
          </w:r>
        </w:p>
        <w:p>
          <w:pPr>
            <w:ind w:left="10773"/>
            <w:rPr>
              <w:szCs w:val="24"/>
              <w:lang w:val="en-US"/>
            </w:rPr>
          </w:pPr>
          <w:r>
            <w:rPr>
              <w:szCs w:val="24"/>
              <w:lang w:val="en-US"/>
            </w:rPr>
            <w:t>2014 m. spalio 31 d. įsakymu Nr. V-217</w:t>
          </w:r>
        </w:p>
        <w:p>
          <w:pPr>
            <w:rPr>
              <w:b/>
              <w:bCs/>
              <w:sz w:val="32"/>
              <w:szCs w:val="32"/>
              <w:lang w:val="en-US"/>
            </w:rPr>
          </w:pPr>
        </w:p>
        <w:p>
          <w:pPr>
            <w:jc w:val="center"/>
            <w:rPr>
              <w:b/>
              <w:bCs/>
              <w:szCs w:val="24"/>
              <w:lang w:val="en-US"/>
            </w:rPr>
          </w:pPr>
          <w:sdt>
            <w:sdtPr>
              <w:alias w:val="Pavadinimas"/>
              <w:tag w:val="title_2a81b5a78f2849c59e0d6c3915a7d14a"/>
              <w:lock w:val="sdtLocked"/>
              <w:richText/>
            </w:sdtPr>
            <w:sdtContent>
              <w:r>
                <w:rPr>
                  <w:b/>
                  <w:bCs/>
                  <w:szCs w:val="24"/>
                  <w:lang w:val="en-US"/>
                </w:rPr>
                <w:t>PAVYZDINIS HUMANITARINIŲ IR SOCIALINIŲ MOKSLO SRIČIŲ MOKSLO IR SKLAIDOS PROJEKTŲ GALIMOS PRODUKCIJOS SĄRAŠAS</w:t>
              </w:r>
            </w:sdtContent>
          </w:sdt>
        </w:p>
        <w:p>
          <w:pPr>
            <w:rPr>
              <w:sz w:val="28"/>
              <w:szCs w:val="28"/>
              <w:lang w:val="en-US"/>
            </w:rPr>
          </w:pPr>
        </w:p>
        <w:tbl>
          <w:tblPr>
            <w:tblW w:w="16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2088"/>
            <w:gridCol w:w="3216"/>
            <w:gridCol w:w="871"/>
            <w:gridCol w:w="1131"/>
            <w:gridCol w:w="952"/>
            <w:gridCol w:w="202"/>
            <w:gridCol w:w="672"/>
            <w:gridCol w:w="931"/>
            <w:gridCol w:w="1296"/>
            <w:gridCol w:w="1176"/>
            <w:gridCol w:w="876"/>
            <w:gridCol w:w="1036"/>
            <w:gridCol w:w="500"/>
            <w:gridCol w:w="500"/>
          </w:tblGrid>
          <w:tr>
            <w:tc>
              <w:tcPr>
                <w:tcW w:w="708" w:type="dxa"/>
                <w:vMerge w:val="restart"/>
              </w:tcPr>
              <w:p>
                <w:pPr>
                  <w:rPr>
                    <w:szCs w:val="24"/>
                    <w:lang w:val="en-US"/>
                  </w:rPr>
                </w:pPr>
                <w:r>
                  <w:rPr>
                    <w:szCs w:val="24"/>
                    <w:lang w:val="en-US"/>
                  </w:rPr>
                  <w:t>Eil. Nr.</w:t>
                </w:r>
              </w:p>
            </w:tc>
            <w:tc>
              <w:tcPr>
                <w:tcW w:w="2088" w:type="dxa"/>
                <w:vMerge w:val="restart"/>
              </w:tcPr>
              <w:p>
                <w:pPr>
                  <w:rPr>
                    <w:szCs w:val="24"/>
                    <w:lang w:val="en-US"/>
                  </w:rPr>
                </w:pPr>
                <w:r>
                  <w:rPr>
                    <w:szCs w:val="24"/>
                    <w:lang w:val="en-US"/>
                  </w:rPr>
                  <w:t>Produkcijos rūšis</w:t>
                </w:r>
              </w:p>
            </w:tc>
            <w:tc>
              <w:tcPr>
                <w:tcW w:w="3216" w:type="dxa"/>
                <w:vMerge w:val="restart"/>
              </w:tcPr>
              <w:p>
                <w:pPr>
                  <w:rPr>
                    <w:szCs w:val="24"/>
                    <w:lang w:val="en-US"/>
                  </w:rPr>
                </w:pPr>
                <w:r>
                  <w:rPr>
                    <w:szCs w:val="24"/>
                    <w:lang w:val="en-US"/>
                  </w:rPr>
                  <w:t>Produkcijos apibrėžimas</w:t>
                </w:r>
              </w:p>
            </w:tc>
            <w:tc>
              <w:tcPr>
                <w:tcW w:w="871" w:type="dxa"/>
                <w:vMerge w:val="restart"/>
                <w:tcMar>
                  <w:top w:w="28" w:type="dxa"/>
                  <w:left w:w="28" w:type="dxa"/>
                </w:tcMar>
              </w:tcPr>
              <w:p>
                <w:pPr>
                  <w:jc w:val="center"/>
                  <w:rPr>
                    <w:szCs w:val="24"/>
                    <w:lang w:val="en-US"/>
                  </w:rPr>
                </w:pPr>
                <w:r>
                  <w:rPr>
                    <w:szCs w:val="24"/>
                    <w:lang w:val="en-US"/>
                  </w:rPr>
                  <w:t>Atas-kaitos tipas (tarpinė – T, baigia-moji – B)</w:t>
                </w:r>
              </w:p>
            </w:tc>
            <w:tc>
              <w:tcPr>
                <w:tcW w:w="9272" w:type="dxa"/>
                <w:gridSpan w:val="11"/>
              </w:tcPr>
              <w:p>
                <w:pPr>
                  <w:jc w:val="center"/>
                  <w:rPr>
                    <w:szCs w:val="24"/>
                    <w:lang w:val="en-US"/>
                  </w:rPr>
                </w:pPr>
                <w:r>
                  <w:rPr>
                    <w:szCs w:val="24"/>
                    <w:lang w:val="en-US"/>
                  </w:rPr>
                  <w:t>Produkcijos parengtumas</w:t>
                </w:r>
                <w:r>
                  <w:rPr>
                    <w:szCs w:val="24"/>
                    <w:vertAlign w:val="superscript"/>
                    <w:lang w:val="en-US"/>
                  </w:rPr>
                  <w:t>1</w:t>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vMerge/>
                <w:tcMar>
                  <w:top w:w="28" w:type="dxa"/>
                  <w:left w:w="28" w:type="dxa"/>
                </w:tcMar>
              </w:tcPr>
              <w:p>
                <w:pPr>
                  <w:rPr>
                    <w:szCs w:val="24"/>
                    <w:lang w:val="en-US"/>
                  </w:rPr>
                </w:pPr>
              </w:p>
            </w:tc>
            <w:tc>
              <w:tcPr>
                <w:tcW w:w="1131" w:type="dxa"/>
              </w:tcPr>
              <w:p>
                <w:pPr>
                  <w:rPr>
                    <w:szCs w:val="24"/>
                    <w:lang w:val="en-US"/>
                  </w:rPr>
                </w:pPr>
                <w:r>
                  <w:rPr>
                    <w:szCs w:val="24"/>
                    <w:lang w:val="en-US"/>
                  </w:rPr>
                  <w:t>parengtas</w:t>
                </w:r>
              </w:p>
            </w:tc>
            <w:tc>
              <w:tcPr>
                <w:tcW w:w="952" w:type="dxa"/>
              </w:tcPr>
              <w:p>
                <w:pPr>
                  <w:rPr>
                    <w:szCs w:val="24"/>
                    <w:lang w:val="en-US"/>
                  </w:rPr>
                </w:pPr>
                <w:r>
                  <w:rPr>
                    <w:szCs w:val="24"/>
                    <w:lang w:val="en-US"/>
                  </w:rPr>
                  <w:t>pareng-tas ir recen-zuotas rank-raštis</w:t>
                </w:r>
              </w:p>
            </w:tc>
            <w:tc>
              <w:tcPr>
                <w:tcW w:w="874" w:type="dxa"/>
                <w:gridSpan w:val="2"/>
                <w:tcMar>
                  <w:top w:w="28" w:type="dxa"/>
                  <w:left w:w="28" w:type="dxa"/>
                </w:tcMar>
              </w:tcPr>
              <w:p>
                <w:pPr>
                  <w:rPr>
                    <w:szCs w:val="24"/>
                    <w:lang w:val="en-US"/>
                  </w:rPr>
                </w:pPr>
                <w:r>
                  <w:rPr>
                    <w:szCs w:val="24"/>
                    <w:lang w:val="en-US"/>
                  </w:rPr>
                  <w:t xml:space="preserve">išleistas </w:t>
                </w:r>
              </w:p>
            </w:tc>
            <w:tc>
              <w:tcPr>
                <w:tcW w:w="931" w:type="dxa"/>
                <w:tcMar>
                  <w:top w:w="28" w:type="dxa"/>
                  <w:left w:w="28" w:type="dxa"/>
                </w:tcMar>
              </w:tcPr>
              <w:p>
                <w:pPr>
                  <w:rPr>
                    <w:szCs w:val="24"/>
                    <w:lang w:val="en-US"/>
                  </w:rPr>
                </w:pPr>
                <w:r>
                  <w:rPr>
                    <w:szCs w:val="24"/>
                    <w:lang w:val="en-US"/>
                  </w:rPr>
                  <w:t>sukurtas</w:t>
                </w:r>
              </w:p>
            </w:tc>
            <w:tc>
              <w:tcPr>
                <w:tcW w:w="1296" w:type="dxa"/>
              </w:tcPr>
              <w:p>
                <w:pPr>
                  <w:rPr>
                    <w:szCs w:val="24"/>
                    <w:lang w:val="en-US"/>
                  </w:rPr>
                </w:pPr>
                <w:r>
                  <w:rPr>
                    <w:szCs w:val="24"/>
                    <w:lang w:val="en-US"/>
                  </w:rPr>
                  <w:t>patobulinta</w:t>
                </w:r>
              </w:p>
            </w:tc>
            <w:tc>
              <w:tcPr>
                <w:tcW w:w="1176" w:type="dxa"/>
              </w:tcPr>
              <w:p>
                <w:pPr>
                  <w:rPr>
                    <w:szCs w:val="24"/>
                    <w:lang w:val="en-US"/>
                  </w:rPr>
                </w:pPr>
                <w:r>
                  <w:rPr>
                    <w:szCs w:val="24"/>
                    <w:lang w:val="en-US"/>
                  </w:rPr>
                  <w:t>prižiūrima</w:t>
                </w:r>
              </w:p>
            </w:tc>
            <w:tc>
              <w:tcPr>
                <w:tcW w:w="876" w:type="dxa"/>
              </w:tcPr>
              <w:p>
                <w:pPr>
                  <w:rPr>
                    <w:szCs w:val="24"/>
                    <w:lang w:val="en-US"/>
                  </w:rPr>
                </w:pPr>
                <w:r>
                  <w:rPr>
                    <w:szCs w:val="24"/>
                    <w:lang w:val="en-US"/>
                  </w:rPr>
                  <w:t>įdiegta</w:t>
                </w:r>
              </w:p>
            </w:tc>
            <w:tc>
              <w:tcPr>
                <w:tcW w:w="1036" w:type="dxa"/>
                <w:tcMar>
                  <w:top w:w="28" w:type="dxa"/>
                  <w:left w:w="28" w:type="dxa"/>
                </w:tcMar>
              </w:tcPr>
              <w:p>
                <w:pPr>
                  <w:rPr>
                    <w:szCs w:val="24"/>
                    <w:lang w:val="en-US"/>
                  </w:rPr>
                </w:pPr>
                <w:r>
                  <w:rPr>
                    <w:szCs w:val="24"/>
                    <w:lang w:val="en-US"/>
                  </w:rPr>
                  <w:t>surengtas</w:t>
                </w:r>
              </w:p>
            </w:tc>
            <w:tc>
              <w:tcPr>
                <w:tcW w:w="500" w:type="dxa"/>
              </w:tcPr>
              <w:p>
                <w:pPr>
                  <w:rPr>
                    <w:szCs w:val="24"/>
                    <w:lang w:val="en-US"/>
                  </w:rPr>
                </w:pPr>
                <w:r>
                  <w:rPr>
                    <w:szCs w:val="24"/>
                    <w:lang w:val="en-US"/>
                  </w:rPr>
                  <w:t>Įteiktas redakcijai su įrodančiais dokumentais</w:t>
                </w:r>
              </w:p>
            </w:tc>
            <w:tc>
              <w:tcPr>
                <w:tcW w:w="500" w:type="dxa"/>
              </w:tcPr>
              <w:p>
                <w:pPr>
                  <w:rPr>
                    <w:szCs w:val="24"/>
                    <w:lang w:val="en-US"/>
                  </w:rPr>
                </w:pPr>
                <w:r>
                  <w:rPr>
                    <w:szCs w:val="24"/>
                    <w:lang w:val="en-US"/>
                  </w:rPr>
                  <w:t>Priimtas spausdintisu įrodančiais dokumentais</w:t>
                </w:r>
              </w:p>
            </w:tc>
          </w:tr>
          <w:tr>
            <w:tc>
              <w:tcPr>
                <w:tcW w:w="16155" w:type="dxa"/>
                <w:gridSpan w:val="15"/>
              </w:tcPr>
              <w:p>
                <w:pPr>
                  <w:rPr>
                    <w:sz w:val="10"/>
                    <w:szCs w:val="10"/>
                  </w:rPr>
                </w:pPr>
              </w:p>
              <w:p>
                <w:pPr>
                  <w:rPr>
                    <w:sz w:val="10"/>
                    <w:szCs w:val="10"/>
                  </w:rPr>
                </w:pPr>
                <w:r>
                  <w:rPr>
                    <w:b/>
                    <w:szCs w:val="24"/>
                    <w:lang w:val="en-US"/>
                  </w:rPr>
                  <w:t>LEIDINIAI</w:t>
                </w:r>
              </w:p>
            </w:tc>
          </w:tr>
          <w:tr>
            <w:tc>
              <w:tcPr>
                <w:tcW w:w="16155" w:type="dxa"/>
                <w:gridSpan w:val="15"/>
              </w:tcPr>
              <w:p>
                <w:pPr>
                  <w:rPr>
                    <w:sz w:val="10"/>
                    <w:szCs w:val="10"/>
                  </w:rPr>
                </w:pPr>
              </w:p>
              <w:p>
                <w:pPr>
                  <w:rPr>
                    <w:sz w:val="10"/>
                    <w:szCs w:val="10"/>
                  </w:rPr>
                </w:pPr>
                <w:r>
                  <w:rPr>
                    <w:b/>
                    <w:i/>
                    <w:szCs w:val="24"/>
                    <w:lang w:val="en-US"/>
                  </w:rPr>
                  <w:t>1. VIENKARTINIAI LEIDINIAI (KNYGOS)</w:t>
                </w:r>
              </w:p>
            </w:tc>
          </w:tr>
          <w:tr>
            <w:trPr>
              <w:trHeight w:val="809"/>
            </w:trPr>
            <w:tc>
              <w:tcPr>
                <w:tcW w:w="708" w:type="dxa"/>
                <w:vMerge w:val="restart"/>
              </w:tcPr>
              <w:p>
                <w:pPr>
                  <w:jc w:val="right"/>
                  <w:rPr>
                    <w:szCs w:val="24"/>
                    <w:lang w:val="en-US"/>
                  </w:rPr>
                </w:pPr>
                <w:r>
                  <w:rPr>
                    <w:szCs w:val="24"/>
                    <w:lang w:val="en-US"/>
                  </w:rPr>
                  <w:t>1.1.</w:t>
                </w:r>
              </w:p>
            </w:tc>
            <w:tc>
              <w:tcPr>
                <w:tcW w:w="2088" w:type="dxa"/>
                <w:vMerge w:val="restart"/>
              </w:tcPr>
              <w:p>
                <w:pPr>
                  <w:rPr>
                    <w:b/>
                    <w:szCs w:val="24"/>
                    <w:lang w:val="en-US"/>
                  </w:rPr>
                </w:pPr>
                <w:r>
                  <w:rPr>
                    <w:b/>
                    <w:szCs w:val="24"/>
                    <w:lang w:val="en-US"/>
                  </w:rPr>
                  <w:t>Monografija</w:t>
                </w:r>
              </w:p>
            </w:tc>
            <w:tc>
              <w:tcPr>
                <w:tcW w:w="3216" w:type="dxa"/>
                <w:vMerge w:val="restart"/>
              </w:tcPr>
              <w:p>
                <w:pPr>
                  <w:rPr>
                    <w:szCs w:val="24"/>
                    <w:lang w:val="en-US"/>
                  </w:rPr>
                </w:pPr>
                <w:r>
                  <w:rPr>
                    <w:szCs w:val="24"/>
                    <w:lang w:val="en-US"/>
                  </w:rPr>
                  <w:t xml:space="preserve">recenzuojamas </w:t>
                </w:r>
                <w:r>
                  <w:rPr>
                    <w:rFonts w:eastAsia="MinionPro-Regular"/>
                    <w:szCs w:val="24"/>
                    <w:lang w:val="en-US" w:eastAsia="lt-LT"/>
                  </w:rPr>
                  <w:t>vieno ar kelių autorių</w:t>
                </w:r>
                <w:r>
                  <w:rPr>
                    <w:szCs w:val="24"/>
                    <w:lang w:val="en-US"/>
                  </w:rPr>
                  <w:t xml:space="preserve"> leidinys, kuriame sistemingai ir išsamiai išnagrinėta viena tema (dalykas), aiškūs ir žymūs naujumo ir kiekvienai mokslo sričiai arba krypčiai saviti moksliškumo elementai; išleistas turi turėti ISBN numerį, mažiausia apimtis – 8 autoriniai lankai</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952" w:type="dxa"/>
              </w:tcPr>
              <w:p>
                <w:pPr>
                  <w:jc w:val="center"/>
                  <w:rPr>
                    <w:szCs w:val="24"/>
                    <w:lang w:val="en-US"/>
                  </w:rPr>
                </w:pPr>
                <w:r>
                  <w:rPr>
                    <w:szCs w:val="24"/>
                    <w:lang w:val="en-US"/>
                  </w:rPr>
                  <w:sym w:font="Wingdings" w:char="F078"/>
                </w: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809"/>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952" w:type="dxa"/>
              </w:tcPr>
              <w:p>
                <w:pPr>
                  <w:jc w:val="center"/>
                  <w:rPr>
                    <w:szCs w:val="24"/>
                    <w:lang w:val="en-US"/>
                  </w:rPr>
                </w:pPr>
                <w:r>
                  <w:rPr>
                    <w:szCs w:val="24"/>
                    <w:lang w:val="en-US"/>
                  </w:rPr>
                  <w:sym w:font="Wingdings" w:char="F078"/>
                </w: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947"/>
            </w:trPr>
            <w:tc>
              <w:tcPr>
                <w:tcW w:w="708" w:type="dxa"/>
                <w:vMerge w:val="restart"/>
              </w:tcPr>
              <w:p>
                <w:pPr>
                  <w:jc w:val="right"/>
                  <w:rPr>
                    <w:szCs w:val="24"/>
                    <w:lang w:val="en-US"/>
                  </w:rPr>
                </w:pPr>
                <w:r>
                  <w:rPr>
                    <w:szCs w:val="24"/>
                    <w:lang w:val="en-US"/>
                  </w:rPr>
                  <w:t>1.2.</w:t>
                </w:r>
              </w:p>
            </w:tc>
            <w:tc>
              <w:tcPr>
                <w:tcW w:w="2088" w:type="dxa"/>
                <w:vMerge w:val="restart"/>
              </w:tcPr>
              <w:p>
                <w:pPr>
                  <w:rPr>
                    <w:b/>
                    <w:szCs w:val="24"/>
                    <w:lang w:val="en-US"/>
                  </w:rPr>
                </w:pPr>
                <w:r>
                  <w:rPr>
                    <w:b/>
                    <w:szCs w:val="24"/>
                    <w:lang w:val="en-US"/>
                  </w:rPr>
                  <w:t>Studija</w:t>
                </w:r>
              </w:p>
            </w:tc>
            <w:tc>
              <w:tcPr>
                <w:tcW w:w="3216" w:type="dxa"/>
                <w:vMerge w:val="restart"/>
              </w:tcPr>
              <w:p>
                <w:pPr>
                  <w:rPr>
                    <w:szCs w:val="24"/>
                    <w:lang w:val="en-US"/>
                  </w:rPr>
                </w:pPr>
                <w:r>
                  <w:rPr>
                    <w:szCs w:val="24"/>
                    <w:lang w:val="en-US"/>
                  </w:rPr>
                  <w:t>recenzuojama monografinio pobūdžio knyga,</w:t>
                </w:r>
                <w:r>
                  <w:rPr>
                    <w:b/>
                    <w:szCs w:val="24"/>
                    <w:lang w:val="en-US"/>
                  </w:rPr>
                  <w:t xml:space="preserve"> </w:t>
                </w:r>
                <w:r>
                  <w:rPr>
                    <w:szCs w:val="24"/>
                    <w:lang w:val="en-US"/>
                  </w:rPr>
                  <w:t xml:space="preserve">kurioje </w:t>
                </w:r>
                <w:r>
                  <w:rPr>
                    <w:rFonts w:eastAsia="MinionPro-Regular"/>
                    <w:szCs w:val="24"/>
                    <w:lang w:val="en-US" w:eastAsia="lt-LT"/>
                  </w:rPr>
                  <w:t>vieno ar kelių autorių yra</w:t>
                </w:r>
                <w:r>
                  <w:rPr>
                    <w:szCs w:val="24"/>
                    <w:lang w:val="en-US"/>
                  </w:rPr>
                  <w:t xml:space="preserve"> sistemingai išnagrinėta viena tema (dalykas), būdingi aiškūs ir žymūs naujumo ir kiekvienai mokslo sričiai arba krypčiai saviti moksliškumo elementai; išleistas turi turėti ISBN numerį, mažiausia apimtis – 4 autoriniai lankai</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952" w:type="dxa"/>
              </w:tcPr>
              <w:p>
                <w:pPr>
                  <w:jc w:val="center"/>
                  <w:rPr>
                    <w:szCs w:val="24"/>
                    <w:lang w:val="en-US"/>
                  </w:rPr>
                </w:pPr>
                <w:r>
                  <w:rPr>
                    <w:szCs w:val="24"/>
                    <w:lang w:val="en-US"/>
                  </w:rPr>
                  <w:sym w:font="Wingdings" w:char="F078"/>
                </w: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947"/>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952" w:type="dxa"/>
              </w:tcPr>
              <w:p>
                <w:pPr>
                  <w:jc w:val="center"/>
                  <w:rPr>
                    <w:szCs w:val="24"/>
                    <w:lang w:val="en-US"/>
                  </w:rPr>
                </w:pPr>
                <w:r>
                  <w:rPr>
                    <w:szCs w:val="24"/>
                    <w:lang w:val="en-US"/>
                  </w:rPr>
                  <w:sym w:font="Wingdings" w:char="F078"/>
                </w: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671"/>
            </w:trPr>
            <w:tc>
              <w:tcPr>
                <w:tcW w:w="708" w:type="dxa"/>
                <w:vMerge w:val="restart"/>
              </w:tcPr>
              <w:p>
                <w:pPr>
                  <w:jc w:val="right"/>
                  <w:rPr>
                    <w:szCs w:val="24"/>
                    <w:lang w:val="en-US"/>
                  </w:rPr>
                </w:pPr>
                <w:r>
                  <w:rPr>
                    <w:szCs w:val="24"/>
                    <w:lang w:val="en-US"/>
                  </w:rPr>
                  <w:t>1.3.</w:t>
                </w:r>
              </w:p>
            </w:tc>
            <w:tc>
              <w:tcPr>
                <w:tcW w:w="2088" w:type="dxa"/>
                <w:vMerge w:val="restart"/>
              </w:tcPr>
              <w:p>
                <w:pPr>
                  <w:rPr>
                    <w:b/>
                    <w:szCs w:val="24"/>
                    <w:lang w:val="en-US"/>
                  </w:rPr>
                </w:pPr>
                <w:r>
                  <w:rPr>
                    <w:b/>
                    <w:szCs w:val="24"/>
                    <w:lang w:val="en-US"/>
                  </w:rPr>
                  <w:t>Sintetinis</w:t>
                </w:r>
                <w:r>
                  <w:rPr>
                    <w:szCs w:val="24"/>
                    <w:lang w:val="en-US"/>
                  </w:rPr>
                  <w:t xml:space="preserve"> (teorinis) mokslo darbas</w:t>
                </w:r>
              </w:p>
            </w:tc>
            <w:tc>
              <w:tcPr>
                <w:tcW w:w="3216" w:type="dxa"/>
                <w:vMerge w:val="restart"/>
              </w:tcPr>
              <w:p>
                <w:pPr>
                  <w:rPr>
                    <w:szCs w:val="24"/>
                    <w:lang w:val="en-US"/>
                  </w:rPr>
                </w:pPr>
                <w:r>
                  <w:rPr>
                    <w:szCs w:val="24"/>
                    <w:lang w:val="en-US"/>
                  </w:rPr>
                  <w:t>recenzuojamas apibendrinamojo pobūdžio darbas, analizuojantis teorinius požiūrius ir ilgalaikius tyrimus, pateiktus monografijose, studijose, mokslo straipsniuose ir kitur; išleistas turi turėti ISBN numerį</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952" w:type="dxa"/>
              </w:tcPr>
              <w:p>
                <w:pPr>
                  <w:jc w:val="center"/>
                  <w:rPr>
                    <w:szCs w:val="24"/>
                    <w:lang w:val="en-US"/>
                  </w:rPr>
                </w:pP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671"/>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952" w:type="dxa"/>
              </w:tcPr>
              <w:p>
                <w:pPr>
                  <w:jc w:val="center"/>
                  <w:rPr>
                    <w:szCs w:val="24"/>
                    <w:lang w:val="en-US"/>
                  </w:rPr>
                </w:pPr>
                <w:r>
                  <w:rPr>
                    <w:szCs w:val="24"/>
                    <w:lang w:val="en-US"/>
                  </w:rPr>
                  <w:sym w:font="Wingdings" w:char="F078"/>
                </w: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1.4.</w:t>
                </w:r>
              </w:p>
            </w:tc>
            <w:tc>
              <w:tcPr>
                <w:tcW w:w="2088" w:type="dxa"/>
                <w:vMerge w:val="restart"/>
              </w:tcPr>
              <w:p>
                <w:pPr>
                  <w:rPr>
                    <w:b/>
                    <w:szCs w:val="24"/>
                    <w:lang w:val="en-US"/>
                  </w:rPr>
                </w:pPr>
                <w:r>
                  <w:rPr>
                    <w:b/>
                    <w:szCs w:val="24"/>
                    <w:lang w:val="en-US"/>
                  </w:rPr>
                  <w:t>Mokslo darbų rinkinys</w:t>
                </w:r>
              </w:p>
            </w:tc>
            <w:tc>
              <w:tcPr>
                <w:tcW w:w="3216" w:type="dxa"/>
                <w:vMerge w:val="restart"/>
              </w:tcPr>
              <w:p>
                <w:pPr>
                  <w:rPr>
                    <w:szCs w:val="24"/>
                    <w:lang w:val="en-US"/>
                  </w:rPr>
                </w:pPr>
                <w:r>
                  <w:rPr>
                    <w:szCs w:val="24"/>
                    <w:lang w:val="en-US"/>
                  </w:rPr>
                  <w:t xml:space="preserve">recenzuojamas </w:t>
                </w:r>
                <w:r>
                  <w:rPr>
                    <w:rFonts w:eastAsia="MinionPro-Regular"/>
                    <w:szCs w:val="24"/>
                    <w:lang w:val="en-US" w:eastAsia="lt-LT"/>
                  </w:rPr>
                  <w:t xml:space="preserve">vieno ar kelių autorių </w:t>
                </w:r>
                <w:r>
                  <w:rPr>
                    <w:szCs w:val="24"/>
                    <w:lang w:val="en-US"/>
                  </w:rPr>
                  <w:t>mokslo darbų (straipsnių ir kitų žanrų tekstų) rinkinys, kurio pagrindą sudaro mokslo darbai; išleistas turi turėti ISBN numerį</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952" w:type="dxa"/>
              </w:tcPr>
              <w:p>
                <w:pPr>
                  <w:jc w:val="center"/>
                  <w:rPr>
                    <w:szCs w:val="24"/>
                    <w:lang w:val="en-US"/>
                  </w:rPr>
                </w:pP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952" w:type="dxa"/>
              </w:tcPr>
              <w:p>
                <w:pPr>
                  <w:jc w:val="center"/>
                  <w:rPr>
                    <w:szCs w:val="24"/>
                    <w:lang w:val="en-US"/>
                  </w:rPr>
                </w:pPr>
                <w:r>
                  <w:rPr>
                    <w:szCs w:val="24"/>
                    <w:lang w:val="en-US"/>
                  </w:rPr>
                  <w:sym w:font="Wingdings" w:char="F078"/>
                </w: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1.5.</w:t>
                </w:r>
              </w:p>
            </w:tc>
            <w:tc>
              <w:tcPr>
                <w:tcW w:w="2088" w:type="dxa"/>
                <w:vMerge w:val="restart"/>
              </w:tcPr>
              <w:p>
                <w:pPr>
                  <w:rPr>
                    <w:b/>
                    <w:szCs w:val="24"/>
                    <w:lang w:val="en-US"/>
                  </w:rPr>
                </w:pPr>
                <w:r>
                  <w:rPr>
                    <w:b/>
                    <w:szCs w:val="24"/>
                    <w:lang w:val="en-US"/>
                  </w:rPr>
                  <w:t>Straipsnių rinkinys</w:t>
                </w:r>
              </w:p>
            </w:tc>
            <w:tc>
              <w:tcPr>
                <w:tcW w:w="3216" w:type="dxa"/>
                <w:vMerge w:val="restart"/>
              </w:tcPr>
              <w:p>
                <w:pPr>
                  <w:rPr>
                    <w:szCs w:val="24"/>
                    <w:lang w:val="en-US"/>
                  </w:rPr>
                </w:pPr>
                <w:r>
                  <w:rPr>
                    <w:szCs w:val="24"/>
                    <w:lang w:val="en-US"/>
                  </w:rPr>
                  <w:t xml:space="preserve">recenzuojamas originalių, </w:t>
                </w:r>
                <w:r>
                  <w:rPr>
                    <w:rFonts w:eastAsia="MinionPro-Regular"/>
                    <w:szCs w:val="24"/>
                    <w:lang w:val="en-US" w:eastAsia="lt-LT"/>
                  </w:rPr>
                  <w:t xml:space="preserve">vieno ar kelių autorių </w:t>
                </w:r>
                <w:r>
                  <w:rPr>
                    <w:szCs w:val="24"/>
                    <w:lang w:val="en-US"/>
                  </w:rPr>
                  <w:t>mokslo darbų (straipsnių) rinkinys arba kolektyvinis mokslo darbas; išleistas turi turėti ISBN numerį</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952" w:type="dxa"/>
              </w:tcPr>
              <w:p>
                <w:pPr>
                  <w:jc w:val="center"/>
                  <w:rPr>
                    <w:szCs w:val="24"/>
                    <w:lang w:val="en-US"/>
                  </w:rPr>
                </w:pP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952" w:type="dxa"/>
              </w:tcPr>
              <w:p>
                <w:pPr>
                  <w:jc w:val="center"/>
                  <w:rPr>
                    <w:szCs w:val="24"/>
                    <w:lang w:val="en-US"/>
                  </w:rPr>
                </w:pPr>
                <w:r>
                  <w:rPr>
                    <w:szCs w:val="24"/>
                    <w:lang w:val="en-US"/>
                  </w:rPr>
                  <w:sym w:font="Wingdings" w:char="F078"/>
                </w:r>
              </w:p>
            </w:tc>
            <w:tc>
              <w:tcPr>
                <w:tcW w:w="874" w:type="dxa"/>
                <w:gridSpan w:val="2"/>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16155" w:type="dxa"/>
                <w:gridSpan w:val="15"/>
              </w:tcPr>
              <w:p>
                <w:pPr>
                  <w:rPr>
                    <w:sz w:val="10"/>
                    <w:szCs w:val="10"/>
                  </w:rPr>
                </w:pPr>
              </w:p>
              <w:p>
                <w:pPr>
                  <w:rPr>
                    <w:sz w:val="10"/>
                    <w:szCs w:val="10"/>
                  </w:rPr>
                </w:pPr>
                <w:r>
                  <w:rPr>
                    <w:b/>
                    <w:i/>
                    <w:szCs w:val="24"/>
                    <w:lang w:val="en-US"/>
                  </w:rPr>
                  <w:t>2. KARTOTINIAI LEIDINIAI</w:t>
                </w:r>
              </w:p>
            </w:tc>
          </w:tr>
          <w:tr>
            <w:tc>
              <w:tcPr>
                <w:tcW w:w="708" w:type="dxa"/>
                <w:vMerge w:val="restart"/>
              </w:tcPr>
              <w:p>
                <w:pPr>
                  <w:jc w:val="right"/>
                  <w:rPr>
                    <w:szCs w:val="24"/>
                    <w:lang w:val="en-US"/>
                  </w:rPr>
                </w:pPr>
                <w:r>
                  <w:rPr>
                    <w:szCs w:val="24"/>
                    <w:lang w:val="en-US"/>
                  </w:rPr>
                  <w:t>2.1.</w:t>
                </w:r>
              </w:p>
            </w:tc>
            <w:tc>
              <w:tcPr>
                <w:tcW w:w="2088" w:type="dxa"/>
                <w:vMerge w:val="restart"/>
              </w:tcPr>
              <w:p>
                <w:pPr>
                  <w:rPr>
                    <w:b/>
                    <w:szCs w:val="24"/>
                    <w:lang w:val="en-US"/>
                  </w:rPr>
                </w:pPr>
                <w:r>
                  <w:rPr>
                    <w:b/>
                    <w:szCs w:val="24"/>
                    <w:lang w:val="en-US"/>
                  </w:rPr>
                  <w:t>Periodinis mokslo leidinys</w:t>
                </w:r>
              </w:p>
            </w:tc>
            <w:tc>
              <w:tcPr>
                <w:tcW w:w="3216" w:type="dxa"/>
                <w:vMerge w:val="restart"/>
              </w:tcPr>
              <w:p>
                <w:pPr>
                  <w:rPr>
                    <w:szCs w:val="24"/>
                    <w:lang w:val="en-US"/>
                  </w:rPr>
                </w:pPr>
                <w:r>
                  <w:rPr>
                    <w:szCs w:val="24"/>
                    <w:lang w:val="en-US"/>
                  </w:rPr>
                  <w:t>recenzuojamas, ne rečiau kaip kartą per metus leidžiamas ir ISSN numerį turintis mokslo leidinys, kurio redaktorių kolegiją sudaro kelių mokslo ir studijų institucijų mokslininkai</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78"/>
                </w:r>
              </w:p>
            </w:tc>
            <w:tc>
              <w:tcPr>
                <w:tcW w:w="672" w:type="dxa"/>
                <w:tcMar>
                  <w:top w:w="28" w:type="dxa"/>
                  <w:left w:w="28" w:type="dxa"/>
                </w:tcMar>
              </w:tcPr>
              <w:p>
                <w:pPr>
                  <w:spacing w:line="276" w:lineRule="auto"/>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78"/>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2.2.</w:t>
                </w:r>
              </w:p>
            </w:tc>
            <w:tc>
              <w:tcPr>
                <w:tcW w:w="2088" w:type="dxa"/>
                <w:vMerge w:val="restart"/>
              </w:tcPr>
              <w:p>
                <w:pPr>
                  <w:rPr>
                    <w:b/>
                    <w:szCs w:val="24"/>
                    <w:lang w:val="en-US"/>
                  </w:rPr>
                </w:pPr>
                <w:r>
                  <w:rPr>
                    <w:b/>
                    <w:szCs w:val="24"/>
                    <w:lang w:val="en-US"/>
                  </w:rPr>
                  <w:t>Tęstinis mokslo leidinys</w:t>
                </w:r>
              </w:p>
            </w:tc>
            <w:tc>
              <w:tcPr>
                <w:tcW w:w="3216" w:type="dxa"/>
                <w:vMerge w:val="restart"/>
              </w:tcPr>
              <w:p>
                <w:pPr>
                  <w:rPr>
                    <w:szCs w:val="24"/>
                    <w:lang w:val="en-US"/>
                  </w:rPr>
                </w:pPr>
                <w:r>
                  <w:rPr>
                    <w:szCs w:val="24"/>
                    <w:lang w:val="en-US"/>
                  </w:rPr>
                  <w:t>recenzuojamas neperiodinis tęstinis ISSN numerį turintis leidinys, kurio redaktorių kolegiją sudaro kelių mokslo ir studijų institucijų mokslininkai</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78"/>
                </w:r>
              </w:p>
            </w:tc>
            <w:tc>
              <w:tcPr>
                <w:tcW w:w="672" w:type="dxa"/>
                <w:tcMar>
                  <w:top w:w="28" w:type="dxa"/>
                  <w:left w:w="28" w:type="dxa"/>
                </w:tcMar>
              </w:tcPr>
              <w:p>
                <w:pPr>
                  <w:spacing w:line="276" w:lineRule="auto"/>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78"/>
                </w:r>
              </w:p>
            </w:tc>
            <w:tc>
              <w:tcPr>
                <w:tcW w:w="672" w:type="dxa"/>
                <w:tcMar>
                  <w:top w:w="28" w:type="dxa"/>
                  <w:left w:w="28" w:type="dxa"/>
                </w:tcMar>
              </w:tcPr>
              <w:p>
                <w:pPr>
                  <w:spacing w:line="276" w:lineRule="auto"/>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2.3.</w:t>
                </w:r>
              </w:p>
            </w:tc>
            <w:tc>
              <w:tcPr>
                <w:tcW w:w="2088" w:type="dxa"/>
                <w:vMerge w:val="restart"/>
              </w:tcPr>
              <w:p>
                <w:pPr>
                  <w:rPr>
                    <w:b/>
                    <w:szCs w:val="24"/>
                    <w:lang w:val="en-US"/>
                  </w:rPr>
                </w:pPr>
                <w:r>
                  <w:rPr>
                    <w:b/>
                    <w:szCs w:val="24"/>
                    <w:lang w:val="en-US"/>
                  </w:rPr>
                  <w:t>Mokslo populiarinimo leidinys</w:t>
                </w:r>
              </w:p>
            </w:tc>
            <w:tc>
              <w:tcPr>
                <w:tcW w:w="3216" w:type="dxa"/>
                <w:vMerge w:val="restart"/>
              </w:tcPr>
              <w:p>
                <w:pPr>
                  <w:rPr>
                    <w:szCs w:val="24"/>
                    <w:lang w:val="en-US"/>
                  </w:rPr>
                </w:pPr>
                <w:r>
                  <w:rPr>
                    <w:bCs/>
                    <w:szCs w:val="24"/>
                    <w:lang w:val="en-US"/>
                  </w:rPr>
                  <w:t>plačiajai visuomenei skirtas periodinis ar tęstinis leidinys, kuriame populiaria forma skleidžiamos mokslo žinios</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spacing w:line="276" w:lineRule="auto"/>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bCs/>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spacing w:line="276" w:lineRule="auto"/>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2.4.</w:t>
                </w:r>
              </w:p>
            </w:tc>
            <w:tc>
              <w:tcPr>
                <w:tcW w:w="2088" w:type="dxa"/>
                <w:vMerge w:val="restart"/>
              </w:tcPr>
              <w:p>
                <w:pPr>
                  <w:rPr>
                    <w:b/>
                    <w:szCs w:val="24"/>
                    <w:lang w:val="en-US"/>
                  </w:rPr>
                </w:pPr>
                <w:r>
                  <w:rPr>
                    <w:b/>
                    <w:szCs w:val="24"/>
                    <w:lang w:val="en-US"/>
                  </w:rPr>
                  <w:t>Profesinis leidinys</w:t>
                </w:r>
              </w:p>
            </w:tc>
            <w:tc>
              <w:tcPr>
                <w:tcW w:w="3216" w:type="dxa"/>
                <w:vMerge w:val="restart"/>
              </w:tcPr>
              <w:p>
                <w:pPr>
                  <w:rPr>
                    <w:szCs w:val="24"/>
                    <w:lang w:val="en-US"/>
                  </w:rPr>
                </w:pPr>
                <w:r>
                  <w:rPr>
                    <w:szCs w:val="24"/>
                    <w:lang w:val="en-US"/>
                  </w:rPr>
                  <w:t>tam tikrų mokslo sričių profesinei bendruomenei skirtas mokslo ir mokslo taikomųjų darbų periodinis ar tęstinis leidinys</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spacing w:line="276" w:lineRule="auto"/>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spacing w:line="276" w:lineRule="auto"/>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2.5.</w:t>
                </w:r>
              </w:p>
            </w:tc>
            <w:tc>
              <w:tcPr>
                <w:tcW w:w="2088" w:type="dxa"/>
                <w:vMerge w:val="restart"/>
              </w:tcPr>
              <w:p>
                <w:pPr>
                  <w:rPr>
                    <w:b/>
                    <w:szCs w:val="24"/>
                    <w:lang w:val="en-US"/>
                  </w:rPr>
                </w:pPr>
                <w:r>
                  <w:rPr>
                    <w:b/>
                    <w:szCs w:val="24"/>
                    <w:lang w:val="en-US"/>
                  </w:rPr>
                  <w:t>Kultūros ir meno leidinys</w:t>
                </w:r>
              </w:p>
            </w:tc>
            <w:tc>
              <w:tcPr>
                <w:tcW w:w="3216" w:type="dxa"/>
                <w:vMerge w:val="restart"/>
              </w:tcPr>
              <w:p>
                <w:pPr>
                  <w:rPr>
                    <w:szCs w:val="24"/>
                    <w:lang w:val="en-US"/>
                  </w:rPr>
                </w:pPr>
                <w:r>
                  <w:rPr>
                    <w:szCs w:val="24"/>
                    <w:lang w:val="en-US"/>
                  </w:rPr>
                  <w:t>kultūros ir meno plėtros leidinys, skirtas humanitarinių ir socialinių mokslų bendruomenei bei plačiajai visuomenei</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spacing w:line="276" w:lineRule="auto"/>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spacing w:line="276" w:lineRule="auto"/>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16155" w:type="dxa"/>
                <w:gridSpan w:val="15"/>
              </w:tcPr>
              <w:p>
                <w:pPr>
                  <w:rPr>
                    <w:sz w:val="10"/>
                    <w:szCs w:val="10"/>
                  </w:rPr>
                </w:pPr>
              </w:p>
              <w:p>
                <w:pPr>
                  <w:rPr>
                    <w:sz w:val="10"/>
                    <w:szCs w:val="10"/>
                  </w:rPr>
                </w:pPr>
                <w:r>
                  <w:rPr>
                    <w:b/>
                    <w:i/>
                    <w:szCs w:val="24"/>
                    <w:lang w:val="en-US"/>
                  </w:rPr>
                  <w:t>3. INFORMACINIAI LEIDINIAI</w:t>
                </w:r>
              </w:p>
            </w:tc>
          </w:tr>
          <w:tr>
            <w:tc>
              <w:tcPr>
                <w:tcW w:w="708" w:type="dxa"/>
                <w:vMerge w:val="restart"/>
              </w:tcPr>
              <w:p>
                <w:pPr>
                  <w:jc w:val="right"/>
                  <w:rPr>
                    <w:szCs w:val="24"/>
                    <w:lang w:val="en-US"/>
                  </w:rPr>
                </w:pPr>
                <w:r>
                  <w:rPr>
                    <w:szCs w:val="24"/>
                    <w:lang w:val="en-US"/>
                  </w:rPr>
                  <w:t>3.1.</w:t>
                </w:r>
              </w:p>
            </w:tc>
            <w:tc>
              <w:tcPr>
                <w:tcW w:w="2088" w:type="dxa"/>
                <w:vMerge w:val="restart"/>
              </w:tcPr>
              <w:p>
                <w:pPr>
                  <w:rPr>
                    <w:b/>
                    <w:bCs/>
                    <w:color w:val="000000"/>
                    <w:szCs w:val="24"/>
                    <w:lang w:val="en-US"/>
                  </w:rPr>
                </w:pPr>
                <w:r>
                  <w:rPr>
                    <w:b/>
                    <w:bCs/>
                    <w:color w:val="000000"/>
                    <w:szCs w:val="24"/>
                    <w:lang w:val="en-US"/>
                  </w:rPr>
                  <w:t>Atlasas</w:t>
                </w:r>
              </w:p>
            </w:tc>
            <w:tc>
              <w:tcPr>
                <w:tcW w:w="3216" w:type="dxa"/>
                <w:vMerge w:val="restart"/>
              </w:tcPr>
              <w:p>
                <w:pPr>
                  <w:rPr>
                    <w:bCs/>
                    <w:color w:val="000000"/>
                    <w:szCs w:val="24"/>
                    <w:highlight w:val="yellow"/>
                    <w:lang w:val="en-US"/>
                  </w:rPr>
                </w:pPr>
                <w:r>
                  <w:rPr>
                    <w:bCs/>
                    <w:color w:val="000000"/>
                    <w:szCs w:val="24"/>
                    <w:lang w:val="en-US"/>
                  </w:rPr>
                  <w:t>Žemėlapių ir jų komentarų rinkinys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bCs/>
                    <w:color w:val="000000"/>
                    <w:szCs w:val="24"/>
                    <w:lang w:val="en-US"/>
                  </w:rPr>
                </w:pPr>
              </w:p>
            </w:tc>
            <w:tc>
              <w:tcPr>
                <w:tcW w:w="3216" w:type="dxa"/>
                <w:vMerge/>
              </w:tcPr>
              <w:p>
                <w:pPr>
                  <w:rPr>
                    <w:bCs/>
                    <w:color w:val="000000"/>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29"/>
            </w:trPr>
            <w:tc>
              <w:tcPr>
                <w:tcW w:w="708" w:type="dxa"/>
                <w:vMerge w:val="restart"/>
              </w:tcPr>
              <w:p>
                <w:pPr>
                  <w:jc w:val="right"/>
                  <w:rPr>
                    <w:szCs w:val="24"/>
                    <w:lang w:val="en-US"/>
                  </w:rPr>
                </w:pPr>
                <w:r>
                  <w:rPr>
                    <w:szCs w:val="24"/>
                    <w:lang w:val="en-US"/>
                  </w:rPr>
                  <w:t>3.2.</w:t>
                </w:r>
              </w:p>
            </w:tc>
            <w:tc>
              <w:tcPr>
                <w:tcW w:w="2088" w:type="dxa"/>
                <w:vMerge w:val="restart"/>
              </w:tcPr>
              <w:p>
                <w:pPr>
                  <w:rPr>
                    <w:b/>
                    <w:szCs w:val="24"/>
                    <w:lang w:val="en-US"/>
                  </w:rPr>
                </w:pPr>
                <w:r>
                  <w:rPr>
                    <w:b/>
                    <w:bCs/>
                    <w:color w:val="000000"/>
                    <w:szCs w:val="24"/>
                    <w:lang w:val="en-US"/>
                  </w:rPr>
                  <w:t>Žemėlapis</w:t>
                </w:r>
              </w:p>
            </w:tc>
            <w:tc>
              <w:tcPr>
                <w:tcW w:w="3216" w:type="dxa"/>
                <w:vMerge w:val="restart"/>
              </w:tcPr>
              <w:p>
                <w:pPr>
                  <w:rPr>
                    <w:szCs w:val="24"/>
                    <w:lang w:val="en-US"/>
                  </w:rPr>
                </w:pPr>
                <w:r>
                  <w:rPr>
                    <w:bCs/>
                    <w:color w:val="000000"/>
                    <w:szCs w:val="24"/>
                    <w:lang w:val="en-US"/>
                  </w:rPr>
                  <w:t>susisteminti ir areališkai pateikti mokslo duomenys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29"/>
            </w:trPr>
            <w:tc>
              <w:tcPr>
                <w:tcW w:w="708" w:type="dxa"/>
                <w:vMerge/>
              </w:tcPr>
              <w:p>
                <w:pPr>
                  <w:jc w:val="right"/>
                  <w:rPr>
                    <w:szCs w:val="24"/>
                    <w:lang w:val="en-US"/>
                  </w:rPr>
                </w:pPr>
              </w:p>
            </w:tc>
            <w:tc>
              <w:tcPr>
                <w:tcW w:w="2088" w:type="dxa"/>
                <w:vMerge/>
              </w:tcPr>
              <w:p>
                <w:pPr>
                  <w:rPr>
                    <w:b/>
                    <w:bCs/>
                    <w:color w:val="000000"/>
                    <w:szCs w:val="24"/>
                    <w:lang w:val="en-US"/>
                  </w:rPr>
                </w:pPr>
              </w:p>
            </w:tc>
            <w:tc>
              <w:tcPr>
                <w:tcW w:w="3216" w:type="dxa"/>
                <w:vMerge/>
              </w:tcPr>
              <w:p>
                <w:pPr>
                  <w:rPr>
                    <w:bCs/>
                    <w:color w:val="000000"/>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3.3.</w:t>
                </w:r>
              </w:p>
            </w:tc>
            <w:tc>
              <w:tcPr>
                <w:tcW w:w="2088" w:type="dxa"/>
                <w:vMerge w:val="restart"/>
              </w:tcPr>
              <w:p>
                <w:pPr>
                  <w:rPr>
                    <w:b/>
                    <w:bCs/>
                    <w:color w:val="000000"/>
                    <w:szCs w:val="24"/>
                    <w:lang w:val="en-US"/>
                  </w:rPr>
                </w:pPr>
                <w:r>
                  <w:rPr>
                    <w:b/>
                    <w:bCs/>
                    <w:color w:val="000000"/>
                    <w:szCs w:val="24"/>
                    <w:lang w:val="en-US"/>
                  </w:rPr>
                  <w:t>Enciklopedija</w:t>
                </w:r>
              </w:p>
              <w:p>
                <w:pPr>
                  <w:ind w:firstLine="60"/>
                  <w:rPr>
                    <w:b/>
                    <w:szCs w:val="24"/>
                    <w:lang w:val="en-US"/>
                  </w:rPr>
                </w:pPr>
              </w:p>
            </w:tc>
            <w:tc>
              <w:tcPr>
                <w:tcW w:w="3216" w:type="dxa"/>
                <w:vMerge w:val="restart"/>
              </w:tcPr>
              <w:p>
                <w:pPr>
                  <w:rPr>
                    <w:szCs w:val="24"/>
                    <w:lang w:val="en-US"/>
                  </w:rPr>
                </w:pPr>
                <w:r>
                  <w:rPr>
                    <w:bCs/>
                    <w:color w:val="000000"/>
                    <w:szCs w:val="24"/>
                    <w:lang w:val="en-US"/>
                  </w:rPr>
                  <w:t>mokslinis ar mokslo populiarinimo leidinys, kuriame sistemiškai ar abėcėlės tvarka surašyti ir apibūdinti svarbiausi kurios nors mokslo srities objektai: vardai, sąvokos ir kt</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bCs/>
                    <w:color w:val="000000"/>
                    <w:szCs w:val="24"/>
                    <w:lang w:val="en-US"/>
                  </w:rPr>
                </w:pPr>
              </w:p>
            </w:tc>
            <w:tc>
              <w:tcPr>
                <w:tcW w:w="3216" w:type="dxa"/>
                <w:vMerge/>
              </w:tcPr>
              <w:p>
                <w:pPr>
                  <w:rPr>
                    <w:bCs/>
                    <w:color w:val="000000"/>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val="restart"/>
              </w:tcPr>
              <w:p>
                <w:pPr>
                  <w:jc w:val="right"/>
                  <w:rPr>
                    <w:szCs w:val="24"/>
                    <w:lang w:val="en-US"/>
                  </w:rPr>
                </w:pPr>
                <w:r>
                  <w:rPr>
                    <w:szCs w:val="24"/>
                    <w:lang w:val="en-US"/>
                  </w:rPr>
                  <w:t>3.4.</w:t>
                </w:r>
              </w:p>
            </w:tc>
            <w:tc>
              <w:tcPr>
                <w:tcW w:w="2088" w:type="dxa"/>
                <w:vMerge w:val="restart"/>
              </w:tcPr>
              <w:p>
                <w:pPr>
                  <w:rPr>
                    <w:b/>
                    <w:szCs w:val="24"/>
                    <w:lang w:val="en-US"/>
                  </w:rPr>
                </w:pPr>
                <w:r>
                  <w:rPr>
                    <w:b/>
                    <w:bCs/>
                    <w:color w:val="000000"/>
                    <w:szCs w:val="24"/>
                    <w:lang w:val="en-US"/>
                  </w:rPr>
                  <w:t>Vadovas, žinynas</w:t>
                </w:r>
              </w:p>
            </w:tc>
            <w:tc>
              <w:tcPr>
                <w:tcW w:w="3216" w:type="dxa"/>
                <w:vMerge w:val="restart"/>
              </w:tcPr>
              <w:p>
                <w:pPr>
                  <w:rPr>
                    <w:szCs w:val="24"/>
                    <w:lang w:val="en-US"/>
                  </w:rPr>
                </w:pPr>
                <w:r>
                  <w:rPr>
                    <w:bCs/>
                    <w:color w:val="000000"/>
                    <w:szCs w:val="24"/>
                    <w:lang w:val="en-US"/>
                  </w:rPr>
                  <w:t>informacinis leidinys, kuriame sistemiškai pateikiamos svarbiausios kurios nors mokslo srities ar veiklos žinios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tcPr>
              <w:p>
                <w:pPr>
                  <w:jc w:val="right"/>
                  <w:rPr>
                    <w:szCs w:val="24"/>
                    <w:lang w:val="en-US"/>
                  </w:rPr>
                </w:pPr>
              </w:p>
            </w:tc>
            <w:tc>
              <w:tcPr>
                <w:tcW w:w="2088" w:type="dxa"/>
                <w:vMerge/>
              </w:tcPr>
              <w:p>
                <w:pPr>
                  <w:rPr>
                    <w:b/>
                    <w:bCs/>
                    <w:color w:val="000000"/>
                    <w:szCs w:val="24"/>
                    <w:lang w:val="en-US"/>
                  </w:rPr>
                </w:pPr>
              </w:p>
            </w:tc>
            <w:tc>
              <w:tcPr>
                <w:tcW w:w="3216" w:type="dxa"/>
                <w:vMerge/>
              </w:tcPr>
              <w:p>
                <w:pPr>
                  <w:rPr>
                    <w:bCs/>
                    <w:color w:val="000000"/>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3.5.</w:t>
                </w:r>
              </w:p>
            </w:tc>
            <w:tc>
              <w:tcPr>
                <w:tcW w:w="2088" w:type="dxa"/>
                <w:vMerge w:val="restart"/>
              </w:tcPr>
              <w:p>
                <w:pPr>
                  <w:rPr>
                    <w:b/>
                    <w:szCs w:val="24"/>
                    <w:lang w:val="en-US"/>
                  </w:rPr>
                </w:pPr>
                <w:r>
                  <w:rPr>
                    <w:b/>
                    <w:bCs/>
                    <w:color w:val="000000"/>
                    <w:szCs w:val="24"/>
                    <w:lang w:val="en-US"/>
                  </w:rPr>
                  <w:t>Žodynas</w:t>
                </w:r>
              </w:p>
            </w:tc>
            <w:tc>
              <w:tcPr>
                <w:tcW w:w="3216" w:type="dxa"/>
                <w:vMerge w:val="restart"/>
              </w:tcPr>
              <w:p>
                <w:pPr>
                  <w:rPr>
                    <w:szCs w:val="24"/>
                    <w:lang w:val="en-US"/>
                  </w:rPr>
                </w:pPr>
                <w:r>
                  <w:rPr>
                    <w:bCs/>
                    <w:color w:val="000000"/>
                    <w:szCs w:val="24"/>
                    <w:lang w:val="en-US"/>
                  </w:rPr>
                  <w:t>teminis (dalykinis) ar abėcėlinis žodžių sąrašas, kuriame prie kiekvieno antraštinio žodžio yra pateikiama ribota specifinė arba išsami bendro pobūdžio informacija apie jo fonetines, semantines,  gramatines ir kt. ypatybes</w:t>
                </w:r>
              </w:p>
            </w:tc>
            <w:tc>
              <w:tcPr>
                <w:tcW w:w="871" w:type="dxa"/>
                <w:tcMar>
                  <w:top w:w="28" w:type="dxa"/>
                  <w:left w:w="28" w:type="dxa"/>
                </w:tcMar>
              </w:tcPr>
              <w:p>
                <w:pPr>
                  <w:jc w:val="center"/>
                  <w:rPr>
                    <w:szCs w:val="24"/>
                    <w:lang w:val="en-US"/>
                  </w:rPr>
                </w:pPr>
                <w:r>
                  <w:rPr>
                    <w:szCs w:val="24"/>
                    <w:lang w:val="en-US"/>
                  </w:rPr>
                  <w:t>T</w:t>
                </w:r>
              </w:p>
              <w:p>
                <w:pPr>
                  <w:jc w:val="center"/>
                  <w:rPr>
                    <w:szCs w:val="24"/>
                    <w:lang w:val="en-US"/>
                  </w:rPr>
                </w:pP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bCs/>
                    <w:color w:val="000000"/>
                    <w:szCs w:val="24"/>
                    <w:lang w:val="en-US"/>
                  </w:rPr>
                </w:pPr>
              </w:p>
            </w:tc>
            <w:tc>
              <w:tcPr>
                <w:tcW w:w="3216" w:type="dxa"/>
                <w:vMerge/>
              </w:tcPr>
              <w:p>
                <w:pPr>
                  <w:rPr>
                    <w:bCs/>
                    <w:color w:val="000000"/>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16155" w:type="dxa"/>
                <w:gridSpan w:val="15"/>
              </w:tcPr>
              <w:p>
                <w:pPr>
                  <w:rPr>
                    <w:sz w:val="10"/>
                    <w:szCs w:val="10"/>
                  </w:rPr>
                </w:pPr>
              </w:p>
              <w:p>
                <w:pPr>
                  <w:rPr>
                    <w:sz w:val="10"/>
                    <w:szCs w:val="10"/>
                  </w:rPr>
                </w:pPr>
                <w:r>
                  <w:rPr>
                    <w:b/>
                    <w:i/>
                    <w:szCs w:val="24"/>
                    <w:lang w:val="en-US"/>
                  </w:rPr>
                  <w:t>4. KITI LEIDINIAI</w:t>
                </w:r>
              </w:p>
            </w:tc>
          </w:tr>
          <w:tr>
            <w:tc>
              <w:tcPr>
                <w:tcW w:w="708" w:type="dxa"/>
                <w:vMerge w:val="restart"/>
              </w:tcPr>
              <w:p>
                <w:pPr>
                  <w:jc w:val="right"/>
                  <w:rPr>
                    <w:szCs w:val="24"/>
                    <w:lang w:val="en-US"/>
                  </w:rPr>
                </w:pPr>
                <w:r>
                  <w:rPr>
                    <w:szCs w:val="24"/>
                    <w:lang w:val="en-US"/>
                  </w:rPr>
                  <w:t>4.1.</w:t>
                </w:r>
              </w:p>
            </w:tc>
            <w:tc>
              <w:tcPr>
                <w:tcW w:w="2088" w:type="dxa"/>
                <w:vMerge w:val="restart"/>
              </w:tcPr>
              <w:p>
                <w:pPr>
                  <w:rPr>
                    <w:b/>
                    <w:szCs w:val="24"/>
                    <w:lang w:val="en-US"/>
                  </w:rPr>
                </w:pPr>
                <w:r>
                  <w:rPr>
                    <w:b/>
                    <w:szCs w:val="24"/>
                    <w:lang w:val="en-US"/>
                  </w:rPr>
                  <w:t>Ataskaita</w:t>
                </w:r>
              </w:p>
            </w:tc>
            <w:tc>
              <w:tcPr>
                <w:tcW w:w="3216" w:type="dxa"/>
                <w:vMerge w:val="restart"/>
              </w:tcPr>
              <w:p>
                <w:pPr>
                  <w:rPr>
                    <w:szCs w:val="24"/>
                    <w:lang w:val="en-US"/>
                  </w:rPr>
                </w:pPr>
                <w:r>
                  <w:rPr>
                    <w:szCs w:val="24"/>
                    <w:lang w:val="en-US"/>
                  </w:rPr>
                  <w:t>moksliniai tyrimai ir jų rezultatai, pateikti užsakovo reikalaujama forma</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val="restart"/>
              </w:tcPr>
              <w:p>
                <w:pPr>
                  <w:jc w:val="right"/>
                  <w:rPr>
                    <w:szCs w:val="24"/>
                    <w:lang w:val="en-US"/>
                  </w:rPr>
                </w:pPr>
                <w:r>
                  <w:rPr>
                    <w:szCs w:val="24"/>
                    <w:lang w:val="en-US"/>
                  </w:rPr>
                  <w:t>4.2.</w:t>
                </w:r>
              </w:p>
            </w:tc>
            <w:tc>
              <w:tcPr>
                <w:tcW w:w="2088" w:type="dxa"/>
                <w:vMerge w:val="restart"/>
              </w:tcPr>
              <w:p>
                <w:pPr>
                  <w:rPr>
                    <w:b/>
                    <w:szCs w:val="24"/>
                    <w:lang w:val="en-US"/>
                  </w:rPr>
                </w:pPr>
                <w:r>
                  <w:rPr>
                    <w:b/>
                    <w:szCs w:val="24"/>
                    <w:lang w:val="en-US"/>
                  </w:rPr>
                  <w:t>Chrestomatija, antologija</w:t>
                </w:r>
              </w:p>
            </w:tc>
            <w:tc>
              <w:tcPr>
                <w:tcW w:w="3216" w:type="dxa"/>
                <w:vMerge w:val="restart"/>
              </w:tcPr>
              <w:p>
                <w:pPr>
                  <w:rPr>
                    <w:szCs w:val="24"/>
                    <w:lang w:val="en-US"/>
                  </w:rPr>
                </w:pPr>
                <w:r>
                  <w:rPr>
                    <w:szCs w:val="24"/>
                    <w:lang w:val="en-US"/>
                  </w:rPr>
                  <w:t>konceptualiai atrinktų mokslinę vertę turinčių tekstų (objektų), parengtų pagal šaltinio mokslinės publikacijos reikalavimus, rinkinys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val="restart"/>
              </w:tcPr>
              <w:p>
                <w:pPr>
                  <w:jc w:val="right"/>
                  <w:rPr>
                    <w:szCs w:val="24"/>
                    <w:lang w:val="en-US"/>
                  </w:rPr>
                </w:pPr>
                <w:r>
                  <w:rPr>
                    <w:szCs w:val="24"/>
                    <w:lang w:val="en-US"/>
                  </w:rPr>
                  <w:t>4.3.</w:t>
                </w:r>
              </w:p>
            </w:tc>
            <w:tc>
              <w:tcPr>
                <w:tcW w:w="2088" w:type="dxa"/>
                <w:vMerge w:val="restart"/>
              </w:tcPr>
              <w:p>
                <w:pPr>
                  <w:rPr>
                    <w:b/>
                    <w:szCs w:val="24"/>
                    <w:lang w:val="en-US"/>
                  </w:rPr>
                </w:pPr>
                <w:r>
                  <w:rPr>
                    <w:b/>
                    <w:szCs w:val="24"/>
                    <w:lang w:val="en-US"/>
                  </w:rPr>
                  <w:t>(Bio)bibliografijos leidinys</w:t>
                </w:r>
              </w:p>
            </w:tc>
            <w:tc>
              <w:tcPr>
                <w:tcW w:w="3216" w:type="dxa"/>
                <w:vMerge w:val="restart"/>
              </w:tcPr>
              <w:p>
                <w:pPr>
                  <w:rPr>
                    <w:szCs w:val="24"/>
                    <w:lang w:val="en-US"/>
                  </w:rPr>
                </w:pPr>
                <w:r>
                  <w:rPr>
                    <w:szCs w:val="24"/>
                    <w:lang w:val="en-US"/>
                  </w:rPr>
                  <w:t>pagal mokslinius sisteminius kriterijus parengtas leidinių, dokumentų ir pan. sąrašas, skirtas mokslo reikmėms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4.4.</w:t>
                </w:r>
              </w:p>
            </w:tc>
            <w:tc>
              <w:tcPr>
                <w:tcW w:w="2088" w:type="dxa"/>
                <w:vMerge w:val="restart"/>
              </w:tcPr>
              <w:p>
                <w:pPr>
                  <w:rPr>
                    <w:b/>
                    <w:szCs w:val="24"/>
                    <w:lang w:val="en-US"/>
                  </w:rPr>
                </w:pPr>
                <w:r>
                  <w:rPr>
                    <w:b/>
                    <w:szCs w:val="24"/>
                    <w:lang w:val="en-US"/>
                  </w:rPr>
                  <w:t>Mokslo paveldo leidinys</w:t>
                </w:r>
              </w:p>
            </w:tc>
            <w:tc>
              <w:tcPr>
                <w:tcW w:w="3216" w:type="dxa"/>
                <w:vMerge w:val="restart"/>
              </w:tcPr>
              <w:p>
                <w:pPr>
                  <w:rPr>
                    <w:szCs w:val="24"/>
                    <w:lang w:val="en-US"/>
                  </w:rPr>
                </w:pPr>
                <w:r>
                  <w:rPr>
                    <w:szCs w:val="24"/>
                    <w:lang w:val="en-US"/>
                  </w:rPr>
                  <w:t>tekstų, reikšmingų mokslui ir mokslo istorijai rinkinys, parengtas pagal mokslinės publikacijos reikalavimus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1085"/>
            </w:trPr>
            <w:tc>
              <w:tcPr>
                <w:tcW w:w="708" w:type="dxa"/>
                <w:vMerge w:val="restart"/>
              </w:tcPr>
              <w:p>
                <w:pPr>
                  <w:jc w:val="right"/>
                  <w:rPr>
                    <w:szCs w:val="24"/>
                    <w:lang w:val="en-US"/>
                  </w:rPr>
                </w:pPr>
                <w:r>
                  <w:rPr>
                    <w:szCs w:val="24"/>
                    <w:lang w:val="en-US"/>
                  </w:rPr>
                  <w:t>4.5.</w:t>
                </w:r>
              </w:p>
            </w:tc>
            <w:tc>
              <w:tcPr>
                <w:tcW w:w="2088" w:type="dxa"/>
                <w:vMerge w:val="restart"/>
              </w:tcPr>
              <w:p>
                <w:pPr>
                  <w:rPr>
                    <w:b/>
                    <w:szCs w:val="24"/>
                    <w:lang w:val="en-US"/>
                  </w:rPr>
                </w:pPr>
                <w:r>
                  <w:rPr>
                    <w:b/>
                    <w:szCs w:val="24"/>
                    <w:lang w:val="en-US"/>
                  </w:rPr>
                  <w:t>Mokslinis šaltinio leidinys</w:t>
                </w:r>
              </w:p>
            </w:tc>
            <w:tc>
              <w:tcPr>
                <w:tcW w:w="3216" w:type="dxa"/>
                <w:vMerge w:val="restart"/>
              </w:tcPr>
              <w:p>
                <w:pPr>
                  <w:rPr>
                    <w:szCs w:val="24"/>
                    <w:lang w:val="en-US"/>
                  </w:rPr>
                </w:pPr>
                <w:r>
                  <w:rPr>
                    <w:szCs w:val="24"/>
                    <w:lang w:val="en-US"/>
                  </w:rPr>
                  <w:t>mokslinę vertę turinčių tekstinių, vaizdo, garso šaltinių, empirinių duomenų parengimas ir publikavimas pagal bendruosius šaltiniotyrinius ir specifinius tam tikros mokslo krypties bei šakos reikalavimus; atliekamas laikantis konkrečios metodikos ir turi mokslinį aparatą (įvadinį tyrimą, tekstologinį, dalykinį komentarą, rodykles ir kt.).</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1085"/>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val="restart"/>
              </w:tcPr>
              <w:p>
                <w:pPr>
                  <w:jc w:val="right"/>
                  <w:rPr>
                    <w:szCs w:val="24"/>
                    <w:lang w:val="en-US"/>
                  </w:rPr>
                </w:pPr>
                <w:r>
                  <w:rPr>
                    <w:szCs w:val="24"/>
                    <w:lang w:val="en-US"/>
                  </w:rPr>
                  <w:t>4.6.</w:t>
                </w:r>
              </w:p>
            </w:tc>
            <w:tc>
              <w:tcPr>
                <w:tcW w:w="2088" w:type="dxa"/>
                <w:vMerge w:val="restart"/>
              </w:tcPr>
              <w:p>
                <w:pPr>
                  <w:rPr>
                    <w:b/>
                    <w:szCs w:val="24"/>
                    <w:lang w:val="en-US"/>
                  </w:rPr>
                </w:pPr>
                <w:r>
                  <w:rPr>
                    <w:b/>
                    <w:szCs w:val="24"/>
                    <w:lang w:val="en-US"/>
                  </w:rPr>
                  <w:t>Mokslinio vertimo leidinys</w:t>
                </w:r>
              </w:p>
            </w:tc>
            <w:tc>
              <w:tcPr>
                <w:tcW w:w="3216" w:type="dxa"/>
                <w:vMerge w:val="restart"/>
              </w:tcPr>
              <w:p>
                <w:pPr>
                  <w:rPr>
                    <w:szCs w:val="24"/>
                    <w:lang w:val="en-US"/>
                  </w:rPr>
                </w:pPr>
                <w:r>
                  <w:rPr>
                    <w:szCs w:val="24"/>
                    <w:lang w:val="en-US"/>
                  </w:rPr>
                  <w:t>mokslo darbo (šaltinio) vertimas, turintis mokslinį aparatą (įvadinį tyrimą, tekstologinį, dalykinį komentarą, rodykles ir kt.)</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val="restart"/>
              </w:tcPr>
              <w:p>
                <w:pPr>
                  <w:jc w:val="right"/>
                  <w:rPr>
                    <w:szCs w:val="24"/>
                    <w:lang w:val="en-US"/>
                  </w:rPr>
                </w:pPr>
                <w:r>
                  <w:rPr>
                    <w:szCs w:val="24"/>
                    <w:lang w:val="en-US"/>
                  </w:rPr>
                  <w:t>4.7.</w:t>
                </w:r>
              </w:p>
            </w:tc>
            <w:tc>
              <w:tcPr>
                <w:tcW w:w="2088" w:type="dxa"/>
                <w:vMerge w:val="restart"/>
              </w:tcPr>
              <w:p>
                <w:pPr>
                  <w:rPr>
                    <w:b/>
                    <w:szCs w:val="24"/>
                    <w:lang w:val="en-US"/>
                  </w:rPr>
                </w:pPr>
                <w:r>
                  <w:rPr>
                    <w:b/>
                    <w:szCs w:val="24"/>
                    <w:lang w:val="en-US"/>
                  </w:rPr>
                  <w:t>Mokslinis šaltinių katalogas</w:t>
                </w:r>
              </w:p>
            </w:tc>
            <w:tc>
              <w:tcPr>
                <w:tcW w:w="3216" w:type="dxa"/>
                <w:vMerge w:val="restart"/>
              </w:tcPr>
              <w:p>
                <w:pPr>
                  <w:rPr>
                    <w:szCs w:val="24"/>
                    <w:lang w:val="en-US"/>
                  </w:rPr>
                </w:pPr>
                <w:r>
                  <w:rPr>
                    <w:szCs w:val="24"/>
                    <w:lang w:val="en-US"/>
                  </w:rPr>
                  <w:t>sistemiškai aprašyti nauji, modifikuoti arba egzistuojantys mokslo duomenys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16155" w:type="dxa"/>
                <w:gridSpan w:val="15"/>
              </w:tcPr>
              <w:p>
                <w:pPr>
                  <w:rPr>
                    <w:sz w:val="10"/>
                    <w:szCs w:val="10"/>
                  </w:rPr>
                </w:pPr>
              </w:p>
              <w:p>
                <w:pPr>
                  <w:rPr>
                    <w:sz w:val="10"/>
                    <w:szCs w:val="10"/>
                  </w:rPr>
                </w:pPr>
                <w:r>
                  <w:rPr>
                    <w:b/>
                    <w:szCs w:val="24"/>
                    <w:lang w:val="en-US"/>
                  </w:rPr>
                  <w:t>MOKSLINIŲ LEIDINIŲ TEKSTAI</w:t>
                </w:r>
              </w:p>
            </w:tc>
          </w:tr>
          <w:tr>
            <w:tc>
              <w:tcPr>
                <w:tcW w:w="16155" w:type="dxa"/>
                <w:gridSpan w:val="15"/>
              </w:tcPr>
              <w:p>
                <w:pPr>
                  <w:rPr>
                    <w:sz w:val="10"/>
                    <w:szCs w:val="10"/>
                  </w:rPr>
                </w:pPr>
              </w:p>
              <w:p>
                <w:pPr>
                  <w:rPr>
                    <w:sz w:val="10"/>
                    <w:szCs w:val="10"/>
                  </w:rPr>
                </w:pPr>
                <w:r>
                  <w:rPr>
                    <w:b/>
                    <w:i/>
                    <w:szCs w:val="24"/>
                    <w:lang w:val="en-US"/>
                  </w:rPr>
                  <w:t>1. MOKSLINIAI TEKSTAI</w:t>
                </w:r>
              </w:p>
            </w:tc>
          </w:tr>
          <w:tr>
            <w:tc>
              <w:tcPr>
                <w:tcW w:w="708" w:type="dxa"/>
                <w:vMerge w:val="restart"/>
              </w:tcPr>
              <w:p>
                <w:pPr>
                  <w:jc w:val="right"/>
                  <w:rPr>
                    <w:szCs w:val="24"/>
                    <w:lang w:val="en-US"/>
                  </w:rPr>
                </w:pPr>
                <w:r>
                  <w:rPr>
                    <w:szCs w:val="24"/>
                    <w:lang w:val="en-US"/>
                  </w:rPr>
                  <w:t>1.1.</w:t>
                </w:r>
              </w:p>
            </w:tc>
            <w:tc>
              <w:tcPr>
                <w:tcW w:w="2088" w:type="dxa"/>
                <w:vMerge w:val="restart"/>
              </w:tcPr>
              <w:p>
                <w:pPr>
                  <w:rPr>
                    <w:b/>
                    <w:szCs w:val="24"/>
                    <w:lang w:val="en-US"/>
                  </w:rPr>
                </w:pPr>
                <w:r>
                  <w:rPr>
                    <w:b/>
                    <w:szCs w:val="24"/>
                    <w:lang w:val="en-US"/>
                  </w:rPr>
                  <w:t>Knygos skyrius (dalis)</w:t>
                </w:r>
              </w:p>
            </w:tc>
            <w:tc>
              <w:tcPr>
                <w:tcW w:w="3216" w:type="dxa"/>
                <w:vMerge w:val="restart"/>
              </w:tcPr>
              <w:p>
                <w:pPr>
                  <w:rPr>
                    <w:szCs w:val="24"/>
                    <w:lang w:val="en-US"/>
                  </w:rPr>
                </w:pPr>
                <w:r>
                  <w:rPr>
                    <w:szCs w:val="24"/>
                    <w:lang w:val="en-US"/>
                  </w:rPr>
                  <w:t>monografijos ar studijos dalis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78"/>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78"/>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1370"/>
            </w:trPr>
            <w:tc>
              <w:tcPr>
                <w:tcW w:w="708" w:type="dxa"/>
                <w:vMerge w:val="restart"/>
              </w:tcPr>
              <w:p>
                <w:pPr>
                  <w:jc w:val="right"/>
                  <w:rPr>
                    <w:szCs w:val="24"/>
                    <w:lang w:val="en-US"/>
                  </w:rPr>
                </w:pPr>
                <w:r>
                  <w:rPr>
                    <w:szCs w:val="24"/>
                    <w:lang w:val="en-US"/>
                  </w:rPr>
                  <w:t>1.2.</w:t>
                </w:r>
              </w:p>
            </w:tc>
            <w:tc>
              <w:tcPr>
                <w:tcW w:w="2088" w:type="dxa"/>
                <w:vMerge w:val="restart"/>
              </w:tcPr>
              <w:p>
                <w:pPr>
                  <w:rPr>
                    <w:b/>
                    <w:szCs w:val="24"/>
                    <w:lang w:val="en-US"/>
                  </w:rPr>
                </w:pPr>
                <w:r>
                  <w:rPr>
                    <w:b/>
                    <w:szCs w:val="24"/>
                    <w:lang w:val="en-US"/>
                  </w:rPr>
                  <w:t>Straipsnis – recenzuojamas tekstas</w:t>
                </w:r>
              </w:p>
            </w:tc>
            <w:tc>
              <w:tcPr>
                <w:tcW w:w="3216" w:type="dxa"/>
                <w:vMerge w:val="restart"/>
              </w:tcPr>
              <w:p>
                <w:pPr>
                  <w:rPr>
                    <w:szCs w:val="24"/>
                    <w:lang w:val="en-US"/>
                  </w:rPr>
                </w:pPr>
                <w:r>
                  <w:rPr>
                    <w:szCs w:val="24"/>
                    <w:lang w:val="en-US"/>
                  </w:rPr>
                  <w:t>p</w:t>
                </w:r>
                <w:r>
                  <w:rPr>
                    <w:iCs/>
                    <w:szCs w:val="24"/>
                    <w:lang w:val="en-US" w:eastAsia="lt-LT"/>
                  </w:rPr>
                  <w:t xml:space="preserve">eriodiniame, tęstiniame mokslo ar profesiniame leidinyje, kuriame </w:t>
                </w:r>
                <w:r>
                  <w:rPr>
                    <w:szCs w:val="24"/>
                    <w:lang w:val="en-US"/>
                  </w:rPr>
                  <w:t xml:space="preserve">paskelbti mokslinės problemos tyrimo rezultatai ar mokslinės temos apžvalga, pateikta taikant konkrečioje mokslo kryptyje įprastą mokslinį aparatą (išnašas ar (ir) bibliografiją, ar (ir) formules, ar (ir) brėžinius, ar (ir) metodologijos aprašą, ar (ir) statistines lenteles ir pan.) ir atitinkantis toje mokslo kryptyje pripažįstamus moksliškumo kriterijus; mažiausia apimtis </w:t>
                  <w:sym w:font="Symbol" w:char="F02D"/>
                  <w:t xml:space="preserve"> 0,25 autorinio lanko</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78"/>
                </w:r>
              </w:p>
            </w:tc>
          </w:tr>
          <w:tr>
            <w:trPr>
              <w:trHeight w:val="1370"/>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78"/>
                </w:r>
              </w:p>
            </w:tc>
          </w:tr>
          <w:tr>
            <w:trPr>
              <w:trHeight w:val="1508"/>
            </w:trPr>
            <w:tc>
              <w:tcPr>
                <w:tcW w:w="708" w:type="dxa"/>
                <w:vMerge w:val="restart"/>
              </w:tcPr>
              <w:p>
                <w:pPr>
                  <w:jc w:val="right"/>
                  <w:rPr>
                    <w:szCs w:val="24"/>
                    <w:lang w:val="en-US"/>
                  </w:rPr>
                </w:pPr>
                <w:r>
                  <w:rPr>
                    <w:szCs w:val="24"/>
                    <w:lang w:val="en-US"/>
                  </w:rPr>
                  <w:t>1.3.</w:t>
                </w:r>
              </w:p>
            </w:tc>
            <w:tc>
              <w:tcPr>
                <w:tcW w:w="2088" w:type="dxa"/>
                <w:vMerge w:val="restart"/>
              </w:tcPr>
              <w:p>
                <w:pPr>
                  <w:rPr>
                    <w:b/>
                    <w:szCs w:val="24"/>
                    <w:lang w:val="en-US"/>
                  </w:rPr>
                </w:pPr>
                <w:r>
                  <w:rPr>
                    <w:b/>
                    <w:szCs w:val="24"/>
                    <w:lang w:val="en-US"/>
                  </w:rPr>
                  <w:t>Recenzinis straipsnis</w:t>
                </w:r>
              </w:p>
            </w:tc>
            <w:tc>
              <w:tcPr>
                <w:tcW w:w="3216" w:type="dxa"/>
                <w:vMerge w:val="restart"/>
              </w:tcPr>
              <w:p>
                <w:pPr>
                  <w:rPr>
                    <w:szCs w:val="24"/>
                    <w:lang w:val="en-US"/>
                  </w:rPr>
                </w:pPr>
                <w:r>
                  <w:rPr>
                    <w:szCs w:val="24"/>
                    <w:lang w:val="en-US"/>
                  </w:rPr>
                  <w:t>recenzuojamas mokslo straipsnis, kurio turinį sudaro kito publikuoto mokslo darbo pristatymas, išsamus ir argumentuotas vertinimas bei kritika, kur ne tik diskutuojama su recenzuojamo darbo koncepcija ar diskusijos pagrindu iškeliama ir argumentuotai svarstoma teorinė, metodologinė ar interpretacinė problema, bet ir pateikiami</w:t>
                </w:r>
                <w:r>
                  <w:rPr>
                    <w:color w:val="C0504D"/>
                    <w:szCs w:val="24"/>
                    <w:lang w:val="en-US"/>
                  </w:rPr>
                  <w:t xml:space="preserve"> </w:t>
                </w:r>
                <w:r>
                  <w:rPr>
                    <w:szCs w:val="24"/>
                    <w:lang w:val="en-US"/>
                  </w:rPr>
                  <w:t xml:space="preserve">ir pagrindžiami originalūs recenzinio straipsnio autoriaus tyrimų rezultatai, padaromos išvados ir nurodoma naudota literatūra; mažiausia apimtis </w:t>
                  <w:sym w:font="Symbol" w:char="F02D"/>
                  <w:t xml:space="preserve"> 0,25 autorinio lanko</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78"/>
                </w:r>
              </w:p>
            </w:tc>
          </w:tr>
          <w:tr>
            <w:trPr>
              <w:trHeight w:val="1508"/>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78"/>
                </w:r>
              </w:p>
            </w:tc>
          </w:tr>
          <w:tr>
            <w:trPr>
              <w:trHeight w:val="542"/>
            </w:trPr>
            <w:tc>
              <w:tcPr>
                <w:tcW w:w="708" w:type="dxa"/>
                <w:vMerge w:val="restart"/>
              </w:tcPr>
              <w:p>
                <w:pPr>
                  <w:jc w:val="right"/>
                  <w:rPr>
                    <w:szCs w:val="24"/>
                    <w:lang w:val="en-US"/>
                  </w:rPr>
                </w:pPr>
                <w:r>
                  <w:rPr>
                    <w:szCs w:val="24"/>
                    <w:lang w:val="en-US"/>
                  </w:rPr>
                  <w:t>1.4.</w:t>
                </w:r>
              </w:p>
            </w:tc>
            <w:tc>
              <w:tcPr>
                <w:tcW w:w="2088" w:type="dxa"/>
                <w:vMerge w:val="restart"/>
              </w:tcPr>
              <w:p>
                <w:pPr>
                  <w:rPr>
                    <w:b/>
                    <w:szCs w:val="24"/>
                    <w:lang w:val="en-US"/>
                  </w:rPr>
                </w:pPr>
                <w:r>
                  <w:rPr>
                    <w:b/>
                    <w:szCs w:val="24"/>
                    <w:lang w:val="en-US"/>
                  </w:rPr>
                  <w:t>Diskusinis straipsnis</w:t>
                </w:r>
              </w:p>
            </w:tc>
            <w:tc>
              <w:tcPr>
                <w:tcW w:w="3216" w:type="dxa"/>
                <w:vMerge w:val="restart"/>
              </w:tcPr>
              <w:p>
                <w:pPr>
                  <w:rPr>
                    <w:szCs w:val="24"/>
                    <w:lang w:val="en-US"/>
                  </w:rPr>
                </w:pPr>
                <w:r>
                  <w:rPr>
                    <w:szCs w:val="24"/>
                    <w:lang w:val="en-US"/>
                  </w:rPr>
                  <w:t xml:space="preserve">mokslinei polemikai skirtas tekstas, kuriuo reaguojama į ankstesnes publikacijas ir mokslo aktualijas; mažiausia apimtis </w:t>
                  <w:sym w:font="Symbol" w:char="F02D"/>
                  <w:t xml:space="preserve"> 0,25 autorinio lanko</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42"/>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val="restart"/>
              </w:tcPr>
              <w:p>
                <w:pPr>
                  <w:jc w:val="right"/>
                  <w:rPr>
                    <w:szCs w:val="24"/>
                    <w:lang w:val="en-US"/>
                  </w:rPr>
                </w:pPr>
                <w:r>
                  <w:rPr>
                    <w:szCs w:val="24"/>
                    <w:lang w:val="en-US"/>
                  </w:rPr>
                  <w:t>1.5.</w:t>
                </w:r>
              </w:p>
            </w:tc>
            <w:tc>
              <w:tcPr>
                <w:tcW w:w="2088" w:type="dxa"/>
                <w:vMerge w:val="restart"/>
              </w:tcPr>
              <w:p>
                <w:pPr>
                  <w:rPr>
                    <w:b/>
                    <w:szCs w:val="24"/>
                    <w:lang w:val="en-US"/>
                  </w:rPr>
                </w:pPr>
                <w:r>
                  <w:rPr>
                    <w:b/>
                    <w:szCs w:val="24"/>
                    <w:lang w:val="en-US"/>
                  </w:rPr>
                  <w:t>Konferencijos pranešimo tekstas</w:t>
                </w:r>
              </w:p>
            </w:tc>
            <w:tc>
              <w:tcPr>
                <w:tcW w:w="3216" w:type="dxa"/>
                <w:vMerge w:val="restart"/>
              </w:tcPr>
              <w:p>
                <w:pPr>
                  <w:rPr>
                    <w:szCs w:val="24"/>
                    <w:lang w:val="en-US"/>
                  </w:rPr>
                </w:pPr>
                <w:r>
                  <w:rPr>
                    <w:szCs w:val="24"/>
                    <w:lang w:val="en-US"/>
                  </w:rPr>
                  <w:t>mokslinio straipsnio kriterijus atitinkantis</w:t>
                </w:r>
                <w:r>
                  <w:rPr>
                    <w:b/>
                    <w:szCs w:val="24"/>
                    <w:lang w:val="en-US"/>
                  </w:rPr>
                  <w:t xml:space="preserve"> </w:t>
                </w:r>
                <w:r>
                  <w:rPr>
                    <w:szCs w:val="24"/>
                    <w:lang w:val="en-US"/>
                  </w:rPr>
                  <w:t>s</w:t>
                </w:r>
                <w:r>
                  <w:rPr>
                    <w:iCs/>
                    <w:szCs w:val="24"/>
                    <w:lang w:val="en-US" w:eastAsia="lt-LT"/>
                  </w:rPr>
                  <w:t xml:space="preserve">pausdintas mokslo konferencijos pranešimas, paskelbtas </w:t>
                </w:r>
                <w:r>
                  <w:rPr>
                    <w:rFonts w:eastAsia="MinionPro-Regular"/>
                    <w:szCs w:val="24"/>
                    <w:lang w:val="en-US" w:eastAsia="lt-LT"/>
                  </w:rPr>
                  <w:t>mokslinės konferencijos pranešimų rinkinyje</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78"/>
                </w:r>
              </w:p>
            </w:tc>
          </w:tr>
          <w:tr>
            <w:trPr>
              <w:trHeight w:val="533"/>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78"/>
                </w:r>
              </w:p>
            </w:tc>
          </w:tr>
          <w:tr>
            <w:trPr>
              <w:trHeight w:val="395"/>
            </w:trPr>
            <w:tc>
              <w:tcPr>
                <w:tcW w:w="708" w:type="dxa"/>
                <w:vMerge w:val="restart"/>
              </w:tcPr>
              <w:p>
                <w:pPr>
                  <w:jc w:val="right"/>
                  <w:rPr>
                    <w:szCs w:val="24"/>
                    <w:lang w:val="en-US"/>
                  </w:rPr>
                </w:pPr>
                <w:r>
                  <w:rPr>
                    <w:szCs w:val="24"/>
                    <w:lang w:val="en-US"/>
                  </w:rPr>
                  <w:t>1.6.</w:t>
                </w:r>
              </w:p>
            </w:tc>
            <w:tc>
              <w:tcPr>
                <w:tcW w:w="2088" w:type="dxa"/>
                <w:vMerge w:val="restart"/>
              </w:tcPr>
              <w:p>
                <w:pPr>
                  <w:rPr>
                    <w:b/>
                    <w:szCs w:val="24"/>
                    <w:lang w:val="en-US"/>
                  </w:rPr>
                </w:pPr>
                <w:r>
                  <w:rPr>
                    <w:b/>
                    <w:szCs w:val="24"/>
                    <w:lang w:val="en-US"/>
                  </w:rPr>
                  <w:t>Konferencijos pranešimo tezės (santrauka)</w:t>
                </w:r>
              </w:p>
            </w:tc>
            <w:tc>
              <w:tcPr>
                <w:tcW w:w="3216" w:type="dxa"/>
                <w:vMerge w:val="restart"/>
              </w:tcPr>
              <w:p>
                <w:pPr>
                  <w:rPr>
                    <w:szCs w:val="24"/>
                    <w:lang w:val="en-US"/>
                  </w:rPr>
                </w:pPr>
                <w:r>
                  <w:rPr>
                    <w:szCs w:val="24"/>
                    <w:lang w:val="en-US"/>
                  </w:rPr>
                  <w:t>s</w:t>
                </w:r>
                <w:r>
                  <w:rPr>
                    <w:iCs/>
                    <w:szCs w:val="24"/>
                    <w:lang w:val="en-US" w:eastAsia="lt-LT"/>
                  </w:rPr>
                  <w:t>pausdintas tekstas, kuriame atskleista mokslinės konferencijos pranešimo tema, tyrimo kryptis ir pagrindinės išvados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1223"/>
            </w:trPr>
            <w:tc>
              <w:tcPr>
                <w:tcW w:w="708" w:type="dxa"/>
                <w:vMerge w:val="restart"/>
              </w:tcPr>
              <w:p>
                <w:pPr>
                  <w:jc w:val="right"/>
                  <w:rPr>
                    <w:szCs w:val="24"/>
                    <w:lang w:val="en-US"/>
                  </w:rPr>
                </w:pPr>
                <w:r>
                  <w:rPr>
                    <w:szCs w:val="24"/>
                    <w:lang w:val="en-US"/>
                  </w:rPr>
                  <w:t>1.7.</w:t>
                </w:r>
              </w:p>
            </w:tc>
            <w:tc>
              <w:tcPr>
                <w:tcW w:w="2088" w:type="dxa"/>
                <w:vMerge w:val="restart"/>
              </w:tcPr>
              <w:p>
                <w:pPr>
                  <w:rPr>
                    <w:szCs w:val="24"/>
                    <w:lang w:val="en-US"/>
                  </w:rPr>
                </w:pPr>
                <w:r>
                  <w:rPr>
                    <w:b/>
                    <w:bCs/>
                    <w:szCs w:val="24"/>
                    <w:shd w:val="clear" w:color="auto" w:fill="FFFFFF"/>
                    <w:lang w:val="en-US"/>
                  </w:rPr>
                  <w:t>Kritinis šaltinio tekstas</w:t>
                </w:r>
              </w:p>
            </w:tc>
            <w:tc>
              <w:tcPr>
                <w:tcW w:w="3216" w:type="dxa"/>
                <w:vMerge w:val="restart"/>
              </w:tcPr>
              <w:p>
                <w:pPr>
                  <w:rPr>
                    <w:b/>
                    <w:szCs w:val="24"/>
                    <w:lang w:val="en-US"/>
                  </w:rPr>
                </w:pPr>
                <w:r>
                  <w:rPr>
                    <w:b/>
                    <w:bCs/>
                    <w:szCs w:val="24"/>
                    <w:shd w:val="clear" w:color="auto" w:fill="FFFFFF"/>
                    <w:lang w:val="en-US"/>
                  </w:rPr>
                  <w:t>tekstas, išleistas ar parengtas leidimui, grindžiamam dokumentinių duomenų visuma bei teksto istorijos tyrimu (kitaip – istoriniam kritiniam leidimui), t. y. pateikiamas kritinis tekstas, kuris filologiniu ir istoriniu požiūriu laikomas pagrindine, įtikinamiausia originalų perskaitymo ar jų rekonstravimo galimybe (kanoniniu tekstu); turi tekstologinį aparatą, komentarus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1223"/>
            </w:trPr>
            <w:tc>
              <w:tcPr>
                <w:tcW w:w="708" w:type="dxa"/>
                <w:vMerge/>
              </w:tcPr>
              <w:p>
                <w:pPr>
                  <w:jc w:val="right"/>
                  <w:rPr>
                    <w:szCs w:val="24"/>
                    <w:lang w:val="en-US"/>
                  </w:rPr>
                </w:pPr>
              </w:p>
            </w:tc>
            <w:tc>
              <w:tcPr>
                <w:tcW w:w="2088" w:type="dxa"/>
                <w:vMerge/>
              </w:tcPr>
              <w:p>
                <w:pPr>
                  <w:rPr>
                    <w:b/>
                    <w:bCs/>
                    <w:szCs w:val="24"/>
                    <w:shd w:val="clear" w:color="auto" w:fill="FFFFFF"/>
                    <w:lang w:val="en-US"/>
                  </w:rPr>
                </w:pPr>
              </w:p>
            </w:tc>
            <w:tc>
              <w:tcPr>
                <w:tcW w:w="3216" w:type="dxa"/>
                <w:vMerge/>
              </w:tcPr>
              <w:p>
                <w:pPr>
                  <w:spacing w:line="276" w:lineRule="auto"/>
                  <w:rPr>
                    <w:bCs/>
                    <w:szCs w:val="24"/>
                    <w:shd w:val="clear" w:color="auto" w:fill="FFFFFF"/>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val="restart"/>
              </w:tcPr>
              <w:p>
                <w:pPr>
                  <w:jc w:val="right"/>
                  <w:rPr>
                    <w:szCs w:val="24"/>
                    <w:lang w:val="en-US"/>
                  </w:rPr>
                </w:pPr>
                <w:r>
                  <w:rPr>
                    <w:szCs w:val="24"/>
                    <w:lang w:val="en-US"/>
                  </w:rPr>
                  <w:t>1.8.</w:t>
                </w:r>
              </w:p>
            </w:tc>
            <w:tc>
              <w:tcPr>
                <w:tcW w:w="2088" w:type="dxa"/>
                <w:vMerge w:val="restart"/>
              </w:tcPr>
              <w:p>
                <w:pPr>
                  <w:rPr>
                    <w:szCs w:val="24"/>
                    <w:lang w:val="en-US"/>
                  </w:rPr>
                </w:pPr>
                <w:r>
                  <w:rPr>
                    <w:b/>
                    <w:bCs/>
                    <w:szCs w:val="24"/>
                    <w:shd w:val="clear" w:color="auto" w:fill="FFFFFF"/>
                    <w:lang w:val="en-US"/>
                  </w:rPr>
                  <w:t>Dokumentinis šaltinio tekstas</w:t>
                </w:r>
              </w:p>
            </w:tc>
            <w:tc>
              <w:tcPr>
                <w:tcW w:w="3216" w:type="dxa"/>
                <w:vMerge w:val="restart"/>
              </w:tcPr>
              <w:p>
                <w:pPr>
                  <w:rPr>
                    <w:b/>
                    <w:szCs w:val="24"/>
                    <w:lang w:val="en-US"/>
                  </w:rPr>
                </w:pPr>
                <w:r>
                  <w:rPr>
                    <w:b/>
                    <w:bCs/>
                    <w:szCs w:val="24"/>
                    <w:shd w:val="clear" w:color="auto" w:fill="FFFFFF"/>
                    <w:lang w:val="en-US"/>
                  </w:rPr>
                  <w:t xml:space="preserve">tekstas, išleistas ar parengtas leidimui, tiksliai pateikiančiam originalo vaizdą: </w:t>
                </w:r>
                <w:r>
                  <w:rPr>
                    <w:szCs w:val="24"/>
                    <w:shd w:val="clear" w:color="auto" w:fill="FFFFFF"/>
                    <w:lang w:val="en-US"/>
                  </w:rPr>
                  <w:t>faksimilė, dokumentinis perrašas, diplomatinis leidimas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tcPr>
              <w:p>
                <w:pPr>
                  <w:jc w:val="right"/>
                  <w:rPr>
                    <w:szCs w:val="24"/>
                    <w:lang w:val="en-US"/>
                  </w:rPr>
                </w:pPr>
              </w:p>
            </w:tc>
            <w:tc>
              <w:tcPr>
                <w:tcW w:w="2088" w:type="dxa"/>
                <w:vMerge/>
              </w:tcPr>
              <w:p>
                <w:pPr>
                  <w:rPr>
                    <w:b/>
                    <w:bCs/>
                    <w:szCs w:val="24"/>
                    <w:shd w:val="clear" w:color="auto" w:fill="FFFFFF"/>
                    <w:lang w:val="en-US"/>
                  </w:rPr>
                </w:pPr>
              </w:p>
            </w:tc>
            <w:tc>
              <w:tcPr>
                <w:tcW w:w="3216" w:type="dxa"/>
                <w:vMerge/>
              </w:tcPr>
              <w:p>
                <w:pPr>
                  <w:rPr>
                    <w:bCs/>
                    <w:szCs w:val="24"/>
                    <w:shd w:val="clear" w:color="auto" w:fill="FFFFFF"/>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947"/>
            </w:trPr>
            <w:tc>
              <w:tcPr>
                <w:tcW w:w="708" w:type="dxa"/>
                <w:vMerge w:val="restart"/>
              </w:tcPr>
              <w:p>
                <w:pPr>
                  <w:jc w:val="right"/>
                  <w:rPr>
                    <w:szCs w:val="24"/>
                    <w:lang w:val="en-US"/>
                  </w:rPr>
                </w:pPr>
                <w:r>
                  <w:rPr>
                    <w:szCs w:val="24"/>
                    <w:lang w:val="en-US"/>
                  </w:rPr>
                  <w:t>1.9.</w:t>
                </w:r>
              </w:p>
            </w:tc>
            <w:tc>
              <w:tcPr>
                <w:tcW w:w="2088" w:type="dxa"/>
                <w:vMerge w:val="restart"/>
              </w:tcPr>
              <w:p>
                <w:pPr>
                  <w:rPr>
                    <w:szCs w:val="24"/>
                    <w:lang w:val="en-US"/>
                  </w:rPr>
                </w:pPr>
                <w:r>
                  <w:rPr>
                    <w:b/>
                    <w:bCs/>
                    <w:szCs w:val="24"/>
                    <w:shd w:val="clear" w:color="auto" w:fill="FFFFFF"/>
                    <w:lang w:val="en-US"/>
                  </w:rPr>
                  <w:t>Populiarusis šaltinio tekstas</w:t>
                </w:r>
              </w:p>
            </w:tc>
            <w:tc>
              <w:tcPr>
                <w:tcW w:w="3216" w:type="dxa"/>
                <w:vMerge w:val="restart"/>
              </w:tcPr>
              <w:p>
                <w:pPr>
                  <w:rPr>
                    <w:b/>
                    <w:szCs w:val="24"/>
                    <w:lang w:val="en-US"/>
                  </w:rPr>
                </w:pPr>
                <w:r>
                  <w:rPr>
                    <w:b/>
                    <w:bCs/>
                    <w:szCs w:val="24"/>
                    <w:shd w:val="clear" w:color="auto" w:fill="FFFFFF"/>
                    <w:lang w:val="en-US"/>
                  </w:rPr>
                  <w:t>tekstas, išleistas ar parengtas leidimui su minimalia tekstologo intervencija, tačiau laikantis tekstologinio korektiškumo normų; jį skelbiant pateikiami aptarti redagavimo, skelbimo principai, galimas literatūrinis, istorinis, kultūrinis komentaras, žodynėlis ir pan. aiškinamieji elementai</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947"/>
            </w:trPr>
            <w:tc>
              <w:tcPr>
                <w:tcW w:w="708" w:type="dxa"/>
                <w:vMerge/>
              </w:tcPr>
              <w:p>
                <w:pPr>
                  <w:jc w:val="right"/>
                  <w:rPr>
                    <w:szCs w:val="24"/>
                    <w:lang w:val="en-US"/>
                  </w:rPr>
                </w:pPr>
              </w:p>
            </w:tc>
            <w:tc>
              <w:tcPr>
                <w:tcW w:w="2088" w:type="dxa"/>
                <w:vMerge/>
              </w:tcPr>
              <w:p>
                <w:pPr>
                  <w:rPr>
                    <w:b/>
                    <w:bCs/>
                    <w:szCs w:val="24"/>
                    <w:shd w:val="clear" w:color="auto" w:fill="FFFFFF"/>
                    <w:lang w:val="en-US"/>
                  </w:rPr>
                </w:pPr>
              </w:p>
            </w:tc>
            <w:tc>
              <w:tcPr>
                <w:tcW w:w="3216" w:type="dxa"/>
                <w:vMerge/>
              </w:tcPr>
              <w:p>
                <w:pPr>
                  <w:rPr>
                    <w:bCs/>
                    <w:szCs w:val="24"/>
                    <w:shd w:val="clear" w:color="auto" w:fill="FFFFFF"/>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val="restart"/>
              </w:tcPr>
              <w:p>
                <w:pPr>
                  <w:jc w:val="right"/>
                  <w:rPr>
                    <w:szCs w:val="24"/>
                    <w:lang w:val="en-US"/>
                  </w:rPr>
                </w:pPr>
                <w:r>
                  <w:rPr>
                    <w:szCs w:val="24"/>
                    <w:lang w:val="en-US"/>
                  </w:rPr>
                  <w:t>1.10.</w:t>
                </w:r>
              </w:p>
            </w:tc>
            <w:tc>
              <w:tcPr>
                <w:tcW w:w="2088" w:type="dxa"/>
                <w:vMerge w:val="restart"/>
              </w:tcPr>
              <w:p>
                <w:pPr>
                  <w:rPr>
                    <w:szCs w:val="24"/>
                    <w:lang w:val="en-US"/>
                  </w:rPr>
                </w:pPr>
                <w:r>
                  <w:rPr>
                    <w:b/>
                    <w:szCs w:val="24"/>
                    <w:lang w:val="en-US"/>
                  </w:rPr>
                  <w:t>Transkribuotas ar transliteruotas šaltinio tekstas</w:t>
                </w:r>
              </w:p>
            </w:tc>
            <w:tc>
              <w:tcPr>
                <w:tcW w:w="3216" w:type="dxa"/>
                <w:vMerge w:val="restart"/>
              </w:tcPr>
              <w:p>
                <w:pPr>
                  <w:rPr>
                    <w:szCs w:val="24"/>
                    <w:lang w:val="en-US"/>
                  </w:rPr>
                </w:pPr>
                <w:r>
                  <w:rPr>
                    <w:szCs w:val="24"/>
                    <w:lang w:val="en-US"/>
                  </w:rPr>
                  <w:t>pagal aptartus archeografijos principus be mokslinio aparato parengtas šaltinio tekstas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val="restart"/>
              </w:tcPr>
              <w:p>
                <w:pPr>
                  <w:jc w:val="right"/>
                  <w:rPr>
                    <w:szCs w:val="24"/>
                    <w:lang w:val="en-US"/>
                  </w:rPr>
                </w:pPr>
                <w:r>
                  <w:rPr>
                    <w:szCs w:val="24"/>
                    <w:lang w:val="en-US"/>
                  </w:rPr>
                  <w:t>1.11.</w:t>
                </w:r>
              </w:p>
            </w:tc>
            <w:tc>
              <w:tcPr>
                <w:tcW w:w="2088" w:type="dxa"/>
                <w:vMerge w:val="restart"/>
              </w:tcPr>
              <w:p>
                <w:pPr>
                  <w:rPr>
                    <w:szCs w:val="24"/>
                    <w:lang w:val="en-US"/>
                  </w:rPr>
                </w:pPr>
                <w:r>
                  <w:rPr>
                    <w:b/>
                    <w:bCs/>
                    <w:szCs w:val="24"/>
                    <w:lang w:val="en-US"/>
                  </w:rPr>
                  <w:t>Įstatymo ar kito teisės norminio akto projektas</w:t>
                </w:r>
              </w:p>
            </w:tc>
            <w:tc>
              <w:tcPr>
                <w:tcW w:w="3216" w:type="dxa"/>
                <w:vMerge w:val="restart"/>
              </w:tcPr>
              <w:p>
                <w:pPr>
                  <w:rPr>
                    <w:szCs w:val="24"/>
                    <w:lang w:val="en-US"/>
                  </w:rPr>
                </w:pPr>
                <w:r>
                  <w:rPr>
                    <w:szCs w:val="24"/>
                    <w:lang w:val="en-US"/>
                  </w:rPr>
                  <w:t>teisės norminio akto formos, struktūros, turinio ir kalbos reikalavimus atitinkantis projektas, kuriame siūloma nustatyti, pakeisti ar pripažinti netekusiomis galios teisės normas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tcPr>
              <w:p>
                <w:pPr>
                  <w:jc w:val="right"/>
                  <w:rPr>
                    <w:szCs w:val="24"/>
                    <w:lang w:val="en-US"/>
                  </w:rPr>
                </w:pPr>
              </w:p>
            </w:tc>
            <w:tc>
              <w:tcPr>
                <w:tcW w:w="2088" w:type="dxa"/>
                <w:vMerge/>
              </w:tcPr>
              <w:p>
                <w:pPr>
                  <w:rPr>
                    <w:b/>
                    <w:bCs/>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1499"/>
            </w:trPr>
            <w:tc>
              <w:tcPr>
                <w:tcW w:w="708" w:type="dxa"/>
                <w:vMerge w:val="restart"/>
              </w:tcPr>
              <w:p>
                <w:pPr>
                  <w:jc w:val="right"/>
                  <w:rPr>
                    <w:szCs w:val="24"/>
                    <w:lang w:val="en-US"/>
                  </w:rPr>
                </w:pPr>
                <w:r>
                  <w:rPr>
                    <w:szCs w:val="24"/>
                    <w:lang w:val="en-US"/>
                  </w:rPr>
                  <w:t>1.12.</w:t>
                </w:r>
              </w:p>
            </w:tc>
            <w:tc>
              <w:tcPr>
                <w:tcW w:w="2088" w:type="dxa"/>
                <w:vMerge w:val="restart"/>
              </w:tcPr>
              <w:p>
                <w:pPr>
                  <w:rPr>
                    <w:szCs w:val="24"/>
                    <w:lang w:val="en-US"/>
                  </w:rPr>
                </w:pPr>
                <w:r>
                  <w:rPr>
                    <w:b/>
                    <w:bCs/>
                    <w:szCs w:val="24"/>
                    <w:lang w:val="en-US"/>
                  </w:rPr>
                  <w:t>Teisinio reguliavimo koncepcijos projektas</w:t>
                </w:r>
              </w:p>
            </w:tc>
            <w:tc>
              <w:tcPr>
                <w:tcW w:w="3216" w:type="dxa"/>
                <w:vMerge w:val="restart"/>
              </w:tcPr>
              <w:p>
                <w:pPr>
                  <w:rPr>
                    <w:szCs w:val="24"/>
                    <w:lang w:val="en-US"/>
                  </w:rPr>
                </w:pPr>
                <w:r>
                  <w:rPr>
                    <w:szCs w:val="24"/>
                    <w:lang w:val="en-US"/>
                  </w:rPr>
                  <w:t>dokumentas, kuriame pateikiama esamos padėties ir spręstinų problemų analizė, numatomo teisinio reguliavimo tikslas, principai ir pagrindinės nuostatos, galimos teigiamos ir neigiamos numatomo teisinio reguliavimo pasekmės, finansinis numatomo teisinio reguliavimo įgyvendinimo įvertinimas, numatomą teisinį reguliavimą pagrindžiančios nuostatos (kitų valstybių teisinio reguliavimo geroji praktika, mokslinių tyrimų, ekspertizių rezultatai, teismų praktika ir kita)</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1499"/>
            </w:trPr>
            <w:tc>
              <w:tcPr>
                <w:tcW w:w="708" w:type="dxa"/>
                <w:vMerge/>
              </w:tcPr>
              <w:p>
                <w:pPr>
                  <w:jc w:val="right"/>
                  <w:rPr>
                    <w:szCs w:val="24"/>
                    <w:lang w:val="en-US"/>
                  </w:rPr>
                </w:pPr>
              </w:p>
            </w:tc>
            <w:tc>
              <w:tcPr>
                <w:tcW w:w="2088" w:type="dxa"/>
                <w:vMerge/>
              </w:tcPr>
              <w:p>
                <w:pPr>
                  <w:rPr>
                    <w:b/>
                    <w:bCs/>
                    <w:szCs w:val="24"/>
                    <w:lang w:val="en-US"/>
                  </w:rPr>
                </w:pPr>
              </w:p>
            </w:tc>
            <w:tc>
              <w:tcPr>
                <w:tcW w:w="3216" w:type="dxa"/>
              </w:tcPr>
              <w:p>
                <w:pPr>
                  <w:rPr>
                    <w:sz w:val="10"/>
                    <w:szCs w:val="10"/>
                  </w:rPr>
                </w:pPr>
              </w:p>
              <w:p>
                <w:pPr>
                  <w:jc w:val="both"/>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16155" w:type="dxa"/>
                <w:gridSpan w:val="15"/>
              </w:tcPr>
              <w:p>
                <w:pPr>
                  <w:rPr>
                    <w:sz w:val="10"/>
                    <w:szCs w:val="10"/>
                  </w:rPr>
                </w:pPr>
              </w:p>
              <w:p>
                <w:pPr>
                  <w:rPr>
                    <w:sz w:val="10"/>
                    <w:szCs w:val="10"/>
                  </w:rPr>
                </w:pPr>
                <w:r>
                  <w:rPr>
                    <w:b/>
                    <w:i/>
                    <w:szCs w:val="24"/>
                    <w:lang w:val="en-US"/>
                  </w:rPr>
                  <w:t>2. KITOS MOKSLO LEIDINIŲ PUBLIKACIJOS</w:t>
                </w:r>
              </w:p>
            </w:tc>
          </w:tr>
          <w:tr>
            <w:trPr>
              <w:trHeight w:val="671"/>
            </w:trPr>
            <w:tc>
              <w:tcPr>
                <w:tcW w:w="708" w:type="dxa"/>
                <w:vMerge w:val="restart"/>
              </w:tcPr>
              <w:p>
                <w:pPr>
                  <w:jc w:val="right"/>
                  <w:rPr>
                    <w:szCs w:val="24"/>
                    <w:lang w:val="en-US"/>
                  </w:rPr>
                </w:pPr>
                <w:r>
                  <w:rPr>
                    <w:szCs w:val="24"/>
                    <w:lang w:val="en-US"/>
                  </w:rPr>
                  <w:t>2.1.</w:t>
                </w:r>
              </w:p>
            </w:tc>
            <w:tc>
              <w:tcPr>
                <w:tcW w:w="2088" w:type="dxa"/>
                <w:vMerge w:val="restart"/>
              </w:tcPr>
              <w:p>
                <w:pPr>
                  <w:rPr>
                    <w:szCs w:val="24"/>
                    <w:lang w:val="en-US"/>
                  </w:rPr>
                </w:pPr>
                <w:r>
                  <w:rPr>
                    <w:b/>
                    <w:szCs w:val="24"/>
                    <w:lang w:val="en-US"/>
                  </w:rPr>
                  <w:t>Enciklopedinis</w:t>
                </w:r>
                <w:r>
                  <w:rPr>
                    <w:szCs w:val="24"/>
                    <w:lang w:val="en-US"/>
                  </w:rPr>
                  <w:t xml:space="preserve"> </w:t>
                </w:r>
                <w:r>
                  <w:rPr>
                    <w:b/>
                    <w:szCs w:val="24"/>
                    <w:lang w:val="en-US"/>
                  </w:rPr>
                  <w:t>straipsnis</w:t>
                </w:r>
              </w:p>
            </w:tc>
            <w:tc>
              <w:tcPr>
                <w:tcW w:w="3216" w:type="dxa"/>
                <w:vMerge w:val="restart"/>
              </w:tcPr>
              <w:p>
                <w:pPr>
                  <w:rPr>
                    <w:szCs w:val="24"/>
                    <w:lang w:val="en-US"/>
                  </w:rPr>
                </w:pPr>
                <w:r>
                  <w:rPr>
                    <w:szCs w:val="24"/>
                    <w:lang w:val="en-US"/>
                  </w:rPr>
                  <w:t>sintetinis mokslo straipsnis, parašytas remiantis tyrimų išvadomis ir rezultatais ir skirtas kuriai nors mokslo sričiai, krypčiai, šakai, problemai, koncepcijai, tyrimų išvadoms ir rezultatams, tendencijoms ir kt. pristatyti</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671"/>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42"/>
            </w:trPr>
            <w:tc>
              <w:tcPr>
                <w:tcW w:w="708" w:type="dxa"/>
                <w:vMerge w:val="restart"/>
              </w:tcPr>
              <w:p>
                <w:pPr>
                  <w:jc w:val="right"/>
                  <w:rPr>
                    <w:szCs w:val="24"/>
                    <w:lang w:val="en-US"/>
                  </w:rPr>
                </w:pPr>
                <w:r>
                  <w:rPr>
                    <w:szCs w:val="24"/>
                    <w:lang w:val="en-US"/>
                  </w:rPr>
                  <w:t>2.2.</w:t>
                </w:r>
              </w:p>
            </w:tc>
            <w:tc>
              <w:tcPr>
                <w:tcW w:w="2088" w:type="dxa"/>
                <w:vMerge w:val="restart"/>
              </w:tcPr>
              <w:p>
                <w:pPr>
                  <w:rPr>
                    <w:b/>
                    <w:szCs w:val="24"/>
                    <w:lang w:val="en-US"/>
                  </w:rPr>
                </w:pPr>
                <w:r>
                  <w:rPr>
                    <w:b/>
                    <w:szCs w:val="24"/>
                    <w:lang w:val="en-US"/>
                  </w:rPr>
                  <w:t>Įvadinis (pristatomasis) straipsnis</w:t>
                </w:r>
              </w:p>
            </w:tc>
            <w:tc>
              <w:tcPr>
                <w:tcW w:w="3216" w:type="dxa"/>
                <w:vMerge w:val="restart"/>
              </w:tcPr>
              <w:p>
                <w:pPr>
                  <w:rPr>
                    <w:szCs w:val="24"/>
                    <w:lang w:val="en-US"/>
                  </w:rPr>
                </w:pPr>
                <w:r>
                  <w:rPr>
                    <w:szCs w:val="24"/>
                    <w:lang w:val="en-US"/>
                  </w:rPr>
                  <w:t xml:space="preserve">sintetinis mokslo straipsnis, skirtas kito autoriaus (autorių) mokslo ar kitiems publikuojamiems darbams pristatyti; mažiausia apimtis </w:t>
                  <w:sym w:font="Symbol" w:char="F02D"/>
                  <w:t xml:space="preserve"> 0,25 autorinio lanko</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42"/>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val="restart"/>
              </w:tcPr>
              <w:p>
                <w:pPr>
                  <w:jc w:val="right"/>
                  <w:rPr>
                    <w:szCs w:val="24"/>
                    <w:lang w:val="en-US"/>
                  </w:rPr>
                </w:pPr>
                <w:r>
                  <w:rPr>
                    <w:szCs w:val="24"/>
                    <w:lang w:val="en-US"/>
                  </w:rPr>
                  <w:t>2.3.</w:t>
                </w:r>
              </w:p>
            </w:tc>
            <w:tc>
              <w:tcPr>
                <w:tcW w:w="2088" w:type="dxa"/>
                <w:vMerge w:val="restart"/>
              </w:tcPr>
              <w:p>
                <w:pPr>
                  <w:rPr>
                    <w:b/>
                    <w:szCs w:val="24"/>
                    <w:lang w:val="en-US"/>
                  </w:rPr>
                </w:pPr>
                <w:r>
                  <w:rPr>
                    <w:b/>
                    <w:szCs w:val="24"/>
                    <w:lang w:val="en-US"/>
                  </w:rPr>
                  <w:t>Mokslo populiarinimo straipsnis</w:t>
                </w:r>
              </w:p>
            </w:tc>
            <w:tc>
              <w:tcPr>
                <w:tcW w:w="3216" w:type="dxa"/>
                <w:vMerge w:val="restart"/>
              </w:tcPr>
              <w:p>
                <w:pPr>
                  <w:rPr>
                    <w:szCs w:val="24"/>
                    <w:lang w:val="en-US"/>
                  </w:rPr>
                </w:pPr>
                <w:r>
                  <w:rPr>
                    <w:szCs w:val="24"/>
                    <w:lang w:val="en-US"/>
                  </w:rPr>
                  <w:t>straipsnis, kuriame populiariai išdėstytos mokslo žinios, skirtos plačiajai visuomenei</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395"/>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404"/>
            </w:trPr>
            <w:tc>
              <w:tcPr>
                <w:tcW w:w="708" w:type="dxa"/>
                <w:vMerge w:val="restart"/>
              </w:tcPr>
              <w:p>
                <w:pPr>
                  <w:jc w:val="right"/>
                  <w:rPr>
                    <w:szCs w:val="24"/>
                    <w:lang w:val="en-US"/>
                  </w:rPr>
                </w:pPr>
                <w:r>
                  <w:rPr>
                    <w:szCs w:val="24"/>
                    <w:lang w:val="en-US"/>
                  </w:rPr>
                  <w:t>2.4.</w:t>
                </w:r>
              </w:p>
            </w:tc>
            <w:tc>
              <w:tcPr>
                <w:tcW w:w="2088" w:type="dxa"/>
                <w:vMerge w:val="restart"/>
              </w:tcPr>
              <w:p>
                <w:pPr>
                  <w:rPr>
                    <w:b/>
                    <w:szCs w:val="24"/>
                    <w:lang w:val="en-US"/>
                  </w:rPr>
                </w:pPr>
                <w:r>
                  <w:rPr>
                    <w:b/>
                    <w:szCs w:val="24"/>
                    <w:lang w:val="en-US"/>
                  </w:rPr>
                  <w:t>Recenzija</w:t>
                </w:r>
              </w:p>
            </w:tc>
            <w:tc>
              <w:tcPr>
                <w:tcW w:w="3216" w:type="dxa"/>
                <w:vMerge w:val="restart"/>
              </w:tcPr>
              <w:p>
                <w:pPr>
                  <w:rPr>
                    <w:szCs w:val="24"/>
                    <w:lang w:val="en-US"/>
                  </w:rPr>
                </w:pPr>
                <w:r>
                  <w:rPr>
                    <w:szCs w:val="24"/>
                    <w:lang w:val="en-US"/>
                  </w:rPr>
                  <w:t xml:space="preserve">paskelbto mokslo darbo kritinis analitinis pristatymas ir vertinimas; mažiausia apimtis </w:t>
                  <w:sym w:font="Symbol" w:char="F02D"/>
                  <w:t xml:space="preserve"> 0,25 autorinio lanko</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404"/>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404"/>
            </w:trPr>
            <w:tc>
              <w:tcPr>
                <w:tcW w:w="708" w:type="dxa"/>
                <w:vMerge w:val="restart"/>
              </w:tcPr>
              <w:p>
                <w:pPr>
                  <w:jc w:val="right"/>
                  <w:rPr>
                    <w:szCs w:val="24"/>
                    <w:lang w:val="en-US"/>
                  </w:rPr>
                </w:pPr>
                <w:r>
                  <w:rPr>
                    <w:szCs w:val="24"/>
                    <w:lang w:val="en-US"/>
                  </w:rPr>
                  <w:t>2.5.</w:t>
                </w:r>
              </w:p>
            </w:tc>
            <w:tc>
              <w:tcPr>
                <w:tcW w:w="2088" w:type="dxa"/>
                <w:vMerge w:val="restart"/>
              </w:tcPr>
              <w:p>
                <w:pPr>
                  <w:rPr>
                    <w:szCs w:val="24"/>
                    <w:lang w:val="en-US"/>
                  </w:rPr>
                </w:pPr>
                <w:r>
                  <w:rPr>
                    <w:b/>
                    <w:szCs w:val="24"/>
                    <w:lang w:val="en-US"/>
                  </w:rPr>
                  <w:t>Komentaras</w:t>
                </w:r>
              </w:p>
            </w:tc>
            <w:tc>
              <w:tcPr>
                <w:tcW w:w="3216" w:type="dxa"/>
                <w:vMerge w:val="restart"/>
              </w:tcPr>
              <w:p>
                <w:pPr>
                  <w:rPr>
                    <w:szCs w:val="24"/>
                    <w:lang w:val="en-US"/>
                  </w:rPr>
                </w:pPr>
                <w:r>
                  <w:rPr>
                    <w:szCs w:val="24"/>
                    <w:lang w:val="en-US"/>
                  </w:rPr>
                  <w:t xml:space="preserve">rengiamo spaudai ar išleisto teksto moksliniai paaiškinimai; mažiausia apimtis </w:t>
                  <w:sym w:font="Symbol" w:char="F02D"/>
                  <w:t xml:space="preserve"> 0,25 autorinio lanko </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404"/>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404"/>
            </w:trPr>
            <w:tc>
              <w:tcPr>
                <w:tcW w:w="708" w:type="dxa"/>
                <w:vMerge w:val="restart"/>
              </w:tcPr>
              <w:p>
                <w:pPr>
                  <w:jc w:val="right"/>
                  <w:rPr>
                    <w:szCs w:val="24"/>
                    <w:lang w:val="en-US"/>
                  </w:rPr>
                </w:pPr>
                <w:r>
                  <w:rPr>
                    <w:szCs w:val="24"/>
                    <w:lang w:val="en-US"/>
                  </w:rPr>
                  <w:t>2.6.</w:t>
                </w:r>
              </w:p>
            </w:tc>
            <w:tc>
              <w:tcPr>
                <w:tcW w:w="2088" w:type="dxa"/>
                <w:vMerge w:val="restart"/>
              </w:tcPr>
              <w:p>
                <w:pPr>
                  <w:rPr>
                    <w:szCs w:val="24"/>
                    <w:lang w:val="en-US"/>
                  </w:rPr>
                </w:pPr>
                <w:r>
                  <w:rPr>
                    <w:b/>
                    <w:szCs w:val="24"/>
                    <w:lang w:val="en-US"/>
                  </w:rPr>
                  <w:t>Interviu</w:t>
                </w:r>
              </w:p>
            </w:tc>
            <w:tc>
              <w:tcPr>
                <w:tcW w:w="3216" w:type="dxa"/>
                <w:vMerge w:val="restart"/>
              </w:tcPr>
              <w:p>
                <w:pPr>
                  <w:rPr>
                    <w:szCs w:val="24"/>
                    <w:lang w:val="en-US"/>
                  </w:rPr>
                </w:pPr>
                <w:r>
                  <w:rPr>
                    <w:szCs w:val="24"/>
                    <w:lang w:val="en-US"/>
                  </w:rPr>
                  <w:t xml:space="preserve">pokalbis akademine ir moksline tematika mokslo leidinyje; mažiausia apimtis </w:t>
                  <w:sym w:font="Symbol" w:char="F02D"/>
                  <w:t xml:space="preserve"> 0,25 autorinio lanko</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404"/>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16155" w:type="dxa"/>
                <w:gridSpan w:val="15"/>
              </w:tcPr>
              <w:p>
                <w:pPr>
                  <w:rPr>
                    <w:sz w:val="10"/>
                    <w:szCs w:val="10"/>
                  </w:rPr>
                </w:pPr>
              </w:p>
              <w:p>
                <w:pPr>
                  <w:rPr>
                    <w:sz w:val="10"/>
                    <w:szCs w:val="10"/>
                  </w:rPr>
                </w:pPr>
                <w:r>
                  <w:rPr>
                    <w:b/>
                    <w:szCs w:val="24"/>
                    <w:lang w:val="en-US"/>
                  </w:rPr>
                  <w:t>EKSPERIMENTINĖS (SOCIALINĖS, KULTŪRINĖS) PLĖTROS DARBAI</w:t>
                </w:r>
              </w:p>
            </w:tc>
          </w:tr>
          <w:tr>
            <w:trPr>
              <w:trHeight w:val="533"/>
            </w:trPr>
            <w:tc>
              <w:tcPr>
                <w:tcW w:w="708" w:type="dxa"/>
                <w:vMerge w:val="restart"/>
              </w:tcPr>
              <w:p>
                <w:pPr>
                  <w:jc w:val="center"/>
                  <w:rPr>
                    <w:szCs w:val="24"/>
                    <w:lang w:val="en-US"/>
                  </w:rPr>
                </w:pPr>
                <w:r>
                  <w:rPr>
                    <w:szCs w:val="24"/>
                    <w:lang w:val="en-US"/>
                  </w:rPr>
                  <w:t>1.</w:t>
                </w:r>
              </w:p>
            </w:tc>
            <w:tc>
              <w:tcPr>
                <w:tcW w:w="2088" w:type="dxa"/>
                <w:vMerge w:val="restart"/>
              </w:tcPr>
              <w:p>
                <w:pPr>
                  <w:rPr>
                    <w:b/>
                    <w:szCs w:val="24"/>
                    <w:lang w:val="en-US"/>
                  </w:rPr>
                </w:pPr>
                <w:r>
                  <w:rPr>
                    <w:b/>
                    <w:szCs w:val="24"/>
                    <w:lang w:val="en-US"/>
                  </w:rPr>
                  <w:t>Elektroninis tyrimų duomenų rinkinys (bazė)</w:t>
                </w:r>
              </w:p>
            </w:tc>
            <w:tc>
              <w:tcPr>
                <w:tcW w:w="3216" w:type="dxa"/>
                <w:vMerge w:val="restart"/>
              </w:tcPr>
              <w:p>
                <w:pPr>
                  <w:rPr>
                    <w:szCs w:val="24"/>
                    <w:lang w:val="en-US"/>
                  </w:rPr>
                </w:pPr>
                <w:r>
                  <w:rPr>
                    <w:szCs w:val="24"/>
                    <w:lang w:val="en-US"/>
                  </w:rPr>
                  <w:t>elektroninių duomenų laikmenų arba įrašų (vienetų) rinkinys (faktografinė medžiaga, bibliografiniai duomenys, tekstinė ir kita medžiaga), pateiktas skaitmenine forma</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78"/>
                </w:r>
              </w:p>
            </w:tc>
            <w:tc>
              <w:tcPr>
                <w:tcW w:w="1296" w:type="dxa"/>
              </w:tcPr>
              <w:p>
                <w:pPr>
                  <w:jc w:val="center"/>
                  <w:rPr>
                    <w:szCs w:val="24"/>
                    <w:lang w:val="en-US"/>
                  </w:rPr>
                </w:pPr>
                <w:r>
                  <w:rPr>
                    <w:szCs w:val="24"/>
                    <w:lang w:val="en-US"/>
                  </w:rPr>
                  <w:sym w:font="Wingdings" w:char="F078"/>
                </w:r>
              </w:p>
            </w:tc>
            <w:tc>
              <w:tcPr>
                <w:tcW w:w="1176" w:type="dxa"/>
              </w:tcPr>
              <w:p>
                <w:pPr>
                  <w:jc w:val="center"/>
                  <w:rPr>
                    <w:szCs w:val="24"/>
                    <w:lang w:val="en-US"/>
                  </w:rPr>
                </w:pPr>
                <w:r>
                  <w:rPr>
                    <w:szCs w:val="24"/>
                    <w:lang w:val="en-US"/>
                  </w:rPr>
                  <w:sym w:font="Wingdings" w:char="F078"/>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78"/>
                </w:r>
              </w:p>
            </w:tc>
            <w:tc>
              <w:tcPr>
                <w:tcW w:w="1296" w:type="dxa"/>
              </w:tcPr>
              <w:p>
                <w:pPr>
                  <w:jc w:val="center"/>
                  <w:rPr>
                    <w:szCs w:val="24"/>
                    <w:lang w:val="en-US"/>
                  </w:rPr>
                </w:pPr>
                <w:r>
                  <w:rPr>
                    <w:szCs w:val="24"/>
                    <w:lang w:val="en-US"/>
                  </w:rPr>
                  <w:sym w:font="Wingdings" w:char="F078"/>
                </w:r>
              </w:p>
            </w:tc>
            <w:tc>
              <w:tcPr>
                <w:tcW w:w="1176" w:type="dxa"/>
              </w:tcPr>
              <w:p>
                <w:pPr>
                  <w:jc w:val="center"/>
                  <w:rPr>
                    <w:szCs w:val="24"/>
                    <w:lang w:val="en-US"/>
                  </w:rPr>
                </w:pPr>
                <w:r>
                  <w:rPr>
                    <w:szCs w:val="24"/>
                    <w:lang w:val="en-US"/>
                  </w:rPr>
                  <w:sym w:font="Wingdings" w:char="F078"/>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val="restart"/>
              </w:tcPr>
              <w:p>
                <w:pPr>
                  <w:jc w:val="center"/>
                  <w:rPr>
                    <w:szCs w:val="24"/>
                    <w:lang w:val="en-US"/>
                  </w:rPr>
                </w:pPr>
                <w:r>
                  <w:rPr>
                    <w:szCs w:val="24"/>
                    <w:lang w:val="en-US"/>
                  </w:rPr>
                  <w:t>2.</w:t>
                </w:r>
              </w:p>
            </w:tc>
            <w:tc>
              <w:tcPr>
                <w:tcW w:w="2088" w:type="dxa"/>
                <w:vMerge w:val="restart"/>
              </w:tcPr>
              <w:p>
                <w:pPr>
                  <w:rPr>
                    <w:szCs w:val="24"/>
                    <w:lang w:val="en-US"/>
                  </w:rPr>
                </w:pPr>
                <w:r>
                  <w:rPr>
                    <w:b/>
                    <w:szCs w:val="24"/>
                    <w:lang w:val="en-US"/>
                  </w:rPr>
                  <w:t>Suskaitmenintas tyrimų objektas</w:t>
                </w:r>
              </w:p>
            </w:tc>
            <w:tc>
              <w:tcPr>
                <w:tcW w:w="3216" w:type="dxa"/>
                <w:vMerge w:val="restart"/>
              </w:tcPr>
              <w:p>
                <w:pPr>
                  <w:rPr>
                    <w:szCs w:val="24"/>
                    <w:lang w:val="en-US"/>
                  </w:rPr>
                </w:pPr>
                <w:r>
                  <w:rPr>
                    <w:szCs w:val="24"/>
                    <w:lang w:val="en-US"/>
                  </w:rPr>
                  <w:t>tyrimo objektas, konvertuotas į skaitmeninį formatą, naudojant skaitmeninę kodavimo technologiją bei techninę ir programinę įrangą darbui su skaitmeniniais duomenimis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78"/>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78"/>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671"/>
            </w:trPr>
            <w:tc>
              <w:tcPr>
                <w:tcW w:w="708" w:type="dxa"/>
                <w:vMerge w:val="restart"/>
              </w:tcPr>
              <w:p>
                <w:pPr>
                  <w:jc w:val="center"/>
                  <w:rPr>
                    <w:szCs w:val="24"/>
                    <w:lang w:val="en-US"/>
                  </w:rPr>
                </w:pPr>
                <w:r>
                  <w:rPr>
                    <w:szCs w:val="24"/>
                    <w:lang w:val="en-US"/>
                  </w:rPr>
                  <w:t>3.</w:t>
                </w:r>
              </w:p>
            </w:tc>
            <w:tc>
              <w:tcPr>
                <w:tcW w:w="2088" w:type="dxa"/>
                <w:vMerge w:val="restart"/>
              </w:tcPr>
              <w:p>
                <w:pPr>
                  <w:rPr>
                    <w:szCs w:val="24"/>
                    <w:lang w:val="en-US"/>
                  </w:rPr>
                </w:pPr>
                <w:r>
                  <w:rPr>
                    <w:b/>
                    <w:szCs w:val="24"/>
                    <w:lang w:val="en-US"/>
                  </w:rPr>
                  <w:t>Programinė įranga</w:t>
                </w:r>
              </w:p>
            </w:tc>
            <w:tc>
              <w:tcPr>
                <w:tcW w:w="3216" w:type="dxa"/>
                <w:vMerge w:val="restart"/>
              </w:tcPr>
              <w:p>
                <w:pPr>
                  <w:rPr>
                    <w:szCs w:val="24"/>
                    <w:lang w:val="en-US"/>
                  </w:rPr>
                </w:pPr>
                <w:r>
                  <w:rPr>
                    <w:szCs w:val="24"/>
                    <w:lang w:val="en-US"/>
                  </w:rPr>
                  <w:t xml:space="preserve">sukurta nauja kompiuterinė </w:t>
                </w:r>
                <w:r>
                  <w:rPr>
                    <w:bCs/>
                    <w:szCs w:val="24"/>
                    <w:lang w:val="en-US"/>
                  </w:rPr>
                  <w:t>programinė įranga</w:t>
                </w:r>
                <w:r>
                  <w:rPr>
                    <w:szCs w:val="24"/>
                    <w:lang w:val="en-US"/>
                  </w:rPr>
                  <w:t xml:space="preserve"> kaip informacijos (duomenų) apdorojimo sistemos programų, procedūrų ir taisyklių visuma arba tos visumos dalis kartu su atitinkama dokumentacija</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78"/>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78"/>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671"/>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78"/>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78"/>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947"/>
            </w:trPr>
            <w:tc>
              <w:tcPr>
                <w:tcW w:w="708" w:type="dxa"/>
                <w:vMerge w:val="restart"/>
              </w:tcPr>
              <w:p>
                <w:pPr>
                  <w:jc w:val="center"/>
                  <w:rPr>
                    <w:szCs w:val="24"/>
                    <w:lang w:val="en-US"/>
                  </w:rPr>
                </w:pPr>
                <w:r>
                  <w:rPr>
                    <w:szCs w:val="24"/>
                    <w:lang w:val="en-US"/>
                  </w:rPr>
                  <w:t>4.</w:t>
                </w:r>
              </w:p>
            </w:tc>
            <w:tc>
              <w:tcPr>
                <w:tcW w:w="2088" w:type="dxa"/>
                <w:vMerge w:val="restart"/>
              </w:tcPr>
              <w:p>
                <w:pPr>
                  <w:rPr>
                    <w:szCs w:val="24"/>
                    <w:lang w:val="en-US"/>
                  </w:rPr>
                </w:pPr>
                <w:r>
                  <w:rPr>
                    <w:b/>
                    <w:szCs w:val="24"/>
                    <w:lang w:val="en-US"/>
                  </w:rPr>
                  <w:t>Ekspertinis darbas</w:t>
                </w:r>
              </w:p>
            </w:tc>
            <w:tc>
              <w:tcPr>
                <w:tcW w:w="3216" w:type="dxa"/>
                <w:vMerge w:val="restart"/>
              </w:tcPr>
              <w:p>
                <w:pPr>
                  <w:rPr>
                    <w:szCs w:val="24"/>
                    <w:lang w:val="en-US"/>
                  </w:rPr>
                </w:pPr>
                <w:r>
                  <w:rPr>
                    <w:szCs w:val="24"/>
                    <w:lang w:val="en-US"/>
                  </w:rPr>
                  <w:t>tai ekspertizė, rekomendacija, išvados, gairės, įžvalga, strategija, galimybių studija, vertinimas ir komentarai (istoriniai, filologiniai, menotyriniai, sociologiniai, teisės aktų ir jų projektų) ir kitas institucijoms bei organizacijoms pateiktas kūrinys, taip pat mokslotyros ir(ar) mokslo politikos darbas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947"/>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val="restart"/>
              </w:tcPr>
              <w:p>
                <w:pPr>
                  <w:jc w:val="center"/>
                  <w:rPr>
                    <w:szCs w:val="24"/>
                    <w:lang w:val="en-US"/>
                  </w:rPr>
                </w:pPr>
                <w:r>
                  <w:rPr>
                    <w:szCs w:val="24"/>
                    <w:lang w:val="en-US"/>
                  </w:rPr>
                  <w:t>5.</w:t>
                </w:r>
              </w:p>
            </w:tc>
            <w:tc>
              <w:tcPr>
                <w:tcW w:w="2088" w:type="dxa"/>
                <w:vMerge w:val="restart"/>
              </w:tcPr>
              <w:p>
                <w:pPr>
                  <w:rPr>
                    <w:szCs w:val="24"/>
                    <w:lang w:val="en-US"/>
                  </w:rPr>
                </w:pPr>
                <w:r>
                  <w:rPr>
                    <w:b/>
                    <w:szCs w:val="24"/>
                    <w:lang w:val="en-US"/>
                  </w:rPr>
                  <w:t>Parodos ir (ar) ekspozicijos aprašas (katalogas)</w:t>
                </w:r>
              </w:p>
            </w:tc>
            <w:tc>
              <w:tcPr>
                <w:tcW w:w="3216" w:type="dxa"/>
                <w:vMerge w:val="restart"/>
              </w:tcPr>
              <w:p>
                <w:pPr>
                  <w:rPr>
                    <w:szCs w:val="24"/>
                    <w:lang w:val="en-US"/>
                  </w:rPr>
                </w:pPr>
                <w:r>
                  <w:rPr>
                    <w:i/>
                    <w:iCs/>
                    <w:color w:val="660000"/>
                    <w:sz w:val="26"/>
                    <w:szCs w:val="26"/>
                    <w:lang w:val="en-US"/>
                  </w:rPr>
                  <w:t>sistemingas parodos ir (ar) kitos ekspozicijos eksponatų aprašas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iCs/>
                    <w:color w:val="660000"/>
                    <w:sz w:val="26"/>
                    <w:szCs w:val="26"/>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78"/>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78"/>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1223"/>
            </w:trPr>
            <w:tc>
              <w:tcPr>
                <w:tcW w:w="708" w:type="dxa"/>
                <w:vMerge w:val="restart"/>
              </w:tcPr>
              <w:p>
                <w:pPr>
                  <w:jc w:val="center"/>
                  <w:rPr>
                    <w:szCs w:val="24"/>
                    <w:lang w:val="en-US"/>
                  </w:rPr>
                </w:pPr>
                <w:r>
                  <w:rPr>
                    <w:szCs w:val="24"/>
                    <w:lang w:val="en-US"/>
                  </w:rPr>
                  <w:t>6.</w:t>
                </w:r>
              </w:p>
            </w:tc>
            <w:tc>
              <w:tcPr>
                <w:tcW w:w="2088" w:type="dxa"/>
                <w:vMerge w:val="restart"/>
              </w:tcPr>
              <w:p>
                <w:pPr>
                  <w:rPr>
                    <w:szCs w:val="24"/>
                    <w:lang w:val="en-US"/>
                  </w:rPr>
                </w:pPr>
                <w:r>
                  <w:rPr>
                    <w:b/>
                    <w:szCs w:val="24"/>
                    <w:lang w:val="en-US"/>
                  </w:rPr>
                  <w:t>Kitas vartotojams prieinamas rezultatas</w:t>
                </w:r>
              </w:p>
            </w:tc>
            <w:tc>
              <w:tcPr>
                <w:tcW w:w="3216" w:type="dxa"/>
                <w:vMerge w:val="restart"/>
              </w:tcPr>
              <w:p>
                <w:pPr>
                  <w:rPr>
                    <w:szCs w:val="24"/>
                    <w:lang w:val="en-US"/>
                  </w:rPr>
                </w:pPr>
                <w:r>
                  <w:rPr>
                    <w:szCs w:val="24"/>
                    <w:lang w:val="en-US"/>
                  </w:rPr>
                  <w:t xml:space="preserve">neklasifikuotas mokslinės ir eksperimentinės (socialinės, kultūrinės) plėtros darbas, </w:t>
                </w:r>
                <w:r>
                  <w:rPr>
                    <w:sz w:val="16"/>
                    <w:szCs w:val="16"/>
                    <w:lang w:val="en-US"/>
                  </w:rPr>
                  <w:t xml:space="preserve">pagrįstas </w:t>
                </w:r>
                <w:r>
                  <w:rPr>
                    <w:szCs w:val="24"/>
                    <w:lang w:val="en-US"/>
                  </w:rPr>
                  <w:t xml:space="preserve">moksliniais tyrimais ir per praktinę patirtį sukauptu žinojimu, kurių </w:t>
                </w:r>
                <w:r>
                  <w:rPr>
                    <w:sz w:val="16"/>
                    <w:szCs w:val="16"/>
                    <w:lang w:val="en-US"/>
                  </w:rPr>
                  <w:t xml:space="preserve">rezultatas – sukurtos </w:t>
                </w:r>
                <w:r>
                  <w:rPr>
                    <w:szCs w:val="24"/>
                    <w:lang w:val="en-US"/>
                  </w:rPr>
                  <w:t>naujos medžiagos, produktai ir įrenginiai, įdiegti nauji (arba iš esmės patobulinti) procesai, sistemos ir paslaugos, taip pat sukurti, įdiegti arba iš esmės patobulinti žmogaus, kultūros ir visuomenės problemų sprendiniai</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78"/>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1223"/>
            </w:trPr>
            <w:tc>
              <w:tcPr>
                <w:tcW w:w="708" w:type="dxa"/>
                <w:vMerge/>
              </w:tcPr>
              <w:p>
                <w:pPr>
                  <w:jc w:val="right"/>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78"/>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c>
              <w:tcPr>
                <w:tcW w:w="16155" w:type="dxa"/>
                <w:gridSpan w:val="15"/>
              </w:tcPr>
              <w:p>
                <w:pPr>
                  <w:rPr>
                    <w:sz w:val="10"/>
                    <w:szCs w:val="10"/>
                  </w:rPr>
                </w:pPr>
              </w:p>
              <w:p>
                <w:pPr>
                  <w:rPr>
                    <w:sz w:val="10"/>
                    <w:szCs w:val="10"/>
                  </w:rPr>
                </w:pPr>
                <w:r>
                  <w:rPr>
                    <w:b/>
                    <w:szCs w:val="24"/>
                    <w:lang w:val="en-US"/>
                  </w:rPr>
                  <w:t>MOKSLINIAI RENGINIAI IR IŠVYKOS</w:t>
                </w:r>
              </w:p>
            </w:tc>
          </w:tr>
          <w:tr>
            <w:trPr>
              <w:trHeight w:val="947"/>
            </w:trPr>
            <w:tc>
              <w:tcPr>
                <w:tcW w:w="708" w:type="dxa"/>
                <w:vMerge w:val="restart"/>
              </w:tcPr>
              <w:p>
                <w:pPr>
                  <w:jc w:val="center"/>
                  <w:rPr>
                    <w:szCs w:val="24"/>
                    <w:lang w:val="en-US"/>
                  </w:rPr>
                </w:pPr>
                <w:r>
                  <w:rPr>
                    <w:szCs w:val="24"/>
                    <w:lang w:val="en-US"/>
                  </w:rPr>
                  <w:t>1.</w:t>
                </w:r>
              </w:p>
            </w:tc>
            <w:tc>
              <w:tcPr>
                <w:tcW w:w="2088" w:type="dxa"/>
                <w:vMerge w:val="restart"/>
              </w:tcPr>
              <w:p>
                <w:pPr>
                  <w:rPr>
                    <w:b/>
                    <w:szCs w:val="24"/>
                    <w:lang w:val="en-US"/>
                  </w:rPr>
                </w:pPr>
                <w:r>
                  <w:rPr>
                    <w:b/>
                    <w:szCs w:val="24"/>
                    <w:lang w:val="en-US"/>
                  </w:rPr>
                  <w:t>Tarptautinis mokslo renginys</w:t>
                </w:r>
              </w:p>
            </w:tc>
            <w:tc>
              <w:tcPr>
                <w:tcW w:w="3216" w:type="dxa"/>
                <w:vMerge w:val="restart"/>
              </w:tcPr>
              <w:p>
                <w:pPr>
                  <w:rPr>
                    <w:szCs w:val="24"/>
                    <w:lang w:val="en-US"/>
                  </w:rPr>
                </w:pPr>
                <w:r>
                  <w:rPr>
                    <w:szCs w:val="24"/>
                    <w:lang w:val="en-US"/>
                  </w:rPr>
                  <w:t>tarptautinių asociacijų ar kitų institucijų surengta pasaulinio masto apibrėžtos tematikos konferencija, simpoziumas ir kt. renginys, kuriame mokslininkai ir kiti tyrėjai pristato savo idėjas bei naujausius tyrimų rezultatus; daugiau nei pusė dalyvių yra iš kitų, nei vyksta renginys, šalių</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947"/>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809"/>
            </w:trPr>
            <w:tc>
              <w:tcPr>
                <w:tcW w:w="708" w:type="dxa"/>
                <w:vMerge w:val="restart"/>
              </w:tcPr>
              <w:p>
                <w:pPr>
                  <w:jc w:val="center"/>
                  <w:rPr>
                    <w:szCs w:val="24"/>
                    <w:lang w:val="en-US"/>
                  </w:rPr>
                </w:pPr>
                <w:r>
                  <w:rPr>
                    <w:szCs w:val="24"/>
                    <w:lang w:val="en-US"/>
                  </w:rPr>
                  <w:t>2.</w:t>
                </w:r>
              </w:p>
            </w:tc>
            <w:tc>
              <w:tcPr>
                <w:tcW w:w="2088" w:type="dxa"/>
                <w:vMerge w:val="restart"/>
              </w:tcPr>
              <w:p>
                <w:pPr>
                  <w:rPr>
                    <w:b/>
                    <w:szCs w:val="24"/>
                    <w:lang w:val="en-US"/>
                  </w:rPr>
                </w:pPr>
                <w:r>
                  <w:rPr>
                    <w:b/>
                    <w:szCs w:val="24"/>
                    <w:lang w:val="en-US"/>
                  </w:rPr>
                  <w:t>Regioninis mokslo renginys</w:t>
                </w:r>
              </w:p>
            </w:tc>
            <w:tc>
              <w:tcPr>
                <w:tcW w:w="3216" w:type="dxa"/>
                <w:vMerge w:val="restart"/>
              </w:tcPr>
              <w:p>
                <w:pPr>
                  <w:rPr>
                    <w:szCs w:val="24"/>
                    <w:lang w:val="en-US"/>
                  </w:rPr>
                </w:pPr>
                <w:r>
                  <w:rPr>
                    <w:szCs w:val="24"/>
                    <w:lang w:val="en-US"/>
                  </w:rPr>
                  <w:t>tarpvalstybinio masto apibrėžtos tematikos konferencija, seminaras, simpoziumas ar kt., kuriame mokslininkai ir kiti tyrėjai pristato savo idėjas bei naujausius tyrimų rezultatus; daugiau nei pusė dalyvių yra iš kitų, nei vyksta renginys, šalių</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809"/>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val="restart"/>
              </w:tcPr>
              <w:p>
                <w:pPr>
                  <w:jc w:val="center"/>
                  <w:rPr>
                    <w:szCs w:val="24"/>
                    <w:lang w:val="en-US"/>
                  </w:rPr>
                </w:pPr>
                <w:r>
                  <w:rPr>
                    <w:szCs w:val="24"/>
                    <w:lang w:val="en-US"/>
                  </w:rPr>
                  <w:t>3.</w:t>
                </w:r>
              </w:p>
            </w:tc>
            <w:tc>
              <w:tcPr>
                <w:tcW w:w="2088" w:type="dxa"/>
                <w:vMerge w:val="restart"/>
              </w:tcPr>
              <w:p>
                <w:pPr>
                  <w:rPr>
                    <w:b/>
                    <w:szCs w:val="24"/>
                    <w:lang w:val="en-US"/>
                  </w:rPr>
                </w:pPr>
                <w:r>
                  <w:rPr>
                    <w:b/>
                    <w:szCs w:val="24"/>
                    <w:lang w:val="en-US"/>
                  </w:rPr>
                  <w:t>Nacionalinis mokslo renginys</w:t>
                </w:r>
              </w:p>
            </w:tc>
            <w:tc>
              <w:tcPr>
                <w:tcW w:w="3216" w:type="dxa"/>
                <w:vMerge w:val="restart"/>
              </w:tcPr>
              <w:p>
                <w:pPr>
                  <w:rPr>
                    <w:szCs w:val="24"/>
                    <w:lang w:val="en-US"/>
                  </w:rPr>
                </w:pPr>
                <w:r>
                  <w:rPr>
                    <w:szCs w:val="24"/>
                    <w:lang w:val="en-US"/>
                  </w:rPr>
                  <w:t>šalies masto apibrėžtos tematikos konferencija, seminaras, simpoziumas ar kt., kuriame mokslininkai ir kiti tyrėjai pristato savo idėjas bei naujausius tyrimų rezultatus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809"/>
            </w:trPr>
            <w:tc>
              <w:tcPr>
                <w:tcW w:w="708" w:type="dxa"/>
                <w:vMerge w:val="restart"/>
              </w:tcPr>
              <w:p>
                <w:pPr>
                  <w:jc w:val="center"/>
                  <w:rPr>
                    <w:szCs w:val="24"/>
                    <w:lang w:val="en-US"/>
                  </w:rPr>
                </w:pPr>
                <w:r>
                  <w:rPr>
                    <w:szCs w:val="24"/>
                    <w:lang w:val="en-US"/>
                  </w:rPr>
                  <w:t>4.</w:t>
                </w:r>
              </w:p>
            </w:tc>
            <w:tc>
              <w:tcPr>
                <w:tcW w:w="2088" w:type="dxa"/>
                <w:vMerge w:val="restart"/>
              </w:tcPr>
              <w:p>
                <w:pPr>
                  <w:rPr>
                    <w:b/>
                    <w:szCs w:val="24"/>
                    <w:lang w:val="en-US"/>
                  </w:rPr>
                </w:pPr>
                <w:r>
                  <w:rPr>
                    <w:b/>
                    <w:szCs w:val="24"/>
                    <w:lang w:val="en-US"/>
                  </w:rPr>
                  <w:t>Tarptautinis mokslinis seminaras</w:t>
                </w:r>
              </w:p>
            </w:tc>
            <w:tc>
              <w:tcPr>
                <w:tcW w:w="3216" w:type="dxa"/>
                <w:vMerge w:val="restart"/>
              </w:tcPr>
              <w:p>
                <w:pPr>
                  <w:rPr>
                    <w:szCs w:val="24"/>
                    <w:lang w:val="en-US"/>
                  </w:rPr>
                </w:pPr>
                <w:r>
                  <w:rPr>
                    <w:szCs w:val="24"/>
                    <w:lang w:val="en-US"/>
                  </w:rPr>
                  <w:t>tarptautinių asociacijų ar kitų institucijų surengtas pasaulinio masto taikomojo pobūdžio mokslinis renginys, kurio metu mokslininkai aptaria vieną arba kelias susijusias mokslines problemas; daugiau nei pusė dalyvių yra iš kitų, nei vyksta renginys, šalių</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809"/>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671"/>
            </w:trPr>
            <w:tc>
              <w:tcPr>
                <w:tcW w:w="708" w:type="dxa"/>
                <w:vMerge w:val="restart"/>
              </w:tcPr>
              <w:p>
                <w:pPr>
                  <w:jc w:val="center"/>
                  <w:rPr>
                    <w:szCs w:val="24"/>
                    <w:lang w:val="en-US"/>
                  </w:rPr>
                </w:pPr>
                <w:r>
                  <w:rPr>
                    <w:szCs w:val="24"/>
                    <w:lang w:val="en-US"/>
                  </w:rPr>
                  <w:t>5.</w:t>
                </w:r>
              </w:p>
            </w:tc>
            <w:tc>
              <w:tcPr>
                <w:tcW w:w="2088" w:type="dxa"/>
                <w:vMerge w:val="restart"/>
              </w:tcPr>
              <w:p>
                <w:pPr>
                  <w:rPr>
                    <w:b/>
                    <w:szCs w:val="24"/>
                    <w:lang w:val="en-US"/>
                  </w:rPr>
                </w:pPr>
                <w:r>
                  <w:rPr>
                    <w:b/>
                    <w:szCs w:val="24"/>
                    <w:lang w:val="en-US"/>
                  </w:rPr>
                  <w:t>Regioninis mokslinis seminaras</w:t>
                </w:r>
              </w:p>
            </w:tc>
            <w:tc>
              <w:tcPr>
                <w:tcW w:w="3216" w:type="dxa"/>
                <w:vMerge w:val="restart"/>
              </w:tcPr>
              <w:p>
                <w:pPr>
                  <w:rPr>
                    <w:szCs w:val="24"/>
                    <w:lang w:val="en-US"/>
                  </w:rPr>
                </w:pPr>
                <w:r>
                  <w:rPr>
                    <w:szCs w:val="24"/>
                    <w:lang w:val="en-US"/>
                  </w:rPr>
                  <w:t>tarpvalstybinio masto taikomojo pobūdžio mokslinis renginys, kurio metu mokslininkai aptaria vieną arba kelias susijusias mokslines problemas; daugiau nei pusė dalyvių yra iš kitų, nei vyksta renginys, šalių</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671"/>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val="restart"/>
              </w:tcPr>
              <w:p>
                <w:pPr>
                  <w:jc w:val="center"/>
                  <w:rPr>
                    <w:szCs w:val="24"/>
                    <w:lang w:val="en-US"/>
                  </w:rPr>
                </w:pPr>
                <w:r>
                  <w:rPr>
                    <w:szCs w:val="24"/>
                    <w:lang w:val="en-US"/>
                  </w:rPr>
                  <w:t>6.</w:t>
                </w:r>
              </w:p>
            </w:tc>
            <w:tc>
              <w:tcPr>
                <w:tcW w:w="2088" w:type="dxa"/>
                <w:vMerge w:val="restart"/>
              </w:tcPr>
              <w:p>
                <w:pPr>
                  <w:rPr>
                    <w:b/>
                    <w:szCs w:val="24"/>
                    <w:lang w:val="en-US"/>
                  </w:rPr>
                </w:pPr>
                <w:r>
                  <w:rPr>
                    <w:b/>
                    <w:szCs w:val="24"/>
                    <w:lang w:val="en-US"/>
                  </w:rPr>
                  <w:t>Nacionalinis mokslinis seminaras</w:t>
                </w:r>
              </w:p>
            </w:tc>
            <w:tc>
              <w:tcPr>
                <w:tcW w:w="3216" w:type="dxa"/>
                <w:vMerge w:val="restart"/>
              </w:tcPr>
              <w:p>
                <w:pPr>
                  <w:rPr>
                    <w:szCs w:val="24"/>
                    <w:lang w:val="en-US"/>
                  </w:rPr>
                </w:pPr>
                <w:r>
                  <w:rPr>
                    <w:szCs w:val="24"/>
                    <w:lang w:val="en-US"/>
                  </w:rPr>
                  <w:t>tarpvalstybinio masto taikomojo pobūdžio mokslinis renginys, kurio metu mokslininkai aptaria vieną arba kelias susijusias mokslines problemas</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val="restart"/>
              </w:tcPr>
              <w:p>
                <w:pPr>
                  <w:jc w:val="center"/>
                  <w:rPr>
                    <w:szCs w:val="24"/>
                    <w:lang w:val="en-US"/>
                  </w:rPr>
                </w:pPr>
                <w:r>
                  <w:rPr>
                    <w:szCs w:val="24"/>
                    <w:lang w:val="en-US"/>
                  </w:rPr>
                  <w:t>7.</w:t>
                </w:r>
              </w:p>
            </w:tc>
            <w:tc>
              <w:tcPr>
                <w:tcW w:w="2088" w:type="dxa"/>
                <w:vMerge w:val="restart"/>
              </w:tcPr>
              <w:p>
                <w:pPr>
                  <w:rPr>
                    <w:b/>
                    <w:szCs w:val="24"/>
                    <w:lang w:val="en-US"/>
                  </w:rPr>
                </w:pPr>
                <w:r>
                  <w:rPr>
                    <w:b/>
                    <w:szCs w:val="24"/>
                    <w:lang w:val="en-US"/>
                  </w:rPr>
                  <w:t>Vietinė mokslinė išvyka</w:t>
                </w:r>
              </w:p>
            </w:tc>
            <w:tc>
              <w:tcPr>
                <w:tcW w:w="3216" w:type="dxa"/>
                <w:vMerge w:val="restart"/>
              </w:tcPr>
              <w:p>
                <w:pPr>
                  <w:rPr>
                    <w:szCs w:val="24"/>
                    <w:lang w:val="en-US"/>
                  </w:rPr>
                </w:pPr>
                <w:r>
                  <w:rPr>
                    <w:szCs w:val="24"/>
                    <w:lang w:val="en-US"/>
                  </w:rPr>
                  <w:t>tiriamoji išvyka Lietuvoje (ekspedicija, stažuotė, darbas archyvuose ar bibliotekose ir kt.) teorinėms žinioms ar empiriniams duomenims gauti</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tcPr>
              <w:p>
                <w:pPr>
                  <w:jc w:val="cente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val="restart"/>
              </w:tcPr>
              <w:p>
                <w:pPr>
                  <w:jc w:val="center"/>
                  <w:rPr>
                    <w:szCs w:val="24"/>
                    <w:lang w:val="en-US"/>
                  </w:rPr>
                </w:pPr>
                <w:r>
                  <w:rPr>
                    <w:szCs w:val="24"/>
                    <w:lang w:val="en-US"/>
                  </w:rPr>
                  <w:t>8.</w:t>
                </w:r>
              </w:p>
            </w:tc>
            <w:tc>
              <w:tcPr>
                <w:tcW w:w="2088" w:type="dxa"/>
                <w:vMerge w:val="restart"/>
              </w:tcPr>
              <w:p>
                <w:pPr>
                  <w:rPr>
                    <w:b/>
                    <w:szCs w:val="24"/>
                    <w:lang w:val="en-US"/>
                  </w:rPr>
                </w:pPr>
                <w:r>
                  <w:rPr>
                    <w:b/>
                    <w:szCs w:val="24"/>
                    <w:lang w:val="en-US"/>
                  </w:rPr>
                  <w:t>Užsienio mokslinė išvyka</w:t>
                </w:r>
              </w:p>
            </w:tc>
            <w:tc>
              <w:tcPr>
                <w:tcW w:w="3216" w:type="dxa"/>
                <w:vMerge w:val="restart"/>
              </w:tcPr>
              <w:p>
                <w:pPr>
                  <w:rPr>
                    <w:szCs w:val="24"/>
                    <w:lang w:val="en-US"/>
                  </w:rPr>
                </w:pPr>
                <w:r>
                  <w:rPr>
                    <w:szCs w:val="24"/>
                    <w:lang w:val="en-US"/>
                  </w:rPr>
                  <w:t>tiriamoji išvyka į kitą (-as) šalį (-is) (ekspedicija, stažuotė, darbas archyvuose ar bibliotekose ir kt.) teorinėms žinioms ar empiriniams duomenims gauti</w:t>
                </w:r>
              </w:p>
            </w:tc>
            <w:tc>
              <w:tcPr>
                <w:tcW w:w="871" w:type="dxa"/>
                <w:tcMar>
                  <w:top w:w="28" w:type="dxa"/>
                  <w:left w:w="28" w:type="dxa"/>
                </w:tcMar>
              </w:tcPr>
              <w:p>
                <w:pPr>
                  <w:jc w:val="center"/>
                  <w:rPr>
                    <w:szCs w:val="24"/>
                    <w:lang w:val="en-US"/>
                  </w:rPr>
                </w:pPr>
                <w:r>
                  <w:rPr>
                    <w:szCs w:val="24"/>
                    <w:lang w:val="en-US"/>
                  </w:rPr>
                  <w:t>T</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r>
            <w:trPr>
              <w:trHeight w:val="533"/>
            </w:trPr>
            <w:tc>
              <w:tcPr>
                <w:tcW w:w="708" w:type="dxa"/>
                <w:vMerge/>
              </w:tcPr>
              <w:p>
                <w:pPr>
                  <w:rPr>
                    <w:szCs w:val="24"/>
                    <w:lang w:val="en-US"/>
                  </w:rPr>
                </w:pPr>
              </w:p>
            </w:tc>
            <w:tc>
              <w:tcPr>
                <w:tcW w:w="2088" w:type="dxa"/>
                <w:vMerge/>
              </w:tcPr>
              <w:p>
                <w:pPr>
                  <w:rPr>
                    <w:b/>
                    <w:szCs w:val="24"/>
                    <w:lang w:val="en-US"/>
                  </w:rPr>
                </w:pPr>
              </w:p>
            </w:tc>
            <w:tc>
              <w:tcPr>
                <w:tcW w:w="3216" w:type="dxa"/>
                <w:vMerge/>
              </w:tcPr>
              <w:p>
                <w:pPr>
                  <w:rPr>
                    <w:szCs w:val="24"/>
                    <w:lang w:val="en-US"/>
                  </w:rPr>
                </w:pPr>
              </w:p>
            </w:tc>
            <w:tc>
              <w:tcPr>
                <w:tcW w:w="871" w:type="dxa"/>
                <w:tcMar>
                  <w:top w:w="28" w:type="dxa"/>
                  <w:left w:w="28" w:type="dxa"/>
                </w:tcMar>
              </w:tcPr>
              <w:p>
                <w:pPr>
                  <w:jc w:val="center"/>
                  <w:rPr>
                    <w:szCs w:val="24"/>
                    <w:lang w:val="en-US"/>
                  </w:rPr>
                </w:pPr>
                <w:r>
                  <w:rPr>
                    <w:szCs w:val="24"/>
                    <w:lang w:val="en-US"/>
                  </w:rPr>
                  <w:t>B</w:t>
                </w:r>
              </w:p>
            </w:tc>
            <w:tc>
              <w:tcPr>
                <w:tcW w:w="1131" w:type="dxa"/>
              </w:tcPr>
              <w:p>
                <w:pPr>
                  <w:jc w:val="center"/>
                  <w:rPr>
                    <w:szCs w:val="24"/>
                    <w:lang w:val="en-US"/>
                  </w:rPr>
                </w:pPr>
                <w:r>
                  <w:rPr>
                    <w:szCs w:val="24"/>
                    <w:lang w:val="en-US"/>
                  </w:rPr>
                  <w:sym w:font="Wingdings" w:char="F06F"/>
                </w:r>
              </w:p>
            </w:tc>
            <w:tc>
              <w:tcPr>
                <w:tcW w:w="1154" w:type="dxa"/>
                <w:gridSpan w:val="2"/>
              </w:tcPr>
              <w:p>
                <w:pPr>
                  <w:jc w:val="center"/>
                  <w:rPr>
                    <w:szCs w:val="24"/>
                    <w:lang w:val="en-US"/>
                  </w:rPr>
                </w:pPr>
                <w:r>
                  <w:rPr>
                    <w:szCs w:val="24"/>
                    <w:lang w:val="en-US"/>
                  </w:rPr>
                  <w:sym w:font="Wingdings" w:char="F06F"/>
                </w:r>
              </w:p>
            </w:tc>
            <w:tc>
              <w:tcPr>
                <w:tcW w:w="672" w:type="dxa"/>
                <w:tcMar>
                  <w:top w:w="28" w:type="dxa"/>
                  <w:left w:w="28" w:type="dxa"/>
                </w:tcMar>
              </w:tcPr>
              <w:p>
                <w:pPr>
                  <w:jc w:val="center"/>
                  <w:rPr>
                    <w:szCs w:val="24"/>
                    <w:lang w:val="en-US"/>
                  </w:rPr>
                </w:pPr>
                <w:r>
                  <w:rPr>
                    <w:szCs w:val="24"/>
                    <w:lang w:val="en-US"/>
                  </w:rPr>
                  <w:sym w:font="Wingdings" w:char="F06F"/>
                </w:r>
              </w:p>
            </w:tc>
            <w:tc>
              <w:tcPr>
                <w:tcW w:w="931" w:type="dxa"/>
                <w:tcMar>
                  <w:top w:w="28" w:type="dxa"/>
                  <w:left w:w="28" w:type="dxa"/>
                </w:tcMar>
              </w:tcPr>
              <w:p>
                <w:pPr>
                  <w:jc w:val="center"/>
                  <w:rPr>
                    <w:szCs w:val="24"/>
                    <w:lang w:val="en-US"/>
                  </w:rPr>
                </w:pPr>
                <w:r>
                  <w:rPr>
                    <w:szCs w:val="24"/>
                    <w:lang w:val="en-US"/>
                  </w:rPr>
                  <w:sym w:font="Wingdings" w:char="F06F"/>
                </w:r>
              </w:p>
            </w:tc>
            <w:tc>
              <w:tcPr>
                <w:tcW w:w="1296" w:type="dxa"/>
              </w:tcPr>
              <w:p>
                <w:pPr>
                  <w:jc w:val="center"/>
                  <w:rPr>
                    <w:szCs w:val="24"/>
                    <w:lang w:val="en-US"/>
                  </w:rPr>
                </w:pPr>
                <w:r>
                  <w:rPr>
                    <w:szCs w:val="24"/>
                    <w:lang w:val="en-US"/>
                  </w:rPr>
                  <w:sym w:font="Wingdings" w:char="F06F"/>
                </w:r>
              </w:p>
            </w:tc>
            <w:tc>
              <w:tcPr>
                <w:tcW w:w="1176" w:type="dxa"/>
              </w:tcPr>
              <w:p>
                <w:pPr>
                  <w:jc w:val="center"/>
                  <w:rPr>
                    <w:szCs w:val="24"/>
                    <w:lang w:val="en-US"/>
                  </w:rPr>
                </w:pPr>
                <w:r>
                  <w:rPr>
                    <w:szCs w:val="24"/>
                    <w:lang w:val="en-US"/>
                  </w:rPr>
                  <w:sym w:font="Wingdings" w:char="F06F"/>
                </w:r>
              </w:p>
            </w:tc>
            <w:tc>
              <w:tcPr>
                <w:tcW w:w="876" w:type="dxa"/>
              </w:tcPr>
              <w:p>
                <w:pPr>
                  <w:jc w:val="center"/>
                  <w:rPr>
                    <w:szCs w:val="24"/>
                    <w:lang w:val="en-US"/>
                  </w:rPr>
                </w:pPr>
                <w:r>
                  <w:rPr>
                    <w:szCs w:val="24"/>
                    <w:lang w:val="en-US"/>
                  </w:rPr>
                  <w:sym w:font="Wingdings" w:char="F06F"/>
                </w:r>
              </w:p>
            </w:tc>
            <w:tc>
              <w:tcPr>
                <w:tcW w:w="1036" w:type="dxa"/>
                <w:tcMar>
                  <w:top w:w="28" w:type="dxa"/>
                  <w:left w:w="28" w:type="dxa"/>
                </w:tcMar>
              </w:tcPr>
              <w:p>
                <w:pPr>
                  <w:jc w:val="center"/>
                  <w:rPr>
                    <w:szCs w:val="24"/>
                    <w:lang w:val="en-US"/>
                  </w:rPr>
                </w:pPr>
                <w:r>
                  <w:rPr>
                    <w:szCs w:val="24"/>
                    <w:lang w:val="en-US"/>
                  </w:rPr>
                  <w:sym w:font="Wingdings" w:char="F078"/>
                </w:r>
              </w:p>
            </w:tc>
            <w:tc>
              <w:tcPr>
                <w:tcW w:w="500" w:type="dxa"/>
              </w:tcPr>
              <w:p>
                <w:pPr>
                  <w:jc w:val="center"/>
                  <w:rPr>
                    <w:szCs w:val="24"/>
                    <w:lang w:val="en-US"/>
                  </w:rPr>
                </w:pPr>
                <w:r>
                  <w:rPr>
                    <w:szCs w:val="24"/>
                    <w:lang w:val="en-US"/>
                  </w:rPr>
                  <w:sym w:font="Wingdings" w:char="F06F"/>
                </w:r>
              </w:p>
            </w:tc>
            <w:tc>
              <w:tcPr>
                <w:tcW w:w="500" w:type="dxa"/>
              </w:tcPr>
              <w:p>
                <w:pPr>
                  <w:jc w:val="center"/>
                  <w:rPr>
                    <w:szCs w:val="24"/>
                    <w:lang w:val="en-US"/>
                  </w:rPr>
                </w:pPr>
                <w:r>
                  <w:rPr>
                    <w:szCs w:val="24"/>
                    <w:lang w:val="en-US"/>
                  </w:rPr>
                  <w:sym w:font="Wingdings" w:char="F06F"/>
                </w:r>
              </w:p>
            </w:tc>
          </w:tr>
        </w:tbl>
        <w:p>
          <w:pPr>
            <w:spacing w:line="276" w:lineRule="auto"/>
            <w:rPr>
              <w:szCs w:val="24"/>
              <w:lang w:val="en-US"/>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1"/>
            <w:gridCol w:w="58"/>
            <w:gridCol w:w="2068"/>
            <w:gridCol w:w="85"/>
            <w:gridCol w:w="5015"/>
            <w:gridCol w:w="6"/>
            <w:gridCol w:w="994"/>
            <w:gridCol w:w="1884"/>
            <w:gridCol w:w="2034"/>
            <w:gridCol w:w="2035"/>
          </w:tblGrid>
          <w:tr>
            <w:tc>
              <w:tcPr>
                <w:tcW w:w="671" w:type="dxa"/>
              </w:tcPr>
              <w:p>
                <w:pPr>
                  <w:rPr>
                    <w:szCs w:val="24"/>
                    <w:lang w:val="en-US"/>
                  </w:rPr>
                </w:pPr>
                <w:r>
                  <w:rPr>
                    <w:szCs w:val="24"/>
                    <w:lang w:val="en-US"/>
                  </w:rPr>
                  <w:t>Eil. Nr.</w:t>
                </w:r>
              </w:p>
            </w:tc>
            <w:tc>
              <w:tcPr>
                <w:tcW w:w="2126" w:type="dxa"/>
                <w:gridSpan w:val="2"/>
              </w:tcPr>
              <w:p>
                <w:pPr>
                  <w:rPr>
                    <w:szCs w:val="24"/>
                    <w:lang w:val="en-US"/>
                  </w:rPr>
                </w:pPr>
                <w:r>
                  <w:rPr>
                    <w:szCs w:val="24"/>
                    <w:lang w:val="en-US"/>
                  </w:rPr>
                  <w:t>Produkcijos rūšis</w:t>
                </w:r>
              </w:p>
            </w:tc>
            <w:tc>
              <w:tcPr>
                <w:tcW w:w="5100" w:type="dxa"/>
                <w:gridSpan w:val="2"/>
              </w:tcPr>
              <w:p>
                <w:pPr>
                  <w:rPr>
                    <w:szCs w:val="24"/>
                    <w:lang w:val="en-US"/>
                  </w:rPr>
                </w:pPr>
                <w:r>
                  <w:rPr>
                    <w:szCs w:val="24"/>
                    <w:lang w:val="en-US"/>
                  </w:rPr>
                  <w:t>Produkcijos apibrėžimas</w:t>
                </w:r>
              </w:p>
            </w:tc>
            <w:tc>
              <w:tcPr>
                <w:tcW w:w="1000" w:type="dxa"/>
                <w:gridSpan w:val="2"/>
              </w:tcPr>
              <w:p>
                <w:pPr>
                  <w:rPr>
                    <w:szCs w:val="24"/>
                    <w:lang w:val="en-US"/>
                  </w:rPr>
                </w:pPr>
                <w:r>
                  <w:rPr>
                    <w:szCs w:val="24"/>
                    <w:lang w:val="en-US"/>
                  </w:rPr>
                  <w:t>Atas-kaitos tipas (tarpinė – T, baigia-moji – B)</w:t>
                </w:r>
              </w:p>
            </w:tc>
            <w:tc>
              <w:tcPr>
                <w:tcW w:w="1884" w:type="dxa"/>
              </w:tcPr>
              <w:p>
                <w:pPr>
                  <w:rPr>
                    <w:szCs w:val="24"/>
                    <w:lang w:val="en-US"/>
                  </w:rPr>
                </w:pPr>
                <w:r>
                  <w:rPr>
                    <w:szCs w:val="24"/>
                    <w:lang w:val="en-US"/>
                  </w:rPr>
                  <w:t>Padarytas tarptautiniame mokslo renginyje ar seminare</w:t>
                </w:r>
              </w:p>
            </w:tc>
            <w:tc>
              <w:tcPr>
                <w:tcW w:w="2034" w:type="dxa"/>
              </w:tcPr>
              <w:p>
                <w:pPr>
                  <w:rPr>
                    <w:szCs w:val="24"/>
                    <w:lang w:val="en-US"/>
                  </w:rPr>
                </w:pPr>
                <w:r>
                  <w:rPr>
                    <w:szCs w:val="24"/>
                    <w:lang w:val="en-US"/>
                  </w:rPr>
                  <w:t>Padarytas regioniniame mokslo renginyje ar seminare</w:t>
                </w:r>
              </w:p>
            </w:tc>
            <w:tc>
              <w:tcPr>
                <w:tcW w:w="2035" w:type="dxa"/>
              </w:tcPr>
              <w:p>
                <w:pPr>
                  <w:rPr>
                    <w:szCs w:val="24"/>
                    <w:lang w:val="en-US"/>
                  </w:rPr>
                </w:pPr>
                <w:r>
                  <w:rPr>
                    <w:szCs w:val="24"/>
                    <w:lang w:val="en-US"/>
                  </w:rPr>
                  <w:t>Padarytas nacionaliniame mokslo renginyje ar seminare</w:t>
                </w:r>
              </w:p>
            </w:tc>
          </w:tr>
          <w:tr>
            <w:tc>
              <w:tcPr>
                <w:tcW w:w="14850" w:type="dxa"/>
                <w:gridSpan w:val="10"/>
              </w:tcPr>
              <w:p>
                <w:pPr>
                  <w:rPr>
                    <w:b/>
                    <w:szCs w:val="24"/>
                    <w:lang w:val="en-US"/>
                  </w:rPr>
                </w:pPr>
                <w:r>
                  <w:rPr>
                    <w:b/>
                    <w:szCs w:val="24"/>
                    <w:lang w:val="en-US"/>
                  </w:rPr>
                  <w:t>MOKSLINIAI PRANEŠIMAI</w:t>
                </w:r>
              </w:p>
            </w:tc>
          </w:tr>
          <w:tr>
            <w:trPr>
              <w:trHeight w:val="395"/>
            </w:trPr>
            <w:tc>
              <w:tcPr>
                <w:tcW w:w="729" w:type="dxa"/>
                <w:gridSpan w:val="2"/>
                <w:vMerge w:val="restart"/>
              </w:tcPr>
              <w:p>
                <w:pPr>
                  <w:jc w:val="center"/>
                  <w:rPr>
                    <w:szCs w:val="24"/>
                    <w:lang w:val="en-US"/>
                  </w:rPr>
                </w:pPr>
                <w:r>
                  <w:rPr>
                    <w:szCs w:val="24"/>
                    <w:lang w:val="en-US"/>
                  </w:rPr>
                  <w:t>1.</w:t>
                </w:r>
              </w:p>
            </w:tc>
            <w:tc>
              <w:tcPr>
                <w:tcW w:w="2153" w:type="dxa"/>
                <w:gridSpan w:val="2"/>
                <w:vMerge w:val="restart"/>
              </w:tcPr>
              <w:p>
                <w:pPr>
                  <w:rPr>
                    <w:b/>
                    <w:szCs w:val="24"/>
                    <w:lang w:val="en-US"/>
                  </w:rPr>
                </w:pPr>
                <w:r>
                  <w:rPr>
                    <w:szCs w:val="24"/>
                    <w:lang w:val="en-US"/>
                  </w:rPr>
                  <w:t>Pilnumos (plenarinis) pranešimas</w:t>
                </w:r>
              </w:p>
            </w:tc>
            <w:tc>
              <w:tcPr>
                <w:tcW w:w="5021" w:type="dxa"/>
                <w:gridSpan w:val="2"/>
                <w:vMerge w:val="restart"/>
              </w:tcPr>
              <w:p>
                <w:pPr>
                  <w:rPr>
                    <w:szCs w:val="24"/>
                    <w:lang w:val="en-US"/>
                  </w:rPr>
                </w:pPr>
                <w:r>
                  <w:rPr>
                    <w:szCs w:val="24"/>
                    <w:lang w:val="en-US"/>
                  </w:rPr>
                  <w:t>kviestinio pranešėjo paskaita pagrindinėje bendroje renginio dalyje rengėjų pasiūlyta tema</w:t>
                </w:r>
              </w:p>
            </w:tc>
            <w:tc>
              <w:tcPr>
                <w:tcW w:w="994" w:type="dxa"/>
                <w:tcMar>
                  <w:top w:w="28" w:type="dxa"/>
                  <w:left w:w="28" w:type="dxa"/>
                </w:tcMar>
              </w:tcPr>
              <w:p>
                <w:pPr>
                  <w:jc w:val="center"/>
                  <w:rPr>
                    <w:szCs w:val="24"/>
                    <w:lang w:val="en-US"/>
                  </w:rPr>
                </w:pPr>
                <w:r>
                  <w:rPr>
                    <w:szCs w:val="24"/>
                    <w:lang w:val="en-US"/>
                  </w:rPr>
                  <w:t>T</w:t>
                </w:r>
              </w:p>
            </w:tc>
            <w:tc>
              <w:tcPr>
                <w:tcW w:w="1884" w:type="dxa"/>
              </w:tcPr>
              <w:p>
                <w:pPr>
                  <w:jc w:val="center"/>
                  <w:rPr>
                    <w:szCs w:val="24"/>
                    <w:lang w:val="en-US"/>
                  </w:rPr>
                </w:pPr>
                <w:r>
                  <w:rPr>
                    <w:szCs w:val="24"/>
                    <w:lang w:val="en-US"/>
                  </w:rPr>
                  <w:sym w:font="Wingdings" w:char="F078"/>
                </w:r>
              </w:p>
            </w:tc>
            <w:tc>
              <w:tcPr>
                <w:tcW w:w="2034" w:type="dxa"/>
                <w:tcMar>
                  <w:top w:w="28" w:type="dxa"/>
                  <w:left w:w="28" w:type="dxa"/>
                </w:tcMar>
              </w:tcPr>
              <w:p>
                <w:pPr>
                  <w:jc w:val="center"/>
                  <w:rPr>
                    <w:szCs w:val="24"/>
                    <w:lang w:val="en-US"/>
                  </w:rPr>
                </w:pPr>
                <w:r>
                  <w:rPr>
                    <w:szCs w:val="24"/>
                    <w:lang w:val="en-US"/>
                  </w:rPr>
                  <w:sym w:font="Wingdings" w:char="F078"/>
                </w:r>
              </w:p>
            </w:tc>
            <w:tc>
              <w:tcPr>
                <w:tcW w:w="2035" w:type="dxa"/>
                <w:tcMar>
                  <w:top w:w="28" w:type="dxa"/>
                  <w:left w:w="28" w:type="dxa"/>
                </w:tcMar>
              </w:tcPr>
              <w:p>
                <w:pPr>
                  <w:jc w:val="center"/>
                  <w:rPr>
                    <w:szCs w:val="24"/>
                    <w:lang w:val="en-US"/>
                  </w:rPr>
                </w:pPr>
                <w:r>
                  <w:rPr>
                    <w:szCs w:val="24"/>
                    <w:lang w:val="en-US"/>
                  </w:rPr>
                  <w:sym w:font="Wingdings" w:char="F078"/>
                </w:r>
              </w:p>
            </w:tc>
          </w:tr>
          <w:tr>
            <w:trPr>
              <w:trHeight w:val="395"/>
            </w:trPr>
            <w:tc>
              <w:tcPr>
                <w:tcW w:w="729" w:type="dxa"/>
                <w:gridSpan w:val="2"/>
                <w:vMerge/>
              </w:tcPr>
              <w:p>
                <w:pPr>
                  <w:jc w:val="center"/>
                  <w:rPr>
                    <w:szCs w:val="24"/>
                    <w:lang w:val="en-US"/>
                  </w:rPr>
                </w:pPr>
              </w:p>
            </w:tc>
            <w:tc>
              <w:tcPr>
                <w:tcW w:w="2153" w:type="dxa"/>
                <w:gridSpan w:val="2"/>
                <w:vMerge/>
              </w:tcPr>
              <w:p>
                <w:pPr>
                  <w:rPr>
                    <w:szCs w:val="24"/>
                    <w:lang w:val="en-US"/>
                  </w:rPr>
                </w:pPr>
              </w:p>
            </w:tc>
            <w:tc>
              <w:tcPr>
                <w:tcW w:w="5021" w:type="dxa"/>
                <w:gridSpan w:val="2"/>
                <w:vMerge/>
              </w:tcPr>
              <w:p>
                <w:pPr>
                  <w:rPr>
                    <w:szCs w:val="24"/>
                    <w:lang w:val="en-US"/>
                  </w:rPr>
                </w:pPr>
              </w:p>
            </w:tc>
            <w:tc>
              <w:tcPr>
                <w:tcW w:w="994" w:type="dxa"/>
                <w:tcMar>
                  <w:top w:w="28" w:type="dxa"/>
                  <w:left w:w="28" w:type="dxa"/>
                </w:tcMar>
              </w:tcPr>
              <w:p>
                <w:pPr>
                  <w:jc w:val="center"/>
                  <w:rPr>
                    <w:szCs w:val="24"/>
                    <w:lang w:val="en-US"/>
                  </w:rPr>
                </w:pPr>
                <w:r>
                  <w:rPr>
                    <w:szCs w:val="24"/>
                    <w:lang w:val="en-US"/>
                  </w:rPr>
                  <w:t>B</w:t>
                </w:r>
              </w:p>
            </w:tc>
            <w:tc>
              <w:tcPr>
                <w:tcW w:w="1884" w:type="dxa"/>
              </w:tcPr>
              <w:p>
                <w:pPr>
                  <w:jc w:val="center"/>
                  <w:rPr>
                    <w:szCs w:val="24"/>
                    <w:lang w:val="en-US"/>
                  </w:rPr>
                </w:pPr>
                <w:r>
                  <w:rPr>
                    <w:szCs w:val="24"/>
                    <w:lang w:val="en-US"/>
                  </w:rPr>
                  <w:sym w:font="Wingdings" w:char="F078"/>
                </w:r>
              </w:p>
            </w:tc>
            <w:tc>
              <w:tcPr>
                <w:tcW w:w="2034" w:type="dxa"/>
                <w:tcMar>
                  <w:top w:w="28" w:type="dxa"/>
                  <w:left w:w="28" w:type="dxa"/>
                </w:tcMar>
              </w:tcPr>
              <w:p>
                <w:pPr>
                  <w:jc w:val="center"/>
                  <w:rPr>
                    <w:szCs w:val="24"/>
                    <w:lang w:val="en-US"/>
                  </w:rPr>
                </w:pPr>
                <w:r>
                  <w:rPr>
                    <w:szCs w:val="24"/>
                    <w:lang w:val="en-US"/>
                  </w:rPr>
                  <w:sym w:font="Wingdings" w:char="F078"/>
                </w:r>
              </w:p>
            </w:tc>
            <w:tc>
              <w:tcPr>
                <w:tcW w:w="2035" w:type="dxa"/>
                <w:tcMar>
                  <w:top w:w="28" w:type="dxa"/>
                  <w:left w:w="28" w:type="dxa"/>
                </w:tcMar>
              </w:tcPr>
              <w:p>
                <w:pPr>
                  <w:jc w:val="center"/>
                  <w:rPr>
                    <w:szCs w:val="24"/>
                    <w:lang w:val="en-US"/>
                  </w:rPr>
                </w:pPr>
                <w:r>
                  <w:rPr>
                    <w:szCs w:val="24"/>
                    <w:lang w:val="en-US"/>
                  </w:rPr>
                  <w:sym w:font="Wingdings" w:char="F078"/>
                </w:r>
              </w:p>
            </w:tc>
          </w:tr>
          <w:tr>
            <w:trPr>
              <w:trHeight w:val="395"/>
            </w:trPr>
            <w:tc>
              <w:tcPr>
                <w:tcW w:w="729" w:type="dxa"/>
                <w:gridSpan w:val="2"/>
                <w:vMerge w:val="restart"/>
              </w:tcPr>
              <w:p>
                <w:pPr>
                  <w:jc w:val="center"/>
                  <w:rPr>
                    <w:szCs w:val="24"/>
                    <w:lang w:val="en-US"/>
                  </w:rPr>
                </w:pPr>
                <w:r>
                  <w:rPr>
                    <w:szCs w:val="24"/>
                    <w:lang w:val="en-US"/>
                  </w:rPr>
                  <w:t>2.</w:t>
                </w:r>
              </w:p>
            </w:tc>
            <w:tc>
              <w:tcPr>
                <w:tcW w:w="2153" w:type="dxa"/>
                <w:gridSpan w:val="2"/>
                <w:vMerge w:val="restart"/>
              </w:tcPr>
              <w:p>
                <w:pPr>
                  <w:rPr>
                    <w:b/>
                    <w:szCs w:val="24"/>
                    <w:lang w:val="en-US"/>
                  </w:rPr>
                </w:pPr>
                <w:r>
                  <w:rPr>
                    <w:szCs w:val="24"/>
                    <w:lang w:val="en-US"/>
                  </w:rPr>
                  <w:t>Žodinis pranešimas</w:t>
                </w:r>
              </w:p>
            </w:tc>
            <w:tc>
              <w:tcPr>
                <w:tcW w:w="5021" w:type="dxa"/>
                <w:gridSpan w:val="2"/>
                <w:vMerge w:val="restart"/>
              </w:tcPr>
              <w:p>
                <w:pPr>
                  <w:rPr>
                    <w:szCs w:val="24"/>
                    <w:lang w:val="en-US"/>
                  </w:rPr>
                </w:pPr>
                <w:r>
                  <w:rPr>
                    <w:szCs w:val="24"/>
                    <w:lang w:val="en-US"/>
                  </w:rPr>
                  <w:t>perskaitytas tekstas, kuriame pateikiami galutiniai mokslinio tyrimo rezultatai, apie baigtą tyrimą mokslinio renginio metu</w:t>
                </w:r>
              </w:p>
            </w:tc>
            <w:tc>
              <w:tcPr>
                <w:tcW w:w="994" w:type="dxa"/>
                <w:tcMar>
                  <w:top w:w="28" w:type="dxa"/>
                  <w:left w:w="28" w:type="dxa"/>
                </w:tcMar>
              </w:tcPr>
              <w:p>
                <w:pPr>
                  <w:jc w:val="center"/>
                  <w:rPr>
                    <w:szCs w:val="24"/>
                    <w:lang w:val="en-US"/>
                  </w:rPr>
                </w:pPr>
                <w:r>
                  <w:rPr>
                    <w:szCs w:val="24"/>
                    <w:lang w:val="en-US"/>
                  </w:rPr>
                  <w:t>T</w:t>
                </w:r>
              </w:p>
            </w:tc>
            <w:tc>
              <w:tcPr>
                <w:tcW w:w="1884" w:type="dxa"/>
              </w:tcPr>
              <w:p>
                <w:pPr>
                  <w:jc w:val="center"/>
                  <w:rPr>
                    <w:szCs w:val="24"/>
                    <w:lang w:val="en-US"/>
                  </w:rPr>
                </w:pPr>
                <w:r>
                  <w:rPr>
                    <w:szCs w:val="24"/>
                    <w:lang w:val="en-US"/>
                  </w:rPr>
                  <w:sym w:font="Wingdings" w:char="F078"/>
                </w:r>
              </w:p>
            </w:tc>
            <w:tc>
              <w:tcPr>
                <w:tcW w:w="2034" w:type="dxa"/>
                <w:tcMar>
                  <w:top w:w="28" w:type="dxa"/>
                  <w:left w:w="28" w:type="dxa"/>
                </w:tcMar>
              </w:tcPr>
              <w:p>
                <w:pPr>
                  <w:jc w:val="center"/>
                  <w:rPr>
                    <w:szCs w:val="24"/>
                    <w:lang w:val="en-US"/>
                  </w:rPr>
                </w:pPr>
                <w:r>
                  <w:rPr>
                    <w:szCs w:val="24"/>
                    <w:lang w:val="en-US"/>
                  </w:rPr>
                  <w:sym w:font="Wingdings" w:char="F078"/>
                </w:r>
              </w:p>
            </w:tc>
            <w:tc>
              <w:tcPr>
                <w:tcW w:w="2035" w:type="dxa"/>
                <w:tcMar>
                  <w:top w:w="28" w:type="dxa"/>
                  <w:left w:w="28" w:type="dxa"/>
                </w:tcMar>
              </w:tcPr>
              <w:p>
                <w:pPr>
                  <w:jc w:val="center"/>
                  <w:rPr>
                    <w:szCs w:val="24"/>
                    <w:lang w:val="en-US"/>
                  </w:rPr>
                </w:pPr>
                <w:r>
                  <w:rPr>
                    <w:szCs w:val="24"/>
                    <w:lang w:val="en-US"/>
                  </w:rPr>
                  <w:sym w:font="Wingdings" w:char="F078"/>
                </w:r>
              </w:p>
            </w:tc>
          </w:tr>
          <w:tr>
            <w:trPr>
              <w:trHeight w:val="395"/>
            </w:trPr>
            <w:tc>
              <w:tcPr>
                <w:tcW w:w="729" w:type="dxa"/>
                <w:gridSpan w:val="2"/>
                <w:vMerge/>
              </w:tcPr>
              <w:p>
                <w:pPr>
                  <w:jc w:val="center"/>
                  <w:rPr>
                    <w:szCs w:val="24"/>
                    <w:lang w:val="en-US"/>
                  </w:rPr>
                </w:pPr>
              </w:p>
            </w:tc>
            <w:tc>
              <w:tcPr>
                <w:tcW w:w="2153" w:type="dxa"/>
                <w:gridSpan w:val="2"/>
                <w:vMerge/>
              </w:tcPr>
              <w:p>
                <w:pPr>
                  <w:rPr>
                    <w:szCs w:val="24"/>
                    <w:lang w:val="en-US"/>
                  </w:rPr>
                </w:pPr>
              </w:p>
            </w:tc>
            <w:tc>
              <w:tcPr>
                <w:tcW w:w="5021" w:type="dxa"/>
                <w:gridSpan w:val="2"/>
                <w:vMerge/>
              </w:tcPr>
              <w:p>
                <w:pPr>
                  <w:rPr>
                    <w:szCs w:val="24"/>
                    <w:lang w:val="en-US"/>
                  </w:rPr>
                </w:pPr>
              </w:p>
            </w:tc>
            <w:tc>
              <w:tcPr>
                <w:tcW w:w="994" w:type="dxa"/>
                <w:tcMar>
                  <w:top w:w="28" w:type="dxa"/>
                  <w:left w:w="28" w:type="dxa"/>
                </w:tcMar>
              </w:tcPr>
              <w:p>
                <w:pPr>
                  <w:jc w:val="center"/>
                  <w:rPr>
                    <w:szCs w:val="24"/>
                    <w:lang w:val="en-US"/>
                  </w:rPr>
                </w:pPr>
                <w:r>
                  <w:rPr>
                    <w:szCs w:val="24"/>
                    <w:lang w:val="en-US"/>
                  </w:rPr>
                  <w:t>B</w:t>
                </w:r>
              </w:p>
            </w:tc>
            <w:tc>
              <w:tcPr>
                <w:tcW w:w="1884" w:type="dxa"/>
              </w:tcPr>
              <w:p>
                <w:pPr>
                  <w:jc w:val="center"/>
                  <w:rPr>
                    <w:szCs w:val="24"/>
                    <w:lang w:val="en-US"/>
                  </w:rPr>
                </w:pPr>
                <w:r>
                  <w:rPr>
                    <w:szCs w:val="24"/>
                    <w:lang w:val="en-US"/>
                  </w:rPr>
                  <w:sym w:font="Wingdings" w:char="F078"/>
                </w:r>
              </w:p>
            </w:tc>
            <w:tc>
              <w:tcPr>
                <w:tcW w:w="2034" w:type="dxa"/>
                <w:tcMar>
                  <w:top w:w="28" w:type="dxa"/>
                  <w:left w:w="28" w:type="dxa"/>
                </w:tcMar>
              </w:tcPr>
              <w:p>
                <w:pPr>
                  <w:jc w:val="center"/>
                  <w:rPr>
                    <w:szCs w:val="24"/>
                    <w:lang w:val="en-US"/>
                  </w:rPr>
                </w:pPr>
                <w:r>
                  <w:rPr>
                    <w:szCs w:val="24"/>
                    <w:lang w:val="en-US"/>
                  </w:rPr>
                  <w:sym w:font="Wingdings" w:char="F078"/>
                </w:r>
              </w:p>
            </w:tc>
            <w:tc>
              <w:tcPr>
                <w:tcW w:w="2035" w:type="dxa"/>
                <w:tcMar>
                  <w:top w:w="28" w:type="dxa"/>
                  <w:left w:w="28" w:type="dxa"/>
                </w:tcMar>
              </w:tcPr>
              <w:p>
                <w:pPr>
                  <w:jc w:val="center"/>
                  <w:rPr>
                    <w:szCs w:val="24"/>
                    <w:lang w:val="en-US"/>
                  </w:rPr>
                </w:pPr>
                <w:r>
                  <w:rPr>
                    <w:szCs w:val="24"/>
                    <w:lang w:val="en-US"/>
                  </w:rPr>
                  <w:sym w:font="Wingdings" w:char="F078"/>
                </w:r>
              </w:p>
            </w:tc>
          </w:tr>
          <w:tr>
            <w:trPr>
              <w:trHeight w:val="395"/>
            </w:trPr>
            <w:tc>
              <w:tcPr>
                <w:tcW w:w="729" w:type="dxa"/>
                <w:gridSpan w:val="2"/>
                <w:vMerge w:val="restart"/>
              </w:tcPr>
              <w:p>
                <w:pPr>
                  <w:jc w:val="center"/>
                  <w:rPr>
                    <w:szCs w:val="24"/>
                    <w:lang w:val="en-US"/>
                  </w:rPr>
                </w:pPr>
                <w:r>
                  <w:rPr>
                    <w:szCs w:val="24"/>
                    <w:lang w:val="en-US"/>
                  </w:rPr>
                  <w:t>3.</w:t>
                </w:r>
              </w:p>
            </w:tc>
            <w:tc>
              <w:tcPr>
                <w:tcW w:w="2153" w:type="dxa"/>
                <w:gridSpan w:val="2"/>
                <w:vMerge w:val="restart"/>
              </w:tcPr>
              <w:p>
                <w:pPr>
                  <w:rPr>
                    <w:b/>
                    <w:szCs w:val="24"/>
                    <w:lang w:val="en-US"/>
                  </w:rPr>
                </w:pPr>
                <w:r>
                  <w:rPr>
                    <w:szCs w:val="24"/>
                    <w:lang w:val="en-US"/>
                  </w:rPr>
                  <w:t>Stendinis pranešimas</w:t>
                </w:r>
              </w:p>
            </w:tc>
            <w:tc>
              <w:tcPr>
                <w:tcW w:w="5021" w:type="dxa"/>
                <w:gridSpan w:val="2"/>
                <w:vMerge w:val="restart"/>
              </w:tcPr>
              <w:p>
                <w:pPr>
                  <w:rPr>
                    <w:szCs w:val="24"/>
                    <w:lang w:val="en-US"/>
                  </w:rPr>
                </w:pPr>
                <w:r>
                  <w:rPr>
                    <w:szCs w:val="24"/>
                    <w:lang w:val="en-US"/>
                  </w:rPr>
                  <w:t>vizualiai pateikta informacija apie gautus pirminius ar galutinius mokslinio tyrimo rezultatus</w:t>
                </w:r>
              </w:p>
            </w:tc>
            <w:tc>
              <w:tcPr>
                <w:tcW w:w="994" w:type="dxa"/>
                <w:tcMar>
                  <w:top w:w="28" w:type="dxa"/>
                  <w:left w:w="28" w:type="dxa"/>
                </w:tcMar>
              </w:tcPr>
              <w:p>
                <w:pPr>
                  <w:jc w:val="center"/>
                  <w:rPr>
                    <w:szCs w:val="24"/>
                    <w:lang w:val="en-US"/>
                  </w:rPr>
                </w:pPr>
                <w:r>
                  <w:rPr>
                    <w:szCs w:val="24"/>
                    <w:lang w:val="en-US"/>
                  </w:rPr>
                  <w:t>T</w:t>
                </w:r>
              </w:p>
            </w:tc>
            <w:tc>
              <w:tcPr>
                <w:tcW w:w="1884" w:type="dxa"/>
              </w:tcPr>
              <w:p>
                <w:pPr>
                  <w:jc w:val="center"/>
                  <w:rPr>
                    <w:szCs w:val="24"/>
                    <w:lang w:val="en-US"/>
                  </w:rPr>
                </w:pPr>
                <w:r>
                  <w:rPr>
                    <w:szCs w:val="24"/>
                    <w:lang w:val="en-US"/>
                  </w:rPr>
                  <w:sym w:font="Wingdings" w:char="F078"/>
                </w:r>
              </w:p>
            </w:tc>
            <w:tc>
              <w:tcPr>
                <w:tcW w:w="2034" w:type="dxa"/>
                <w:tcMar>
                  <w:top w:w="28" w:type="dxa"/>
                  <w:left w:w="28" w:type="dxa"/>
                </w:tcMar>
              </w:tcPr>
              <w:p>
                <w:pPr>
                  <w:jc w:val="center"/>
                  <w:rPr>
                    <w:szCs w:val="24"/>
                    <w:lang w:val="en-US"/>
                  </w:rPr>
                </w:pPr>
                <w:r>
                  <w:rPr>
                    <w:szCs w:val="24"/>
                    <w:lang w:val="en-US"/>
                  </w:rPr>
                  <w:sym w:font="Wingdings" w:char="F078"/>
                </w:r>
              </w:p>
            </w:tc>
            <w:tc>
              <w:tcPr>
                <w:tcW w:w="2035" w:type="dxa"/>
                <w:tcMar>
                  <w:top w:w="28" w:type="dxa"/>
                  <w:left w:w="28" w:type="dxa"/>
                </w:tcMar>
              </w:tcPr>
              <w:p>
                <w:pPr>
                  <w:jc w:val="center"/>
                  <w:rPr>
                    <w:szCs w:val="24"/>
                    <w:lang w:val="en-US"/>
                  </w:rPr>
                </w:pPr>
                <w:r>
                  <w:rPr>
                    <w:szCs w:val="24"/>
                    <w:lang w:val="en-US"/>
                  </w:rPr>
                  <w:sym w:font="Wingdings" w:char="F078"/>
                </w:r>
              </w:p>
            </w:tc>
          </w:tr>
          <w:tr>
            <w:trPr>
              <w:trHeight w:val="395"/>
            </w:trPr>
            <w:tc>
              <w:tcPr>
                <w:tcW w:w="729" w:type="dxa"/>
                <w:gridSpan w:val="2"/>
                <w:vMerge/>
              </w:tcPr>
              <w:p>
                <w:pPr>
                  <w:jc w:val="center"/>
                  <w:rPr>
                    <w:szCs w:val="24"/>
                    <w:lang w:val="en-US"/>
                  </w:rPr>
                </w:pPr>
              </w:p>
            </w:tc>
            <w:tc>
              <w:tcPr>
                <w:tcW w:w="2153" w:type="dxa"/>
                <w:gridSpan w:val="2"/>
                <w:vMerge/>
              </w:tcPr>
              <w:p>
                <w:pPr>
                  <w:rPr>
                    <w:szCs w:val="24"/>
                    <w:lang w:val="en-US"/>
                  </w:rPr>
                </w:pPr>
              </w:p>
            </w:tc>
            <w:tc>
              <w:tcPr>
                <w:tcW w:w="5021" w:type="dxa"/>
                <w:gridSpan w:val="2"/>
                <w:vMerge/>
              </w:tcPr>
              <w:p>
                <w:pPr>
                  <w:rPr>
                    <w:szCs w:val="24"/>
                    <w:lang w:val="en-US"/>
                  </w:rPr>
                </w:pPr>
              </w:p>
            </w:tc>
            <w:tc>
              <w:tcPr>
                <w:tcW w:w="994" w:type="dxa"/>
                <w:tcMar>
                  <w:top w:w="28" w:type="dxa"/>
                  <w:left w:w="28" w:type="dxa"/>
                </w:tcMar>
              </w:tcPr>
              <w:p>
                <w:pPr>
                  <w:jc w:val="center"/>
                  <w:rPr>
                    <w:szCs w:val="24"/>
                    <w:lang w:val="en-US"/>
                  </w:rPr>
                </w:pPr>
                <w:r>
                  <w:rPr>
                    <w:szCs w:val="24"/>
                    <w:lang w:val="en-US"/>
                  </w:rPr>
                  <w:t>B</w:t>
                </w:r>
              </w:p>
            </w:tc>
            <w:tc>
              <w:tcPr>
                <w:tcW w:w="1884" w:type="dxa"/>
              </w:tcPr>
              <w:p>
                <w:pPr>
                  <w:jc w:val="center"/>
                  <w:rPr>
                    <w:szCs w:val="24"/>
                    <w:lang w:val="en-US"/>
                  </w:rPr>
                </w:pPr>
                <w:r>
                  <w:rPr>
                    <w:szCs w:val="24"/>
                    <w:lang w:val="en-US"/>
                  </w:rPr>
                  <w:sym w:font="Wingdings" w:char="F078"/>
                </w:r>
              </w:p>
            </w:tc>
            <w:tc>
              <w:tcPr>
                <w:tcW w:w="2034" w:type="dxa"/>
                <w:tcMar>
                  <w:top w:w="28" w:type="dxa"/>
                  <w:left w:w="28" w:type="dxa"/>
                </w:tcMar>
              </w:tcPr>
              <w:p>
                <w:pPr>
                  <w:jc w:val="center"/>
                  <w:rPr>
                    <w:szCs w:val="24"/>
                    <w:lang w:val="en-US"/>
                  </w:rPr>
                </w:pPr>
                <w:r>
                  <w:rPr>
                    <w:szCs w:val="24"/>
                    <w:lang w:val="en-US"/>
                  </w:rPr>
                  <w:sym w:font="Wingdings" w:char="F078"/>
                </w:r>
              </w:p>
            </w:tc>
            <w:tc>
              <w:tcPr>
                <w:tcW w:w="2035" w:type="dxa"/>
                <w:tcMar>
                  <w:top w:w="28" w:type="dxa"/>
                  <w:left w:w="28" w:type="dxa"/>
                </w:tcMar>
              </w:tcPr>
              <w:p>
                <w:pPr>
                  <w:jc w:val="center"/>
                  <w:rPr>
                    <w:szCs w:val="24"/>
                    <w:lang w:val="en-US"/>
                  </w:rPr>
                </w:pPr>
                <w:r>
                  <w:rPr>
                    <w:szCs w:val="24"/>
                    <w:lang w:val="en-US"/>
                  </w:rPr>
                  <w:sym w:font="Wingdings" w:char="F078"/>
                </w:r>
              </w:p>
            </w:tc>
          </w:tr>
        </w:tbl>
        <w:p>
          <w:pPr>
            <w:rPr>
              <w:szCs w:val="24"/>
              <w:lang w:val="en-US"/>
            </w:rPr>
          </w:pPr>
          <w:r>
            <w:rPr>
              <w:szCs w:val="24"/>
              <w:lang w:val="en-US"/>
            </w:rPr>
            <w:t>__________________________________</w:t>
          </w:r>
        </w:p>
        <w:p>
          <w:pPr>
            <w:rPr>
              <w:sz w:val="20"/>
              <w:lang w:val="en-US"/>
            </w:rPr>
          </w:pPr>
          <w:r>
            <w:rPr>
              <w:sz w:val="20"/>
              <w:vertAlign w:val="superscript"/>
              <w:lang w:val="en-US"/>
            </w:rPr>
            <w:t>1</w:t>
          </w:r>
          <w:r>
            <w:rPr>
              <w:sz w:val="20"/>
              <w:lang w:val="en-US"/>
            </w:rPr>
            <w:t xml:space="preserve"> žymėjimas: </w:t>
            <w:sym w:font="Wingdings" w:char="F078"/>
            <w:t xml:space="preserve"> – galimas parengtumo lygis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fa240441e11e6bd3bfefc575ccac4">
            <w:r w:rsidRPr="00532B9F">
              <w:rPr>
                <w:rFonts w:ascii="Times New Roman" w:eastAsia="MS Mincho" w:hAnsi="Times New Roman"/>
                <w:sz w:val="20"/>
                <w:i/>
                <w:iCs/>
                <w:color w:val="0000FF" w:themeColor="hyperlink"/>
                <w:u w:val="single"/>
              </w:rPr>
              <w:t>V-274</w:t>
            </w:r>
          </w:fldSimple>
          <w:r>
            <w:rPr>
              <w:rFonts w:ascii="Times New Roman" w:eastAsia="MS Mincho" w:hAnsi="Times New Roman"/>
              <w:sz w:val="20"/>
              <w:i/>
              <w:iCs/>
            </w:rPr>
            <w:t>,
2014-12-03,
paskelbta TAR 2016-07-07, i. k. 2016-19347            </w:t>
          </w:r>
        </w:p>
        <w:p/>
      </w:sdtContent>
    </w:sdt>
    <w:sdt>
      <w:sdtPr>
        <w:alias w:val=""/>
        <w:tag w:val="part_84c4a0f779a645cfb786830d93dd729b"/>
        <w:lock w:val="sdtLocked"/>
        <w:richText/>
      </w:sdtPr>
      <w:sdtContent>
        <w:p>
          <w:pPr>
            <w:rPr>
              <w:szCs w:val="24"/>
              <w:lang w:val="en-US"/>
            </w:rPr>
          </w:pPr>
          <w:r>
            <w:rPr>
              <w:szCs w:val="24"/>
              <w:lang w:val="en-US"/>
            </w:rPr>
            <w:br w:type="page"/>
          </w:r>
        </w:p>
        <w:p>
          <w:pPr>
            <w:spacing w:line="276" w:lineRule="auto"/>
            <w:ind w:left="9072"/>
            <w:rPr>
              <w:szCs w:val="24"/>
              <w:lang w:val="en-US"/>
            </w:rPr>
          </w:pPr>
          <w:r>
            <w:rPr>
              <w:szCs w:val="24"/>
              <w:lang w:val="en-US"/>
            </w:rPr>
            <w:t>PATVIRTINTA</w:t>
          </w:r>
        </w:p>
        <w:p>
          <w:pPr>
            <w:spacing w:line="276" w:lineRule="auto"/>
            <w:ind w:left="9072"/>
            <w:rPr>
              <w:szCs w:val="24"/>
              <w:lang w:val="en-US"/>
            </w:rPr>
          </w:pPr>
          <w:r>
            <w:rPr>
              <w:szCs w:val="24"/>
              <w:lang w:val="en-US"/>
            </w:rPr>
            <w:t>Lietuvos mokslo tarybos pirmininko</w:t>
          </w:r>
        </w:p>
        <w:p>
          <w:pPr>
            <w:spacing w:line="276" w:lineRule="auto"/>
            <w:ind w:left="9072"/>
            <w:rPr>
              <w:szCs w:val="24"/>
              <w:lang w:val="en-US"/>
            </w:rPr>
          </w:pPr>
          <w:r>
            <w:rPr>
              <w:szCs w:val="24"/>
              <w:lang w:val="en-US"/>
            </w:rPr>
            <w:t>2014 m. spalio 31 d. įsakymu Nr. V-217</w:t>
          </w:r>
        </w:p>
        <w:p>
          <w:pPr>
            <w:spacing w:line="276" w:lineRule="auto"/>
            <w:ind w:left="9072"/>
            <w:rPr>
              <w:szCs w:val="24"/>
              <w:lang w:val="en-US"/>
            </w:rPr>
          </w:pPr>
        </w:p>
        <w:p>
          <w:pPr>
            <w:spacing w:line="276" w:lineRule="auto"/>
            <w:jc w:val="center"/>
            <w:rPr>
              <w:b/>
              <w:szCs w:val="24"/>
              <w:lang w:val="en-US"/>
            </w:rPr>
          </w:pPr>
          <w:r>
            <w:rPr>
              <w:b/>
              <w:szCs w:val="24"/>
              <w:lang w:val="en-US"/>
            </w:rPr>
            <w:t>PAVYZDINIS FIZINIŲ, BIOMEDICINOS, TECHNOLOGIJOS IR ŽEMĖS ŪKIO MOKSLO SRIČIŲ MOKSLO IR SKLAIDOS PROJEKTŲ GALIMOS MOKSLINĖS IR (AR) TECHNOLOGINĖS PRODUKCIJOS SĄRAŠAS</w:t>
          </w:r>
        </w:p>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8"/>
            <w:gridCol w:w="5100"/>
            <w:gridCol w:w="993"/>
            <w:gridCol w:w="960"/>
            <w:gridCol w:w="961"/>
            <w:gridCol w:w="961"/>
            <w:gridCol w:w="960"/>
            <w:gridCol w:w="961"/>
            <w:gridCol w:w="961"/>
            <w:gridCol w:w="960"/>
            <w:gridCol w:w="961"/>
            <w:gridCol w:w="961"/>
          </w:tblGrid>
          <w:tr>
            <w:tc>
              <w:tcPr>
                <w:tcW w:w="678" w:type="dxa"/>
                <w:vMerge w:val="restart"/>
              </w:tcPr>
              <w:p>
                <w:pPr>
                  <w:spacing w:line="276" w:lineRule="auto"/>
                  <w:jc w:val="center"/>
                  <w:rPr>
                    <w:szCs w:val="24"/>
                    <w:lang w:val="en-US"/>
                  </w:rPr>
                </w:pPr>
                <w:r>
                  <w:rPr>
                    <w:szCs w:val="24"/>
                    <w:lang w:val="en-US"/>
                  </w:rPr>
                  <w:t>Eil. Nr.</w:t>
                </w:r>
              </w:p>
            </w:tc>
            <w:tc>
              <w:tcPr>
                <w:tcW w:w="5100" w:type="dxa"/>
                <w:vMerge w:val="restart"/>
              </w:tcPr>
              <w:p>
                <w:pPr>
                  <w:spacing w:line="276" w:lineRule="auto"/>
                  <w:rPr>
                    <w:szCs w:val="24"/>
                    <w:lang w:val="en-US"/>
                  </w:rPr>
                </w:pPr>
                <w:r>
                  <w:rPr>
                    <w:szCs w:val="24"/>
                    <w:lang w:val="en-US"/>
                  </w:rPr>
                  <w:t>Produkcijos rūšis</w:t>
                </w:r>
              </w:p>
            </w:tc>
            <w:tc>
              <w:tcPr>
                <w:tcW w:w="993" w:type="dxa"/>
                <w:vMerge w:val="restart"/>
              </w:tcPr>
              <w:p>
                <w:pPr>
                  <w:spacing w:line="276" w:lineRule="auto"/>
                  <w:rPr>
                    <w:szCs w:val="24"/>
                    <w:lang w:val="en-US"/>
                  </w:rPr>
                </w:pPr>
                <w:r>
                  <w:rPr>
                    <w:szCs w:val="24"/>
                    <w:lang w:val="en-US"/>
                  </w:rPr>
                  <w:t>Atas-kaitos tipas (tarpinė – T, baigia-moji – B)</w:t>
                </w:r>
              </w:p>
            </w:tc>
            <w:tc>
              <w:tcPr>
                <w:tcW w:w="8646" w:type="dxa"/>
                <w:gridSpan w:val="9"/>
              </w:tcPr>
              <w:p>
                <w:pPr>
                  <w:spacing w:line="276" w:lineRule="auto"/>
                  <w:jc w:val="center"/>
                  <w:rPr>
                    <w:szCs w:val="24"/>
                    <w:lang w:val="en-US"/>
                  </w:rPr>
                </w:pPr>
                <w:r>
                  <w:rPr>
                    <w:szCs w:val="24"/>
                    <w:lang w:val="en-US"/>
                  </w:rPr>
                  <w:t>Produkcijos parengtumas</w:t>
                </w:r>
                <w:r>
                  <w:rPr>
                    <w:szCs w:val="24"/>
                    <w:vertAlign w:val="superscript"/>
                    <w:lang w:val="en-US"/>
                  </w:rPr>
                  <w:t>1</w:t>
                </w:r>
              </w:p>
            </w:tc>
          </w:tr>
          <w:tr>
            <w:tc>
              <w:tcPr>
                <w:tcW w:w="678" w:type="dxa"/>
                <w:vMerge/>
              </w:tcPr>
              <w:p>
                <w:pPr>
                  <w:spacing w:line="276" w:lineRule="auto"/>
                  <w:jc w:val="center"/>
                  <w:rPr>
                    <w:szCs w:val="24"/>
                    <w:lang w:val="en-US"/>
                  </w:rPr>
                </w:pPr>
              </w:p>
            </w:tc>
            <w:tc>
              <w:tcPr>
                <w:tcW w:w="5100" w:type="dxa"/>
                <w:vMerge/>
              </w:tcPr>
              <w:p/>
            </w:tc>
            <w:tc>
              <w:tcPr>
                <w:tcW w:w="993" w:type="dxa"/>
                <w:vMerge/>
              </w:tcPr>
              <w:p>
                <w:pPr>
                  <w:spacing w:line="276" w:lineRule="auto"/>
                  <w:rPr>
                    <w:szCs w:val="24"/>
                    <w:lang w:val="en-US"/>
                  </w:rPr>
                </w:pPr>
              </w:p>
            </w:tc>
            <w:tc>
              <w:tcPr>
                <w:tcW w:w="960" w:type="dxa"/>
                <w:tcMar>
                  <w:left w:w="28" w:type="dxa"/>
                  <w:right w:w="28" w:type="dxa"/>
                </w:tcMar>
              </w:tcPr>
              <w:p>
                <w:pPr>
                  <w:spacing w:line="276" w:lineRule="auto"/>
                  <w:rPr>
                    <w:szCs w:val="24"/>
                    <w:lang w:val="en-US"/>
                  </w:rPr>
                </w:pPr>
                <w:r>
                  <w:rPr>
                    <w:szCs w:val="24"/>
                    <w:lang w:val="en-US"/>
                  </w:rPr>
                  <w:t>parengtas</w:t>
                </w:r>
              </w:p>
            </w:tc>
            <w:tc>
              <w:tcPr>
                <w:tcW w:w="961" w:type="dxa"/>
                <w:tcMar>
                  <w:left w:w="28" w:type="dxa"/>
                  <w:right w:w="28" w:type="dxa"/>
                </w:tcMar>
              </w:tcPr>
              <w:p>
                <w:pPr>
                  <w:spacing w:line="276" w:lineRule="auto"/>
                  <w:jc w:val="center"/>
                  <w:rPr>
                    <w:color w:val="000000"/>
                    <w:szCs w:val="24"/>
                    <w:lang w:val="en-US"/>
                  </w:rPr>
                </w:pPr>
                <w:r>
                  <w:rPr>
                    <w:color w:val="000000"/>
                    <w:szCs w:val="24"/>
                    <w:lang w:val="en-US"/>
                  </w:rPr>
                  <w:t>įteiktas leidyklai (redak-cijai) su įrodan-čiais doku-mentais</w:t>
                </w:r>
              </w:p>
            </w:tc>
            <w:tc>
              <w:tcPr>
                <w:tcW w:w="961" w:type="dxa"/>
                <w:tcMar>
                  <w:left w:w="28" w:type="dxa"/>
                  <w:right w:w="28" w:type="dxa"/>
                </w:tcMar>
              </w:tcPr>
              <w:p>
                <w:pPr>
                  <w:spacing w:line="276" w:lineRule="auto"/>
                  <w:rPr>
                    <w:szCs w:val="24"/>
                    <w:lang w:val="en-US"/>
                  </w:rPr>
                </w:pPr>
                <w:r>
                  <w:rPr>
                    <w:szCs w:val="24"/>
                    <w:lang w:val="en-US"/>
                  </w:rPr>
                  <w:t>priimtas spausdinti su įrodan-čiais doku-mentais</w:t>
                </w:r>
              </w:p>
            </w:tc>
            <w:tc>
              <w:tcPr>
                <w:tcW w:w="960" w:type="dxa"/>
                <w:tcMar>
                  <w:left w:w="28" w:type="dxa"/>
                  <w:right w:w="28" w:type="dxa"/>
                </w:tcMar>
              </w:tcPr>
              <w:p>
                <w:pPr>
                  <w:spacing w:line="276" w:lineRule="auto"/>
                  <w:rPr>
                    <w:szCs w:val="24"/>
                    <w:lang w:val="en-US"/>
                  </w:rPr>
                </w:pPr>
                <w:r>
                  <w:rPr>
                    <w:szCs w:val="24"/>
                    <w:lang w:val="en-US"/>
                  </w:rPr>
                  <w:t xml:space="preserve">išleistas (pas-kelbtas) </w:t>
                </w:r>
              </w:p>
            </w:tc>
            <w:tc>
              <w:tcPr>
                <w:tcW w:w="961" w:type="dxa"/>
                <w:tcMar>
                  <w:left w:w="28" w:type="dxa"/>
                  <w:right w:w="28" w:type="dxa"/>
                </w:tcMar>
              </w:tcPr>
              <w:p>
                <w:pPr>
                  <w:spacing w:line="276" w:lineRule="auto"/>
                  <w:rPr>
                    <w:szCs w:val="24"/>
                    <w:lang w:val="en-US"/>
                  </w:rPr>
                </w:pPr>
                <w:r>
                  <w:rPr>
                    <w:szCs w:val="24"/>
                    <w:lang w:val="en-US"/>
                  </w:rPr>
                  <w:t>registruota paraiška</w:t>
                </w:r>
              </w:p>
            </w:tc>
            <w:tc>
              <w:tcPr>
                <w:tcW w:w="961" w:type="dxa"/>
                <w:tcMar>
                  <w:left w:w="28" w:type="dxa"/>
                  <w:right w:w="28" w:type="dxa"/>
                </w:tcMar>
              </w:tcPr>
              <w:p>
                <w:pPr>
                  <w:spacing w:line="276" w:lineRule="auto"/>
                  <w:rPr>
                    <w:szCs w:val="24"/>
                    <w:lang w:val="en-US"/>
                  </w:rPr>
                </w:pPr>
                <w:r>
                  <w:rPr>
                    <w:szCs w:val="24"/>
                    <w:lang w:val="en-US"/>
                  </w:rPr>
                  <w:t>gautas patentas</w:t>
                </w:r>
              </w:p>
            </w:tc>
            <w:tc>
              <w:tcPr>
                <w:tcW w:w="960" w:type="dxa"/>
                <w:tcMar>
                  <w:left w:w="28" w:type="dxa"/>
                  <w:right w:w="28" w:type="dxa"/>
                </w:tcMar>
              </w:tcPr>
              <w:p>
                <w:pPr>
                  <w:spacing w:line="276" w:lineRule="auto"/>
                  <w:rPr>
                    <w:szCs w:val="24"/>
                    <w:lang w:val="en-US"/>
                  </w:rPr>
                </w:pPr>
                <w:r>
                  <w:rPr>
                    <w:szCs w:val="24"/>
                    <w:lang w:val="en-US"/>
                  </w:rPr>
                  <w:t>parduota licencija</w:t>
                </w:r>
              </w:p>
            </w:tc>
            <w:tc>
              <w:tcPr>
                <w:tcW w:w="961" w:type="dxa"/>
                <w:tcMar>
                  <w:left w:w="28" w:type="dxa"/>
                  <w:right w:w="28" w:type="dxa"/>
                </w:tcMar>
              </w:tcPr>
              <w:p>
                <w:pPr>
                  <w:spacing w:line="276" w:lineRule="auto"/>
                  <w:rPr>
                    <w:szCs w:val="24"/>
                    <w:lang w:val="en-US"/>
                  </w:rPr>
                </w:pPr>
                <w:r>
                  <w:rPr>
                    <w:szCs w:val="24"/>
                    <w:lang w:val="en-US"/>
                  </w:rPr>
                  <w:t>sukurtas (atliktas)</w:t>
                </w:r>
              </w:p>
            </w:tc>
            <w:tc>
              <w:tcPr>
                <w:tcW w:w="961" w:type="dxa"/>
                <w:tcMar>
                  <w:left w:w="28" w:type="dxa"/>
                  <w:right w:w="28" w:type="dxa"/>
                </w:tcMar>
              </w:tcPr>
              <w:p>
                <w:pPr>
                  <w:spacing w:line="276" w:lineRule="auto"/>
                  <w:rPr>
                    <w:szCs w:val="24"/>
                    <w:lang w:val="en-US"/>
                  </w:rPr>
                </w:pPr>
                <w:r>
                  <w:rPr>
                    <w:szCs w:val="24"/>
                    <w:lang w:val="en-US"/>
                  </w:rPr>
                  <w:t>registruota</w:t>
                </w:r>
              </w:p>
            </w:tc>
          </w:tr>
          <w:tr>
            <w:trPr>
              <w:trHeight w:val="342"/>
            </w:trPr>
            <w:tc>
              <w:tcPr>
                <w:tcW w:w="678" w:type="dxa"/>
                <w:vMerge w:val="restart"/>
              </w:tcPr>
              <w:p>
                <w:pPr>
                  <w:spacing w:line="276" w:lineRule="auto"/>
                  <w:jc w:val="center"/>
                  <w:rPr>
                    <w:szCs w:val="24"/>
                    <w:lang w:val="en-US"/>
                  </w:rPr>
                </w:pPr>
                <w:r>
                  <w:rPr>
                    <w:szCs w:val="24"/>
                    <w:lang w:val="en-US"/>
                  </w:rPr>
                  <w:t>1.</w:t>
                </w:r>
              </w:p>
            </w:tc>
            <w:tc>
              <w:tcPr>
                <w:tcW w:w="5100" w:type="dxa"/>
                <w:vMerge w:val="restart"/>
              </w:tcPr>
              <w:p>
                <w:pPr>
                  <w:spacing w:line="276" w:lineRule="auto"/>
                  <w:rPr>
                    <w:szCs w:val="24"/>
                    <w:lang w:val="en-US"/>
                  </w:rPr>
                </w:pPr>
                <w:r>
                  <w:rPr>
                    <w:szCs w:val="24"/>
                    <w:lang w:val="en-US"/>
                  </w:rPr>
                  <w:t>Tarptautiniu mastu pripažintų mokslo leidyklų išleista monografija, knyga ar jų skyriai</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342"/>
            </w:trPr>
            <w:tc>
              <w:tcPr>
                <w:tcW w:w="678" w:type="dxa"/>
                <w:vMerge/>
              </w:tcPr>
              <w:p>
                <w:pPr>
                  <w:spacing w:line="276" w:lineRule="auto"/>
                  <w:jc w:val="center"/>
                  <w:rPr>
                    <w:szCs w:val="24"/>
                    <w:lang w:val="en-US"/>
                  </w:rPr>
                </w:pPr>
              </w:p>
            </w:tc>
            <w:tc>
              <w:tcPr>
                <w:tcW w:w="5100" w:type="dxa"/>
                <w:vMerge/>
              </w:tc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608"/>
            </w:trPr>
            <w:tc>
              <w:tcPr>
                <w:tcW w:w="678" w:type="dxa"/>
                <w:vMerge w:val="restart"/>
              </w:tcPr>
              <w:p>
                <w:pPr>
                  <w:spacing w:line="276" w:lineRule="auto"/>
                  <w:jc w:val="center"/>
                  <w:rPr>
                    <w:szCs w:val="24"/>
                    <w:lang w:val="en-US"/>
                  </w:rPr>
                </w:pPr>
                <w:r>
                  <w:rPr>
                    <w:szCs w:val="24"/>
                    <w:lang w:val="en-US"/>
                  </w:rPr>
                  <w:t>2.</w:t>
                </w:r>
              </w:p>
            </w:tc>
            <w:tc>
              <w:tcPr>
                <w:tcW w:w="5100" w:type="dxa"/>
                <w:vMerge w:val="restart"/>
              </w:tcPr>
              <w:p>
                <w:pPr>
                  <w:spacing w:line="276" w:lineRule="auto"/>
                  <w:rPr>
                    <w:szCs w:val="24"/>
                    <w:lang w:val="en-US"/>
                  </w:rPr>
                </w:pPr>
                <w:r>
                  <w:rPr>
                    <w:szCs w:val="24"/>
                    <w:lang w:val="en-US"/>
                  </w:rPr>
                  <w:t>Mokslo straipsnis Lietuvoje leidžiamuose periodiniuose mokslo leidiniuose, turinčiuose cituojamumo rodiklį (</w:t>
                </w:r>
                <w:r>
                  <w:rPr>
                    <w:i/>
                    <w:szCs w:val="24"/>
                    <w:lang w:val="en-US"/>
                  </w:rPr>
                  <w:t>Impact Factor</w:t>
                </w:r>
                <w:r>
                  <w:rPr>
                    <w:szCs w:val="24"/>
                    <w:lang w:val="en-US"/>
                  </w:rPr>
                  <w:t xml:space="preserve">) </w:t>
                </w:r>
                <w:r>
                  <w:rPr>
                    <w:i/>
                    <w:szCs w:val="24"/>
                    <w:lang w:val="en-US"/>
                  </w:rPr>
                  <w:t>Thomson Reuters Web of Knowledge</w:t>
                </w:r>
                <w:r>
                  <w:rPr>
                    <w:szCs w:val="24"/>
                    <w:lang w:val="en-US"/>
                  </w:rPr>
                  <w:t xml:space="preserve"> duomenų bazėje</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608"/>
            </w:trPr>
            <w:tc>
              <w:tcPr>
                <w:tcW w:w="678" w:type="dxa"/>
                <w:vMerge/>
              </w:tcPr>
              <w:p>
                <w:pPr>
                  <w:spacing w:line="276" w:lineRule="auto"/>
                  <w:jc w:val="center"/>
                  <w:rPr>
                    <w:szCs w:val="24"/>
                    <w:lang w:val="en-US"/>
                  </w:rPr>
                </w:pPr>
              </w:p>
            </w:tc>
            <w:tc>
              <w:tcPr>
                <w:tcW w:w="5100" w:type="dxa"/>
                <w:vMerge/>
              </w:tc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0" w:type="dxa"/>
                <w:tcMar>
                  <w:left w:w="28" w:type="dxa"/>
                  <w:right w:w="28" w:type="dxa"/>
                </w:tcMar>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553"/>
            </w:trPr>
            <w:tc>
              <w:tcPr>
                <w:tcW w:w="678" w:type="dxa"/>
                <w:vMerge w:val="restart"/>
              </w:tcPr>
              <w:p>
                <w:pPr>
                  <w:spacing w:line="276" w:lineRule="auto"/>
                  <w:jc w:val="center"/>
                  <w:rPr>
                    <w:szCs w:val="24"/>
                    <w:lang w:val="en-US"/>
                  </w:rPr>
                </w:pPr>
                <w:r>
                  <w:rPr>
                    <w:szCs w:val="24"/>
                    <w:lang w:val="en-US"/>
                  </w:rPr>
                  <w:t>3.</w:t>
                </w:r>
              </w:p>
            </w:tc>
            <w:tc>
              <w:tcPr>
                <w:tcW w:w="5100" w:type="dxa"/>
                <w:vMerge w:val="restart"/>
              </w:tcPr>
              <w:p>
                <w:pPr>
                  <w:spacing w:line="276" w:lineRule="auto"/>
                  <w:rPr>
                    <w:szCs w:val="24"/>
                    <w:lang w:val="en-US"/>
                  </w:rPr>
                </w:pPr>
                <w:r>
                  <w:rPr>
                    <w:szCs w:val="24"/>
                    <w:lang w:val="en-US"/>
                  </w:rPr>
                  <w:t>Mokslo straipsnis užsienyje leidžiamuose periodiniuose mokslo leidiniuose, turinčiuose cituojamumo rodiklį (</w:t>
                </w:r>
                <w:r>
                  <w:rPr>
                    <w:i/>
                    <w:szCs w:val="24"/>
                    <w:lang w:val="en-US"/>
                  </w:rPr>
                  <w:t>Impact Factor</w:t>
                </w:r>
                <w:r>
                  <w:rPr>
                    <w:szCs w:val="24"/>
                    <w:lang w:val="en-US"/>
                  </w:rPr>
                  <w:t xml:space="preserve">) </w:t>
                </w:r>
                <w:r>
                  <w:rPr>
                    <w:i/>
                    <w:szCs w:val="24"/>
                    <w:lang w:val="en-US"/>
                  </w:rPr>
                  <w:t>Thomson Reuters Web of Knowledge</w:t>
                </w:r>
                <w:r>
                  <w:rPr>
                    <w:szCs w:val="24"/>
                    <w:lang w:val="en-US"/>
                  </w:rPr>
                  <w:t xml:space="preserve"> duomenų bazėje</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553"/>
            </w:trPr>
            <w:tc>
              <w:tcPr>
                <w:tcW w:w="678" w:type="dxa"/>
                <w:vMerge/>
              </w:tcPr>
              <w:p>
                <w:pPr>
                  <w:spacing w:line="276" w:lineRule="auto"/>
                  <w:jc w:val="center"/>
                  <w:rPr>
                    <w:szCs w:val="24"/>
                    <w:lang w:val="en-US"/>
                  </w:rPr>
                </w:pPr>
              </w:p>
            </w:tc>
            <w:tc>
              <w:tcPr>
                <w:tcW w:w="5100" w:type="dxa"/>
                <w:vMerge/>
              </w:tc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0" w:type="dxa"/>
                <w:tcMar>
                  <w:left w:w="28" w:type="dxa"/>
                  <w:right w:w="28" w:type="dxa"/>
                </w:tcMar>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c>
              <w:tcPr>
                <w:tcW w:w="678" w:type="dxa"/>
                <w:vMerge w:val="restart"/>
              </w:tcPr>
              <w:p>
                <w:pPr>
                  <w:spacing w:line="276" w:lineRule="auto"/>
                  <w:jc w:val="center"/>
                  <w:rPr>
                    <w:szCs w:val="24"/>
                    <w:lang w:val="en-US"/>
                  </w:rPr>
                </w:pPr>
                <w:r>
                  <w:rPr>
                    <w:szCs w:val="24"/>
                    <w:lang w:val="en-US"/>
                  </w:rPr>
                  <w:t>4.</w:t>
                </w:r>
              </w:p>
            </w:tc>
            <w:tc>
              <w:tcPr>
                <w:tcW w:w="5100" w:type="dxa"/>
                <w:vMerge w:val="restart"/>
              </w:tcPr>
              <w:p>
                <w:pPr>
                  <w:spacing w:line="276" w:lineRule="auto"/>
                  <w:rPr>
                    <w:szCs w:val="24"/>
                    <w:lang w:val="en-US"/>
                  </w:rPr>
                </w:pPr>
                <w:r>
                  <w:rPr>
                    <w:szCs w:val="24"/>
                    <w:lang w:val="en-US"/>
                  </w:rPr>
                  <w:t>Straipsnis recenzuojamuose tarptautinių konferencijų darbuose, turintis visas mokslinio straipsnio sudėtines dalis</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vAlign w:val="cente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c>
              <w:tcPr>
                <w:tcW w:w="678" w:type="dxa"/>
                <w:vMerge/>
              </w:tcPr>
              <w:p>
                <w:pPr>
                  <w:spacing w:line="276" w:lineRule="auto"/>
                  <w:jc w:val="center"/>
                  <w:rPr>
                    <w:szCs w:val="24"/>
                    <w:lang w:val="en-US"/>
                  </w:rPr>
                </w:pPr>
              </w:p>
            </w:tc>
            <w:tc>
              <w:tcPr>
                <w:tcW w:w="5100" w:type="dxa"/>
                <w:vMerge/>
              </w:tc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vAlign w:val="center"/>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559"/>
            </w:trPr>
            <w:tc>
              <w:tcPr>
                <w:tcW w:w="678" w:type="dxa"/>
                <w:vMerge w:val="restart"/>
              </w:tcPr>
              <w:p>
                <w:pPr>
                  <w:spacing w:line="276" w:lineRule="auto"/>
                  <w:jc w:val="center"/>
                  <w:rPr>
                    <w:szCs w:val="24"/>
                    <w:lang w:val="en-US"/>
                  </w:rPr>
                </w:pPr>
                <w:r>
                  <w:rPr>
                    <w:szCs w:val="24"/>
                    <w:lang w:val="en-US"/>
                  </w:rPr>
                  <w:t>5.</w:t>
                </w:r>
              </w:p>
            </w:tc>
            <w:tc>
              <w:tcPr>
                <w:tcW w:w="5100" w:type="dxa"/>
                <w:vMerge w:val="restart"/>
              </w:tcPr>
              <w:p>
                <w:pPr>
                  <w:spacing w:line="276" w:lineRule="auto"/>
                  <w:rPr>
                    <w:szCs w:val="24"/>
                    <w:lang w:val="en-US"/>
                  </w:rPr>
                </w:pPr>
                <w:r>
                  <w:rPr>
                    <w:szCs w:val="24"/>
                    <w:lang w:val="en-US"/>
                  </w:rPr>
                  <w:t>Europos patentų biure (</w:t>
                </w:r>
                <w:r>
                  <w:rPr>
                    <w:i/>
                    <w:szCs w:val="24"/>
                    <w:lang w:val="en-US"/>
                  </w:rPr>
                  <w:t>EPO</w:t>
                </w:r>
                <w:r>
                  <w:rPr>
                    <w:szCs w:val="24"/>
                    <w:lang w:val="en-US"/>
                  </w:rPr>
                  <w:t>), JAV patentų ir prekių ženklų biure (</w:t>
                </w:r>
                <w:r>
                  <w:rPr>
                    <w:i/>
                    <w:szCs w:val="24"/>
                    <w:lang w:val="en-US"/>
                  </w:rPr>
                  <w:t>USPTO</w:t>
                </w:r>
                <w:r>
                  <w:rPr>
                    <w:szCs w:val="24"/>
                    <w:lang w:val="en-US"/>
                  </w:rPr>
                  <w:t>) ar Japonijos patentų biure (</w:t>
                </w:r>
                <w:r>
                  <w:rPr>
                    <w:i/>
                    <w:szCs w:val="24"/>
                    <w:lang w:val="en-US"/>
                  </w:rPr>
                  <w:t>JPO</w:t>
                </w:r>
                <w:r>
                  <w:rPr>
                    <w:szCs w:val="24"/>
                    <w:lang w:val="en-US"/>
                  </w:rPr>
                  <w:t>) išduotas patentas, kurių savininkai yra Lietuvos fiziniai ar juridiniai asmenys</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559"/>
            </w:trPr>
            <w:tc>
              <w:tcPr>
                <w:tcW w:w="678" w:type="dxa"/>
                <w:vMerge/>
              </w:tcPr>
              <w:p>
                <w:pPr>
                  <w:spacing w:line="276" w:lineRule="auto"/>
                  <w:jc w:val="center"/>
                  <w:rPr>
                    <w:szCs w:val="24"/>
                    <w:lang w:val="en-US"/>
                  </w:rPr>
                </w:pPr>
              </w:p>
            </w:tc>
            <w:tc>
              <w:tcPr>
                <w:tcW w:w="5100" w:type="dxa"/>
                <w:vMerge/>
              </w:tc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color w:val="000000"/>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348"/>
            </w:trPr>
            <w:tc>
              <w:tcPr>
                <w:tcW w:w="678" w:type="dxa"/>
                <w:vMerge w:val="restart"/>
              </w:tcPr>
              <w:p>
                <w:pPr>
                  <w:spacing w:line="276" w:lineRule="auto"/>
                  <w:jc w:val="center"/>
                  <w:rPr>
                    <w:szCs w:val="24"/>
                    <w:lang w:val="en-US"/>
                  </w:rPr>
                </w:pPr>
                <w:r>
                  <w:rPr>
                    <w:szCs w:val="24"/>
                    <w:lang w:val="en-US"/>
                  </w:rPr>
                  <w:t>6.</w:t>
                </w:r>
              </w:p>
            </w:tc>
            <w:tc>
              <w:tcPr>
                <w:tcW w:w="5100" w:type="dxa"/>
                <w:vMerge w:val="restart"/>
              </w:tcPr>
              <w:p>
                <w:pPr>
                  <w:spacing w:line="276" w:lineRule="auto"/>
                  <w:rPr>
                    <w:szCs w:val="24"/>
                    <w:lang w:val="en-US"/>
                  </w:rPr>
                </w:pPr>
                <w:r>
                  <w:rPr>
                    <w:szCs w:val="24"/>
                    <w:lang w:val="en-US"/>
                  </w:rPr>
                  <w:t>Patentas Lietuvoje, taip pat patentinė paraiška, turintis (-ti) registracijos pažymą</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348"/>
            </w:trPr>
            <w:tc>
              <w:tcPr>
                <w:tcW w:w="678" w:type="dxa"/>
                <w:vMerge/>
              </w:tcPr>
              <w:p>
                <w:pPr>
                  <w:spacing w:line="276" w:lineRule="auto"/>
                  <w:jc w:val="center"/>
                  <w:rPr>
                    <w:szCs w:val="24"/>
                    <w:lang w:val="en-US"/>
                  </w:rPr>
                </w:pPr>
              </w:p>
            </w:tc>
            <w:tc>
              <w:tcPr>
                <w:tcW w:w="5100" w:type="dxa"/>
                <w:vMerge/>
              </w:tc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418"/>
            </w:trPr>
            <w:tc>
              <w:tcPr>
                <w:tcW w:w="678" w:type="dxa"/>
                <w:vMerge w:val="restart"/>
              </w:tcPr>
              <w:p>
                <w:pPr>
                  <w:spacing w:line="276" w:lineRule="auto"/>
                  <w:jc w:val="center"/>
                  <w:rPr>
                    <w:szCs w:val="24"/>
                    <w:lang w:val="en-US"/>
                  </w:rPr>
                </w:pPr>
                <w:r>
                  <w:rPr>
                    <w:szCs w:val="24"/>
                    <w:lang w:val="en-US"/>
                  </w:rPr>
                  <w:t>7.</w:t>
                </w:r>
              </w:p>
            </w:tc>
            <w:tc>
              <w:tcPr>
                <w:tcW w:w="5100" w:type="dxa"/>
                <w:vMerge w:val="restart"/>
              </w:tcPr>
              <w:p>
                <w:pPr>
                  <w:spacing w:line="276" w:lineRule="auto"/>
                  <w:rPr>
                    <w:szCs w:val="24"/>
                    <w:lang w:val="en-US"/>
                  </w:rPr>
                </w:pPr>
                <w:r>
                  <w:rPr>
                    <w:szCs w:val="24"/>
                    <w:lang w:val="en-US"/>
                  </w:rPr>
                  <w:t xml:space="preserve">Europos specializuotuose centruose įvertinta augalų veislė (pateikiami </w:t>
                </w:r>
                <w:r>
                  <w:rPr>
                    <w:i/>
                    <w:szCs w:val="24"/>
                    <w:lang w:val="en-US"/>
                  </w:rPr>
                  <w:t>Reports on Technical Examination of the DUS Testing</w:t>
                </w:r>
                <w:r>
                  <w:rPr>
                    <w:szCs w:val="24"/>
                    <w:lang w:val="en-US"/>
                  </w:rPr>
                  <w:t>)</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r>
          <w:tr>
            <w:trPr>
              <w:trHeight w:val="418"/>
            </w:trPr>
            <w:tc>
              <w:tcPr>
                <w:tcW w:w="678" w:type="dxa"/>
                <w:vMerge/>
              </w:tcPr>
              <w:p>
                <w:pPr>
                  <w:spacing w:line="276" w:lineRule="auto"/>
                  <w:jc w:val="center"/>
                  <w:rPr>
                    <w:szCs w:val="24"/>
                    <w:lang w:val="en-US"/>
                  </w:rPr>
                </w:pPr>
              </w:p>
            </w:tc>
            <w:tc>
              <w:tcPr>
                <w:tcW w:w="5100" w:type="dxa"/>
                <w:vMerge/>
              </w:tcPr>
              <w:p>
                <w:pPr>
                  <w:spacing w:line="276" w:lineRule="auto"/>
                  <w:jc w:val="center"/>
                  <w:rPr>
                    <w:szCs w:val="24"/>
                    <w:lang w:val="en-US"/>
                  </w:rPr>
                </w:p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r>
          <w:tr>
            <w:trPr>
              <w:trHeight w:val="342"/>
            </w:trPr>
            <w:tc>
              <w:tcPr>
                <w:tcW w:w="678" w:type="dxa"/>
                <w:vMerge w:val="restart"/>
              </w:tcPr>
              <w:p>
                <w:pPr>
                  <w:spacing w:line="276" w:lineRule="auto"/>
                  <w:jc w:val="center"/>
                  <w:rPr>
                    <w:szCs w:val="24"/>
                    <w:lang w:val="en-US"/>
                  </w:rPr>
                </w:pPr>
                <w:r>
                  <w:rPr>
                    <w:szCs w:val="24"/>
                    <w:lang w:val="en-US"/>
                  </w:rPr>
                  <w:t>8.</w:t>
                </w:r>
              </w:p>
            </w:tc>
            <w:tc>
              <w:tcPr>
                <w:tcW w:w="5100" w:type="dxa"/>
                <w:vMerge w:val="restart"/>
              </w:tcPr>
              <w:p>
                <w:pPr>
                  <w:spacing w:line="276" w:lineRule="auto"/>
                  <w:rPr>
                    <w:szCs w:val="24"/>
                    <w:lang w:val="en-US"/>
                  </w:rPr>
                </w:pPr>
                <w:r>
                  <w:rPr>
                    <w:szCs w:val="24"/>
                    <w:lang w:val="en-US"/>
                  </w:rPr>
                  <w:t>Pagal tarptautiniu mastu pripažintą tvarką įregistruota gyvūnų veislė</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r>
          <w:tr>
            <w:trPr>
              <w:trHeight w:val="342"/>
            </w:trPr>
            <w:tc>
              <w:tcPr>
                <w:tcW w:w="678" w:type="dxa"/>
                <w:vMerge/>
              </w:tcPr>
              <w:p>
                <w:pPr>
                  <w:spacing w:line="276" w:lineRule="auto"/>
                  <w:jc w:val="center"/>
                  <w:rPr>
                    <w:szCs w:val="24"/>
                    <w:lang w:val="en-US"/>
                  </w:rPr>
                </w:pPr>
              </w:p>
            </w:tc>
            <w:tc>
              <w:tcPr>
                <w:tcW w:w="5100" w:type="dxa"/>
                <w:vMerge/>
              </w:tcPr>
              <w:p>
                <w:pPr>
                  <w:spacing w:line="276" w:lineRule="auto"/>
                  <w:jc w:val="center"/>
                  <w:rPr>
                    <w:szCs w:val="24"/>
                    <w:lang w:val="en-US"/>
                  </w:rPr>
                </w:p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r>
          <w:tr>
            <w:trPr>
              <w:trHeight w:val="342"/>
            </w:trPr>
            <w:tc>
              <w:tcPr>
                <w:tcW w:w="678" w:type="dxa"/>
                <w:vMerge w:val="restart"/>
              </w:tcPr>
              <w:p>
                <w:pPr>
                  <w:spacing w:line="276" w:lineRule="auto"/>
                  <w:jc w:val="center"/>
                  <w:rPr>
                    <w:szCs w:val="24"/>
                    <w:lang w:val="en-US"/>
                  </w:rPr>
                </w:pPr>
                <w:r>
                  <w:rPr>
                    <w:szCs w:val="24"/>
                    <w:lang w:val="en-US"/>
                  </w:rPr>
                  <w:t>9.</w:t>
                </w:r>
              </w:p>
            </w:tc>
            <w:tc>
              <w:tcPr>
                <w:tcW w:w="5100" w:type="dxa"/>
                <w:vMerge w:val="restart"/>
              </w:tcPr>
              <w:p>
                <w:pPr>
                  <w:spacing w:line="276" w:lineRule="auto"/>
                  <w:rPr>
                    <w:szCs w:val="24"/>
                    <w:lang w:val="en-US"/>
                  </w:rPr>
                </w:pPr>
                <w:r>
                  <w:rPr>
                    <w:szCs w:val="24"/>
                    <w:lang w:val="en-US"/>
                  </w:rPr>
                  <w:t>Nauja technologija, turinti įdiegimo aktą ar išbandytos gamyboje</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342"/>
            </w:trPr>
            <w:tc>
              <w:tcPr>
                <w:tcW w:w="678" w:type="dxa"/>
                <w:vMerge/>
              </w:tcPr>
              <w:p>
                <w:pPr>
                  <w:spacing w:line="276" w:lineRule="auto"/>
                  <w:jc w:val="center"/>
                  <w:rPr>
                    <w:szCs w:val="24"/>
                    <w:lang w:val="en-US"/>
                  </w:rPr>
                </w:pPr>
              </w:p>
            </w:tc>
            <w:tc>
              <w:tcPr>
                <w:tcW w:w="5100" w:type="dxa"/>
                <w:vMerge/>
              </w:tcPr>
              <w:p>
                <w:pPr>
                  <w:spacing w:line="276" w:lineRule="auto"/>
                  <w:jc w:val="center"/>
                  <w:rPr>
                    <w:szCs w:val="24"/>
                    <w:lang w:val="en-US"/>
                  </w:rPr>
                </w:p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342"/>
            </w:trPr>
            <w:tc>
              <w:tcPr>
                <w:tcW w:w="678" w:type="dxa"/>
                <w:vMerge w:val="restart"/>
              </w:tcPr>
              <w:p>
                <w:pPr>
                  <w:spacing w:line="276" w:lineRule="auto"/>
                  <w:jc w:val="center"/>
                  <w:rPr>
                    <w:szCs w:val="24"/>
                    <w:lang w:val="en-US"/>
                  </w:rPr>
                </w:pPr>
                <w:r>
                  <w:rPr>
                    <w:szCs w:val="24"/>
                    <w:lang w:val="en-US"/>
                  </w:rPr>
                  <w:t>10.</w:t>
                </w:r>
              </w:p>
            </w:tc>
            <w:tc>
              <w:tcPr>
                <w:tcW w:w="5100" w:type="dxa"/>
                <w:vMerge w:val="restart"/>
              </w:tcPr>
              <w:p>
                <w:pPr>
                  <w:spacing w:line="276" w:lineRule="auto"/>
                  <w:rPr>
                    <w:szCs w:val="24"/>
                    <w:lang w:val="en-US"/>
                  </w:rPr>
                </w:pPr>
                <w:r>
                  <w:rPr>
                    <w:szCs w:val="24"/>
                    <w:lang w:val="en-US"/>
                  </w:rPr>
                  <w:t>Naujas gaminys ar programinė įranga, patvirtinta pažyma apie jų naudojimą ar įdiegimą</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342"/>
            </w:trPr>
            <w:tc>
              <w:tcPr>
                <w:tcW w:w="678" w:type="dxa"/>
                <w:vMerge/>
              </w:tcPr>
              <w:p>
                <w:pPr>
                  <w:spacing w:line="276" w:lineRule="auto"/>
                  <w:jc w:val="center"/>
                  <w:rPr>
                    <w:szCs w:val="24"/>
                    <w:lang w:val="en-US"/>
                  </w:rPr>
                </w:pPr>
              </w:p>
            </w:tc>
            <w:tc>
              <w:tcPr>
                <w:tcW w:w="5100" w:type="dxa"/>
                <w:vMerge/>
              </w:tcPr>
              <w:p>
                <w:pPr>
                  <w:spacing w:line="276" w:lineRule="auto"/>
                  <w:jc w:val="center"/>
                  <w:rPr>
                    <w:szCs w:val="24"/>
                    <w:lang w:val="en-US"/>
                  </w:rPr>
                </w:p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342"/>
            </w:trPr>
            <w:tc>
              <w:tcPr>
                <w:tcW w:w="678" w:type="dxa"/>
                <w:vMerge w:val="restart"/>
              </w:tcPr>
              <w:p>
                <w:pPr>
                  <w:spacing w:line="276" w:lineRule="auto"/>
                  <w:jc w:val="center"/>
                  <w:rPr>
                    <w:szCs w:val="24"/>
                    <w:lang w:val="en-US"/>
                  </w:rPr>
                </w:pPr>
                <w:r>
                  <w:rPr>
                    <w:szCs w:val="24"/>
                    <w:lang w:val="en-US"/>
                  </w:rPr>
                  <w:t>11.</w:t>
                </w:r>
              </w:p>
            </w:tc>
            <w:tc>
              <w:tcPr>
                <w:tcW w:w="5100" w:type="dxa"/>
                <w:vMerge w:val="restart"/>
              </w:tcPr>
              <w:p>
                <w:pPr>
                  <w:spacing w:line="276" w:lineRule="auto"/>
                  <w:rPr>
                    <w:szCs w:val="24"/>
                    <w:lang w:val="en-US"/>
                  </w:rPr>
                </w:pPr>
                <w:r>
                  <w:rPr>
                    <w:szCs w:val="24"/>
                    <w:lang w:val="en-US"/>
                  </w:rPr>
                  <w:t>Veislė ir mikroorganizmų kamienas, įregistruotas Lietuvoje ir turintis registracijos pažymą</w:t>
                </w:r>
              </w:p>
            </w:tc>
            <w:tc>
              <w:tcPr>
                <w:tcW w:w="993" w:type="dxa"/>
              </w:tcPr>
              <w:p>
                <w:pPr>
                  <w:spacing w:line="276" w:lineRule="auto"/>
                  <w:jc w:val="center"/>
                  <w:rPr>
                    <w:szCs w:val="24"/>
                    <w:lang w:val="en-US"/>
                  </w:rPr>
                </w:pPr>
                <w:r>
                  <w:rPr>
                    <w:szCs w:val="24"/>
                    <w:lang w:val="en-US"/>
                  </w:rPr>
                  <w:t>T</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r>
            <w:trPr>
              <w:trHeight w:val="342"/>
            </w:trPr>
            <w:tc>
              <w:tcPr>
                <w:tcW w:w="678" w:type="dxa"/>
                <w:vMerge/>
              </w:tcPr>
              <w:p>
                <w:pPr>
                  <w:spacing w:line="276" w:lineRule="auto"/>
                  <w:jc w:val="center"/>
                  <w:rPr>
                    <w:szCs w:val="24"/>
                    <w:lang w:val="en-US"/>
                  </w:rPr>
                </w:pPr>
              </w:p>
            </w:tc>
            <w:tc>
              <w:tcPr>
                <w:tcW w:w="5100" w:type="dxa"/>
                <w:vMerge/>
              </w:tcPr>
              <w:p>
                <w:pPr>
                  <w:spacing w:line="276" w:lineRule="auto"/>
                  <w:jc w:val="center"/>
                  <w:rPr>
                    <w:szCs w:val="24"/>
                    <w:lang w:val="en-US"/>
                  </w:rPr>
                </w:pPr>
              </w:p>
            </w:tc>
            <w:tc>
              <w:tcPr>
                <w:tcW w:w="993" w:type="dxa"/>
              </w:tcPr>
              <w:p>
                <w:pPr>
                  <w:spacing w:line="276" w:lineRule="auto"/>
                  <w:jc w:val="center"/>
                  <w:rPr>
                    <w:szCs w:val="24"/>
                    <w:lang w:val="en-US"/>
                  </w:rPr>
                </w:pPr>
                <w:r>
                  <w:rPr>
                    <w:szCs w:val="24"/>
                    <w:lang w:val="en-US"/>
                  </w:rPr>
                  <w:t>B</w:t>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c>
              <w:tcPr>
                <w:tcW w:w="960" w:type="dxa"/>
                <w:tcMar>
                  <w:left w:w="28" w:type="dxa"/>
                  <w:right w:w="28" w:type="dxa"/>
                </w:tcMar>
              </w:tcPr>
              <w:p>
                <w:pPr>
                  <w:spacing w:line="276" w:lineRule="auto"/>
                  <w:jc w:val="center"/>
                  <w:rPr>
                    <w:szCs w:val="24"/>
                    <w:lang w:val="en-US"/>
                  </w:rPr>
                </w:pPr>
                <w:r>
                  <w:rPr>
                    <w:szCs w:val="24"/>
                    <w:lang w:val="en-US"/>
                  </w:rPr>
                  <w:sym w:font="Wingdings" w:char="F06F"/>
                </w:r>
              </w:p>
            </w:tc>
            <w:tc>
              <w:tcPr>
                <w:tcW w:w="961" w:type="dxa"/>
                <w:tcMar>
                  <w:left w:w="28" w:type="dxa"/>
                  <w:right w:w="28" w:type="dxa"/>
                </w:tcMar>
              </w:tcPr>
              <w:p>
                <w:pPr>
                  <w:spacing w:line="276" w:lineRule="auto"/>
                  <w:jc w:val="center"/>
                  <w:rPr>
                    <w:szCs w:val="24"/>
                    <w:lang w:val="en-US"/>
                  </w:rPr>
                </w:pPr>
                <w:r>
                  <w:rPr>
                    <w:szCs w:val="24"/>
                    <w:lang w:val="en-US"/>
                  </w:rPr>
                  <w:sym w:font="Wingdings" w:char="F078"/>
                </w:r>
              </w:p>
            </w:tc>
            <w:tc>
              <w:tcPr>
                <w:tcW w:w="961" w:type="dxa"/>
                <w:tcMar>
                  <w:left w:w="28" w:type="dxa"/>
                  <w:right w:w="28" w:type="dxa"/>
                </w:tcMar>
              </w:tcPr>
              <w:p>
                <w:pPr>
                  <w:spacing w:line="276" w:lineRule="auto"/>
                  <w:jc w:val="center"/>
                  <w:rPr>
                    <w:szCs w:val="24"/>
                    <w:lang w:val="en-US"/>
                  </w:rPr>
                </w:pPr>
                <w:r>
                  <w:rPr>
                    <w:szCs w:val="24"/>
                    <w:lang w:val="en-US"/>
                  </w:rPr>
                  <w:sym w:font="Wingdings" w:char="F06F"/>
                </w:r>
              </w:p>
            </w:tc>
          </w:tr>
        </w:tbl>
        <w:p>
          <w:pPr>
            <w:spacing w:line="276" w:lineRule="auto"/>
            <w:rPr>
              <w:szCs w:val="24"/>
              <w:lang w:val="en-US"/>
            </w:rPr>
          </w:pPr>
          <w:r>
            <w:rPr>
              <w:szCs w:val="24"/>
              <w:lang w:val="en-US"/>
            </w:rPr>
            <w:t>––––––––––––––––––––––––––––––––––––––––––––––</w:t>
          </w:r>
        </w:p>
        <w:p>
          <w:pPr>
            <w:spacing w:line="276" w:lineRule="auto"/>
            <w:rPr>
              <w:sz w:val="20"/>
              <w:lang w:val="en-US"/>
            </w:rPr>
          </w:pPr>
          <w:r>
            <w:rPr>
              <w:sz w:val="20"/>
              <w:vertAlign w:val="superscript"/>
              <w:lang w:val="en-US"/>
            </w:rPr>
            <w:t>1</w:t>
          </w:r>
          <w:r>
            <w:rPr>
              <w:sz w:val="20"/>
              <w:lang w:val="en-US"/>
            </w:rPr>
            <w:t xml:space="preserve"> – žymėjimas: </w:t>
          </w:r>
          <w:r>
            <w:rPr>
              <w:rFonts w:ascii="Wingdings" w:hAnsi="Wingdings"/>
              <w:color w:val="000000"/>
              <w:sz w:val="20"/>
              <w:lang w:val="en-US"/>
            </w:rPr>
            <w:sym w:font="Wingdings" w:char="F078"/>
          </w:r>
          <w:r>
            <w:rPr>
              <w:color w:val="000000"/>
              <w:sz w:val="20"/>
              <w:lang w:val="en-US"/>
            </w:rPr>
            <w:t xml:space="preserve"> – galimas parengtumo lygis</w:t>
          </w:r>
        </w:p>
        <w:p>
          <w:pPr>
            <w:overflowPunct w:val="0"/>
            <w:spacing w:line="276" w:lineRule="auto"/>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afa240441e11e6bd3bfefc575ccac4">
            <w:r w:rsidRPr="00532B9F">
              <w:rPr>
                <w:rFonts w:ascii="Times New Roman" w:eastAsia="MS Mincho" w:hAnsi="Times New Roman"/>
                <w:sz w:val="20"/>
                <w:iCs/>
                <w:color w:val="0000FF" w:themeColor="hyperlink"/>
                <w:u w:val="single"/>
              </w:rPr>
              <w:t>V-274</w:t>
            </w:r>
          </w:fldSimple>
          <w:r>
            <w:rPr>
              <w:rFonts w:ascii="Times New Roman" w:eastAsia="MS Mincho" w:hAnsi="Times New Roman"/>
              <w:sz w:val="20"/>
              <w:iCs/>
            </w:rPr>
            <w:t>,
2014-12-03,
paskelbta TAR 2016-07-07, i. k. 2016-19347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6838" w:h="11906" w:orient="landscape"/>
      <w:pgMar w:top="720" w:right="720" w:bottom="720" w:left="720"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276" w:lineRule="auto"/>
        <w:rPr>
          <w:szCs w:val="24"/>
          <w:lang w:val="en-US"/>
        </w:rPr>
      </w:pPr>
      <w:r>
        <w:rPr>
          <w:szCs w:val="24"/>
          <w:lang w:val="en-US"/>
        </w:rPr>
        <w:separator/>
      </w:r>
    </w:p>
  </w:endnote>
  <w:endnote w:type="continuationSeparator" w:id="0">
    <w:p>
      <w:pPr>
        <w:spacing w:line="276" w:lineRule="auto"/>
        <w:rPr>
          <w:szCs w:val="24"/>
          <w:lang w:val="en-US"/>
        </w:rPr>
      </w:pPr>
      <w:r>
        <w:rPr>
          <w:szCs w:val="24"/>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inionPro-Regular">
    <w:altName w:val="MS Mincho"/>
    <w:panose1 w:val="00000000000000000000"/>
    <w:charset w:val="80"/>
    <w:family w:val="roman"/>
    <w:notTrueType/>
    <w:pitch w:val="default"/>
    <w:sig w:usb0="00000005" w:usb1="08070000" w:usb2="00000010" w:usb3="00000000" w:csb0="0002008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276" w:lineRule="auto"/>
        <w:rPr>
          <w:szCs w:val="24"/>
          <w:lang w:val="en-US"/>
        </w:rPr>
      </w:pPr>
      <w:r>
        <w:rPr>
          <w:szCs w:val="24"/>
          <w:lang w:val="en-US"/>
        </w:rPr>
        <w:separator/>
      </w:r>
    </w:p>
  </w:footnote>
  <w:footnote w:type="continuationSeparator" w:id="0">
    <w:p>
      <w:pPr>
        <w:spacing w:line="276" w:lineRule="auto"/>
        <w:rPr>
          <w:szCs w:val="24"/>
          <w:lang w:val="en-US"/>
        </w:rPr>
      </w:pPr>
      <w:r>
        <w:rPr>
          <w:szCs w:val="24"/>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jc w:val="right"/>
      <w:rPr>
        <w: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jc w:val="right"/>
      <w:rPr>
        <w: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jc w:val="right"/>
      <w:rPr>
        <w: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F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86991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66789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12.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be2a8918b0e44b7ba6493ded6719256" PartId="5820201056c94386b3ce904487cd5ddd">
    <Part Type="preambule" DocPartId="6e62b2d501e94b1ba037b88a0d62a237" PartId="9421cae18a124befbbe5b1c6d6708b27"/>
    <Part Type="punktas" Nr="1" Abbr="1 p." DocPartId="7bb4eb2d1ab8497f92553cc87b22170f" PartId="4234ad816773446c91e980d175640645">
      <Part Type="papunktis" Nr="1.1" Abbr="1.1 pp." DocPartId="adbb71b8f0bf43cb9af3a13930b59281" PartId="d41edfeba3684c7b8a86aa3a5f20a04a"/>
      <Part Type="papunktis" Nr="1.2" Abbr="1.2 pp." DocPartId="dc174829ea0147aa99a2b512d646ba3a" PartId="523b14d40b704f4391e3cdc5d6f798d6"/>
    </Part>
    <Part Type="punktas" Nr="2" Abbr="2 p." DocPartId="41e757d7c4124983b1f668039d811e1c" PartId="0a1b3addb7eb4f448577e811a4c6e019"/>
    <Part Type="signatura" DocPartId="b8b2c618289f456e839251ec97148200" PartId="4247e18127f24d809eed520d4088fbb8"/>
  </Part>
  <Part Type="patvirtinta" Title="PAVYZDINIS HUMANITARINIŲ IR SOCIALINIŲ MOKSLO SRIČIŲ MOKSLO IR SKLAIDOS PROJEKTŲ GALIMOS PRODUKCIJOS SĄRAŠAS" DocPartId="cedfd5e1f3df4d7791ee934459752e5e" PartId="2a81b5a78f2849c59e0d6c3915a7d14a"/>
  <Part Type="patvirtinta" Nr="" Abbr="" Title="" DocPartId="0b01bc6aed03401787e2495a938df296" PartId="84c4a0f779a645cfb786830d93dd729b"/>
</Parts>
</file>

<file path=customXml/itemProps1.xml><?xml version="1.0" encoding="utf-8"?>
<ds:datastoreItem xmlns:ds="http://schemas.openxmlformats.org/officeDocument/2006/customXml" ds:itemID="{8F62A3DC-FB90-4499-8197-C2F50AFDCBF5}">
  <ds:schemaRefs>
    <ds:schemaRef ds:uri="http://lrs.lt/TAIS/DocParts"/>
  </ds:schemaRefs>
</ds:datastoreItem>
</file>

<file path=docProps/app.xml><?xml version="1.0" encoding="utf-8"?>
<Properties xmlns="http://schemas.openxmlformats.org/officeDocument/2006/extended-properties">
  <Template>Normal.dotm</Template>
  <TotalTime>10</TotalTime>
  <Pages>25</Pages>
  <Words>22166</Words>
  <Characters>12636</Characters>
  <Application>Microsoft Office Word</Application>
  <DocSecurity>0</DocSecurity>
  <Lines>105</Lines>
  <Paragraphs>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DOKUMENTŲ REKVIZITŲ IŠDĖSTYMO SCHEMA</vt:lpstr>
      <vt:lpstr>DOKUMENTŲ REKVIZITŲ IŠDĖSTYMO SCHEMA</vt:lpstr>
    </vt:vector>
  </TitlesOfParts>
  <Company>LAD</Company>
  <LinksUpToDate>false</LinksUpToDate>
  <CharactersWithSpaces>34733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2016-07-14T05:53:00Z</dcterms:created>
  <dc:creator>User</dc:creator>
  <lastModifiedBy>GRUNDAITĖ Aistė</lastModifiedBy>
  <lastPrinted>2013-09-25T10:40:00Z</lastPrinted>
  <dcterms:modified xsi:type="dcterms:W3CDTF">2016-07-14T08:08:00Z</dcterms:modified>
  <revision>6</revision>
  <dc:title>DOKUMENTŲ REKVIZITŲ IŠDĖSTYMO SCHEMA</dc:title>
</coreProperties>
</file>