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78356da96804bd9a1eff52ac44eb39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2024-01-10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2022-01-31, i. k. 2022-01592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lang w:eastAsia="lt-LT"/>
            </w:rPr>
            <w:drawing>
              <wp:inline distT="0" distB="0" distL="0" distR="0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b/>
            </w:rPr>
            <w:t>LIETUVOS RESPUBLIKOS APLINKOS MINISTRAS</w:t>
          </w:r>
        </w:p>
        <w:p>
          <w:pPr>
            <w:ind w:firstLine="720"/>
            <w:rPr>
              <w:b/>
              <w:bCs/>
            </w:rPr>
          </w:pPr>
        </w:p>
        <w:p>
          <w:pPr>
            <w:jc w:val="center"/>
            <w:textAlignment w:val="baseline"/>
            <w:rPr>
              <w:b/>
              <w:bCs/>
              <w:color w:val="000000"/>
              <w:szCs w:val="24"/>
              <w:shd w:val="clear" w:color="auto" w:fill="E1E3E6"/>
              <w:lang w:eastAsia="en-GB"/>
            </w:rPr>
          </w:pPr>
          <w:r>
            <w:rPr>
              <w:b/>
              <w:bCs/>
            </w:rPr>
            <w:t>ĮSAKYMAS</w:t>
          </w:r>
        </w:p>
        <w:sdt>
          <w:sdtPr>
            <w:alias w:val="Pavadinimas"/>
            <w:tag w:val="title_878356da96804bd9a1eff52ac44eb39f"/>
            <w:lock w:val="sdtLocked"/>
            <w:richText/>
          </w:sdtPr>
          <w:sdtContent>
            <w:p>
              <w:pPr>
                <w:jc w:val="center"/>
                <w:rPr>
                  <w:caps/>
                  <w:sz w:val="17"/>
                  <w:szCs w:val="17"/>
                </w:rPr>
              </w:pPr>
              <w:r>
                <w:rPr>
                  <w:b/>
                  <w:bCs/>
                  <w:caps/>
                  <w:szCs w:val="24"/>
                </w:rPr>
                <w:t xml:space="preserve">DĖL EUROPOS SĄJUNGOS ŠILTNAMIO EFEKTĄ SUKELIANČIŲ DUJŲ APYVARTINIŲ TARŠOS LEIDIMŲ PREKYBOS SISTEMOJE 2021–2025 m. LAIKOTARPIU DALYVAUJANČIŲ VEIKLOS VYKDYTOJŲ, KURIEMS NEMOKAMAI SKIRIAMI APYVARTINIAI TARŠOS LEIDIMAI, SĄRAŠO PATVIRTINIMO </w:t>
              </w:r>
            </w:p>
          </w:sdtContent>
        </w:sdt>
        <w:p>
          <w:pPr>
            <w:ind w:firstLine="62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  <w:r>
            <w:rPr>
              <w:szCs w:val="24"/>
              <w:lang w:eastAsia="en-GB"/>
            </w:rPr>
            <w:t>2022 m. sausio 31 d. Nr. D1-24</w:t>
          </w:r>
        </w:p>
        <w:p>
          <w:pPr>
            <w:jc w:val="center"/>
            <w:textAlignment w:val="center"/>
            <w:rPr>
              <w:spacing w:val="-2"/>
              <w:szCs w:val="24"/>
              <w:lang w:eastAsia="lt-LT"/>
            </w:rPr>
          </w:pPr>
          <w:r>
            <w:t>Vilnius 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Pakeistas teisės akto pavadinimas: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2022-04-27,
paskelbta TAR 2022-04-27, i. k. 2022-08556        </w:t>
          </w:r>
        </w:p>
        <w:p/>
        <w:sdt>
          <w:sdtPr>
            <w:alias w:val="preambule"/>
            <w:tag w:val="part_225170ae86a143329eb0e5c00aff66a5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r>
                <w:t xml:space="preserve">Vadovaudamasis Lietuvos Respublikos klimato kaitos valdymo finansinių instrumentų įstatymo 6 straipsnio 2 dalimi, Lietuvos Respublikos Vyriausybės 2009 m. lapkričio 4 d. nutarimo Nr. 1443 „Dėl įgaliojimų suteikimo įgyvendinant Lietuvos Respublikos klimato kaitos valdymo finansinių instrumentų įstatymą“ 2 punktu, įgyvendindamas 2003 m. spalio 13 d. Europos Parlamento ir Tarybos direktyvos 2003/87/EB, nustatančios šiltnamio efektą sukeliančių dujų emisijos leidimų sistemą Bendrijoje ir iš dalies keičiančios Tarybos direktyvą 96/61/EB, su paskutiniais pakeitimais, padarytais </w:t>
              </w:r>
              <w:r>
                <w:rPr>
                  <w:color w:val="000000"/>
                  <w:shd w:val="clear" w:color="auto" w:fill="FFFFFF"/>
                </w:rPr>
                <w:t>2021 m. birželio 17 d. Komisijos deleguotuoju reglamentu (ES) 2021/1416</w:t>
              </w:r>
              <w:r>
                <w:t>, 11 straipsnio 1 dalį, atsižvelgdamas į 2018 m. gruodžio 19 d. Komisijos deleguotojo reglamento (ES) 2019/331, kuriuo nustatomos suderinto nemokamų apyvartinių taršos leidimų suteikimo pagal Europos Parlamento ir Tarybos direktyvos 2003/87/EB 10a straipsnį pereinamojo laikotarpio Sąjungos taisyklės, III skyriaus nuostatas, 2019 m. spalio 31 d. Komisijos Įgyvendinimo Reglamento (ES) 2019/1842, kuriuo nustatomos Europos Parlamento ir Tarybos direktyvos 2003/87/EB taikymo taisyklės, susijusios su tolesne nemokamų apyvartinių taršos leidimų paskirstymo koregavimo dėl veiklos lygio pokyčių tvarka, ir 2019 m. kovo 12 d. Komisijos deleguotojo reglamento (ES) 2019/1122, kuriuo papildomos Europos Parlamento ir Tarybos direktyvos 2003/87/EB nuostatos dėl Sąjungos registro veikimo, nuostatas:</w:t>
              </w:r>
            </w:p>
          </w:sdtContent>
        </w:sdt>
        <w:sdt>
          <w:sdtPr>
            <w:alias w:val="1 p."/>
            <w:tag w:val="part_a61e7a2d53564e66928abe2599dfe92c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a61e7a2d53564e66928abe2599dfe92c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 T v i r t i n u Europos Sąjungos šiltnamio efektą sukeliančių dujų apyvartinių taršos leidimų prekybos sistemoje 2021</w:t>
              </w:r>
              <w:r>
                <w:rPr>
                  <w:caps/>
                  <w:color w:val="000000"/>
                  <w:lang w:eastAsia="lt-LT"/>
                </w:rPr>
                <w:t>–</w:t>
              </w:r>
              <w:r>
                <w:rPr>
                  <w:color w:val="000000"/>
                  <w:lang w:eastAsia="lt-LT"/>
                </w:rPr>
                <w:t>2025 m. laikotarpiu dalyvaujančių veiklos vykdytojų, kuriems nemokamai skiriami apyvartiniai taršos leidimai, sąrašą (pridedama).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4d69dd0c5ff11ec8d9390588bf2de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D1-116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2022-04-27,
paskelbta TAR 2022-04-27, i. k. 2022-08556            </w:t>
              </w:r>
            </w:p>
            <w:p/>
          </w:sdtContent>
        </w:sdt>
        <w:sdt>
          <w:sdtPr>
            <w:alias w:val="2 p."/>
            <w:tag w:val="part_bef9e366d1c04e8dba9e23b1b2489916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bef9e366d1c04e8dba9e23b1b2489916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N u s t a t a u, kad:</w:t>
              </w:r>
            </w:p>
            <w:sdt>
              <w:sdtPr>
                <w:alias w:val="2.1 pp."/>
                <w:tag w:val="part_e1c3c8ae3a7f4c1e8d35c3d015559800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e1c3c8ae3a7f4c1e8d35c3d015559800"/>
                      <w:lock w:val="sdtLocked"/>
                      <w:richText/>
                    </w:sdtPr>
                    <w:sdtContent>
                      <w:r>
                        <w:t>2.1</w:t>
                      </w:r>
                    </w:sdtContent>
                  </w:sdt>
                  <w:r>
                    <w:t>. Europos Sąjungos šiltnamio efektą sukeliančių dujų apyvartinių taršos leidimų prekybos sistemoje 2021</w:t>
                  </w:r>
                  <w:r>
                    <w:rPr>
                      <w:bCs/>
                      <w:caps/>
                      <w:szCs w:val="24"/>
                    </w:rPr>
                    <w:t>–</w:t>
                  </w:r>
                  <w:r>
                    <w:t>2025 m. laikotarpiu dalyvaujančių veiklos vykdytojų sąraše nurodytas bendras (penkerių metų) nemokamai skiriamų apyvartinių taršos leidimų skaičius veiklos vykdytojui gali būti koreguojamas, atsižvelgiant į Reglamento (ES) 2019/331 ir Reglamento (ES) 2019/1842 nuostatas;</w:t>
                  </w:r>
                </w:p>
              </w:sdtContent>
            </w:sdt>
            <w:sdt>
              <w:sdtPr>
                <w:alias w:val="2.2 pp."/>
                <w:tag w:val="part_39d9e9aba9784912b244528f979dd47f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39d9e9aba9784912b244528f979dd47f"/>
                      <w:lock w:val="sdtLocked"/>
                      <w:richText/>
                    </w:sdtPr>
                    <w:sdtContent>
                      <w:r>
                        <w:t>2.2</w:t>
                      </w:r>
                    </w:sdtContent>
                  </w:sdt>
                  <w:r>
                    <w:t>. Lietuvos Respublikos aplinkos ministerijos Aplinkos projektų valdymo agentūra, vykdanti Sąjungos šiltnamio efektą sukeliančių dujų registro (toliau – Sąjungos registras) nacionalinio administratoriaus funkcijas, atlieka veiksmus, kuriuos nurodo Europos Komisijos paskirtas asmuo (Sąjungos registro vyriausiasis administratorius) dėl kasmetinių apyvartinių taršos leidimų pervedimo į veiklos vykdytojų sąskaitas, pagal Reglamento (ES) 2019/1122 nuostatas.</w:t>
                  </w:r>
                </w:p>
                <w:p>
                  <w:pPr>
                    <w:tabs>
                      <w:tab w:val="right" w:pos="9639"/>
                    </w:tabs>
                    <w:spacing w:line="360" w:lineRule="auto"/>
                  </w:pPr>
                </w:p>
              </w:sdtContent>
            </w:sdt>
          </w:sdtContent>
        </w:sdt>
        <w:sdt>
          <w:sdtPr>
            <w:alias w:val="signatura"/>
            <w:tag w:val="part_fbc8d4331aad4df28441b2e25aaf6ea6"/>
            <w:lock w:val="sdtLocked"/>
            <w:richText/>
          </w:sdtPr>
          <w:sdtContent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7088"/>
                </w:tabs>
                <w:spacing w:line="276" w:lineRule="atLeast"/>
                <w:jc w:val="both"/>
                <w:textAlignment w:val="baseline"/>
                <w:rPr>
                  <w:b/>
                </w:rPr>
              </w:pPr>
              <w:r>
                <w:rPr>
                  <w:szCs w:val="24"/>
                  <w:lang w:eastAsia="lt-LT"/>
                </w:rPr>
                <w:t>Aplinkos ministras</w:t>
                <w:tab/>
                <w:t>Simonas Gentvilas</w:t>
              </w:r>
            </w:p>
          </w:sdtContent>
        </w:sdt>
      </w:sdtContent>
    </w:sdt>
    <w:sdt>
      <w:sdtPr>
        <w:alias w:val="patvirtinta"/>
        <w:tag w:val="part_f7983c4599c643d888c8cdf347be5a88"/>
        <w:lock w:val="sdtLocked"/>
        <w:richText/>
      </w:sdtPr>
      <w:sdtContent>
        <w:p>
          <w:pPr>
            <w:tabs>
              <w:tab w:val="left" w:pos="4825"/>
            </w:tabs>
            <w:spacing w:line="276" w:lineRule="auto"/>
            <w:ind w:left="8" w:right="34"/>
            <w:rPr>
              <w:szCs w:val="24"/>
              <w:lang w:eastAsia="lt-LT"/>
            </w:rPr>
          </w:pPr>
        </w:p>
        <w:p>
          <w:pPr>
            <w:tabs>
              <w:tab w:val="left" w:pos="8530"/>
            </w:tabs>
            <w:suppressAutoHyphens/>
            <w:rPr>
              <w:szCs w:val="24"/>
              <w:lang w:eastAsia="lt-LT"/>
            </w:rPr>
            <w:sectPr>
              <w:headerReference w:type="even" r:id="rId25"/>
              <w:headerReference w:type="default" r:id="rId26"/>
              <w:footerReference w:type="even" r:id="rId27"/>
              <w:footerReference w:type="default" r:id="rId28"/>
              <w:headerReference w:type="first" r:id="rId29"/>
              <w:footerReference w:type="first" r:id="rId30"/>
              <w:pgSz w:w="11906" w:h="16838"/>
              <w:pgMar w:top="1134" w:right="567" w:bottom="567" w:left="1701" w:header="567" w:footer="567" w:gutter="0"/>
              <w:cols w:space="1296"/>
              <w:titlePg/>
              <w:docGrid w:linePitch="360"/>
            </w:sectPr>
          </w:pPr>
        </w:p>
        <w:p>
          <w:pPr>
            <w:ind w:left="10206"/>
          </w:pPr>
          <w:r>
            <w:t>PATVIRTINTA</w:t>
          </w:r>
        </w:p>
        <w:p>
          <w:pPr>
            <w:ind w:left="10206"/>
          </w:pPr>
          <w:r>
            <w:t>Lietuvos Respublikos aplinkos ministro</w:t>
          </w:r>
        </w:p>
        <w:p>
          <w:pPr>
            <w:ind w:left="10206"/>
          </w:pPr>
          <w:r>
            <w:t>2022 m. sausio 31 d. įsakymu Nr. D1-24</w:t>
          </w:r>
        </w:p>
        <w:p>
          <w:pPr>
            <w:ind w:left="10206"/>
          </w:pPr>
          <w:r>
            <w:t>(Lietuvos Respublikos aplinkos ministro</w:t>
          </w:r>
        </w:p>
        <w:p>
          <w:pPr>
            <w:ind w:left="10206"/>
          </w:pPr>
          <w:r>
            <w:t>2022 m. spalio 14 d. įsakymo Nr. D1-332</w:t>
          </w:r>
        </w:p>
        <w:p>
          <w:pPr>
            <w:ind w:left="10206"/>
          </w:pPr>
          <w:r>
            <w:t>redakcija)</w:t>
          </w:r>
        </w:p>
        <w:p>
          <w:pPr>
            <w:ind w:left="10206"/>
          </w:pPr>
        </w:p>
        <w:p>
          <w:pPr>
            <w:jc w:val="center"/>
          </w:pPr>
          <w:r>
            <w:rPr>
              <w:b/>
              <w:caps/>
            </w:rPr>
            <w:t>EUROPOS SĄJUNGOS ŠILTNAMIO EFEKTĄ SUKELIANČIŲ DUJŲ APYVARTINIŲ TARŠOS LEIDIMŲ PREKYBOS SISTEMOJE 2021–2025 M. LAIKOTARPIU DALYVAUJANČIŲ VEIKLOS VYKDYTOJŲ, KURIEMS NEMOKAMAI SKIRIAMI APYVARTINIAI TARŠOS LEIDIMAI, SĄRAŠAS</w:t>
          </w:r>
        </w:p>
        <w:tbl>
          <w:tblPr>
            <w:tblW w:w="14963" w:type="dxa"/>
            <w:tblLook w:val="04A0" w:firstRow="1" w:lastRow="0" w:firstColumn="1" w:lastColumn="0" w:noHBand="0" w:noVBand="1"/>
          </w:tblPr>
          <w:tblGrid>
            <w:gridCol w:w="803"/>
            <w:gridCol w:w="1185"/>
            <w:gridCol w:w="1760"/>
            <w:gridCol w:w="2413"/>
            <w:gridCol w:w="1467"/>
            <w:gridCol w:w="1467"/>
            <w:gridCol w:w="1467"/>
            <w:gridCol w:w="1467"/>
            <w:gridCol w:w="1467"/>
            <w:gridCol w:w="1467"/>
          </w:tblGrid>
          <w:tr>
            <w:trPr>
              <w:cantSplit/>
              <w:trHeight w:val="1284"/>
            </w:trPr>
            <w:tc>
              <w:tcPr>
                <w:tcW w:w="80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185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Įrenginio kodas Sąjungos registre</w:t>
                </w:r>
              </w:p>
            </w:tc>
            <w:tc>
              <w:tcPr>
                <w:tcW w:w="1760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Veiklos vykdytojo pavadinimas</w:t>
                </w:r>
              </w:p>
            </w:tc>
            <w:tc>
              <w:tcPr>
                <w:tcW w:w="241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Įrenginys</w:t>
                </w:r>
              </w:p>
            </w:tc>
            <w:tc>
              <w:tcPr>
                <w:tcW w:w="7335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metų laikotarpiui veiklos vykdytojų eksploatuojamiems įrenginiams skiriamas nemokamų apyvartinių taršos leidimų (toliau – ATL) kiekis</w:t>
                </w:r>
              </w:p>
            </w:tc>
            <w:tc>
              <w:tcPr>
                <w:tcW w:w="1467" w:type="dxa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m. laikotarpiui skiriamas ATL kiekis</w:t>
                </w:r>
              </w:p>
            </w:tc>
          </w:tr>
          <w:tr>
            <w:trPr>
              <w:trHeight w:val="300"/>
            </w:trPr>
            <w:tc>
              <w:tcPr>
                <w:tcW w:w="80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85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60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2022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2023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2025 m.</w:t>
                </w:r>
              </w:p>
            </w:tc>
            <w:tc>
              <w:tcPr>
                <w:tcW w:w="1467" w:type="dxa"/>
                <w:vMerge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„Akmenės cementas“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Katilinė, įrenginiai cemento klinkeriui gaminti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733 419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769 880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855103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855103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855103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4 068 608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Palemono keramikos gamykla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Katilas, keramikos degimo krosnys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 xml:space="preserve">4 151 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z w:val="20"/>
                  </w:rPr>
                  <w:t xml:space="preserve">3 429 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2 492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2 492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2 492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15 056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 ir būgninės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</w:t>
                </w:r>
                <w:r>
                  <w:rPr>
                    <w:color w:val="000000"/>
                    <w:sz w:val="20"/>
                    <w:lang w:eastAsia="lt-LT"/>
                  </w:rPr>
                  <w:t>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40 500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 xml:space="preserve">10 938 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z w:val="20"/>
                  </w:rPr>
                  <w:t>11 091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11 198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11 198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11 198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55 623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„ORLEN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Naftos perdirbimo produktų gamykla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6 139 320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„Grigeo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119 635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„Grigeo“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28 821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z w:val="20"/>
                  </w:rPr>
                  <w:t>28 821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28 953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28 953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</w:rPr>
                  <w:t>28 953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144 501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„Achema“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Amoniako paleidimo katilinės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1 866 679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1 829 013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1 277 776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1 277 776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1 277 776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7 529 020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„Nordic Sugar Kėdainiai“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25 812 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20 968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20 968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20 968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117 419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„Lifosa“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151 302 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177 364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120 954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120 954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120 954 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right="-109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691 528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nafta“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skyriaus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11 697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Lietuvos cukraus fabrikas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52 145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mediena“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4 059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trike/>
                    <w:color w:val="000000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trike/>
                    <w:color w:val="000000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trike/>
                    <w:color w:val="000000"/>
                    <w:sz w:val="20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8 119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Jonavos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Jonavos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Mažeikių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Mažeikių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5 980 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7 619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7 619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7 619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35 981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Raseinių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Raseinių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8 200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Šilutės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18 715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2 (E-2)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73 054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71 128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67 274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355 638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3 (TE</w:t>
                </w:r>
                <w:r>
                  <w:rPr>
                    <w:sz w:val="20"/>
                    <w:lang w:eastAsia="lt-LT"/>
                  </w:rPr>
                  <w:t>–</w:t>
                </w:r>
                <w:r>
                  <w:rPr>
                    <w:color w:val="000000"/>
                    <w:sz w:val="20"/>
                    <w:lang w:eastAsia="lt-LT"/>
                  </w:rPr>
                  <w:t>3)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–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val="en-US"/>
                  </w:rPr>
                </w:pPr>
                <w:r>
                  <w:rPr>
                    <w:color w:val="000000"/>
                    <w:sz w:val="20"/>
                    <w:lang w:val="en-US"/>
                  </w:rPr>
                  <w:t>67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Naujosios Vilnios rajoninė katilinė Nr. 2 (RK-2)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Ateities rajoninė katilinė Nr. 8 (RK-8)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„Šiaulių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Pietinė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17 783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17 326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16 869 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16 412 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15 956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84 346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2 570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„Radviliškio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Radviliškio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13 435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Utenos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Utenos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6 577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7 608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6 239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6 070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5 902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32 396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Tauragės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Beržės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15 520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Šalčininkų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Šalčininkų centrinė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6 130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„Varėnos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Varėnos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10 505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 Nr.2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23 137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Rokiškio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8 749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8 749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8 749 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42 861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9 410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9 169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8 685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8 443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44 634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Pasvalio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2 910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Petrašiūnų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7 395 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7 205 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5 271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5 128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4 986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29 985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„Pergalės“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3 656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„Šilko“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3 230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3 230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3 230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17 634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Garliavos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74 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2 319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9 765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Plungės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Plungės katilinė Nr. 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1 838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1 838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1 838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10 210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Druskininkų pramonės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5 133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5 001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4 737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24 345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Biržų Rotušės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Vilkaviškio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Vilkaviškio katilinė Nr.1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7 620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Luokės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836 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836 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593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593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593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3 451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Palangos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Palangos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18 805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Marijampolės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6 521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6 353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6 186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6 018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30 929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Alytaus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Alytaus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6 963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6 779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6 596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6 412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33 897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Elektrėnų kompleksas (buv. Lietuvos elektrinė)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3 023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2 943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2 784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14 717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Kauno termofikacijos 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„Kaišiadorių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Kaišiadorių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1 676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8 054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Klaipėdos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7 214 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46 409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Lypkių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2 056 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1 694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1 694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1 694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9 194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VĮ Ignalinos atominė 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Garo katilinė ir rezervinė dyzelinė elektros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842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842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842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4 547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„Trakų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Lentvario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5 685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„Akmenės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Žalgirio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8 750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Panevėžio termofikacinė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542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„IKEA Industry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Kurą deginantys įrenginiai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34 745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34 745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34 745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160 000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„Neo Group“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225 055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Kėdainių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1 315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1 315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1 315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„Paroc“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Akmens vatos gamyba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199 475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 Nr. 7 (RK-7)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„Visagino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Šiluminė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5 258 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6 924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6 924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6 924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32 274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205529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„Roquette Amilina“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Katilinės ir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35 901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35 901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35 901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right="-109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179 279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206910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AB „Amber Grid“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Jauniūnų dujų kompresorių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206978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UAB „Hoegh LNG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Suskystintų gamtinių dujų importo terminalo laivas-saugykla su dujinimo įrenginiu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12 655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12 655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12 655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right="-109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58 589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209078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„Gren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18 966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18 478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17 504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17 016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89 955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210042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Biruliškių“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44 785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66.</w:t>
                </w:r>
              </w:p>
            </w:tc>
            <w:tc>
              <w:tcPr>
                <w:tcW w:w="14160" w:type="dxa"/>
                <w:gridSpan w:val="9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i/>
                    <w:color w:val="000000"/>
                    <w:sz w:val="20"/>
                    <w:lang w:eastAsia="lt-LT"/>
                  </w:rPr>
                  <w:t>Neteko galios 2023-02-24</w:t>
                </w:r>
                <w:r>
                  <w:rPr>
                    <w:color w:val="000000"/>
                    <w:sz w:val="20"/>
                    <w:lang w:eastAsia="lt-LT"/>
                  </w:rPr>
                  <w:t>.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4" w:space="0" w:color="auto"/>
                  <w:bottom w:val="single" w:sz="8" w:space="0" w:color="auto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67.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211238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Paneriškių“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16 147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15 792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15 437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15 081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14 726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ind w:left="720" w:hanging="36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 xml:space="preserve">77 </w:t>
                </w:r>
                <w:r>
                  <w:rPr>
                    <w:color w:val="000000"/>
                    <w:sz w:val="20"/>
                    <w:lang w:eastAsia="lt-LT"/>
                  </w:rPr>
                  <w:t>183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4" w:space="0" w:color="auto"/>
                  <w:bottom w:val="single" w:sz="8" w:space="0" w:color="auto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68.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212661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Kauno kogeneracinė jėgainė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Kogeneracinė atliekų deginimo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21 815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21 335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20 855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20 375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104 275.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4" w:space="0" w:color="auto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213220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mediena, AB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įrenginiai ir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36 933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36 120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35 308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34 496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33 683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176 540</w:t>
                </w:r>
              </w:p>
            </w:tc>
          </w:tr>
          <w:tr>
            <w:trPr>
              <w:trHeight w:val="420"/>
            </w:trPr>
            <w:tc>
              <w:tcPr>
                <w:tcW w:w="6161" w:type="dxa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4 562 855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  <w:lang w:val="en-GB" w:eastAsia="lt-LT"/>
                  </w:rPr>
                  <w:t>4 593 770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4 060 192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4 055 020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4 049 850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21 321 687</w:t>
                </w:r>
              </w:p>
            </w:tc>
          </w:tr>
        </w:tbl>
        <w:p>
          <w:pPr>
            <w:ind w:left="10206"/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2184380b37a11ed8df094f359a6021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2023-02-23,
paskelbta TAR 2023-02-23, i. k. 2023-03228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675e1a01afd11eeb233e8b04dc9bb3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D1-223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2023-07-05,
paskelbta TAR 2023-07-05, i. k. 2023-13930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5b54dd0aed2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2024-01-09,
paskelbta TAR 2024-01-09, i. k. 2024-00287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2022-04-27,
paskelbta TAR 2022-04-27, i. k. 2022-08556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b8e7804ba8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D1-332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2022-10-14,
paskelbta TAR 2022-10-14, i. k. 2022-20958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184380b37a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2023-02-23,
paskelbta TAR 2023-02-23, i. k. 2023-03228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675e1a01afd11eeb233e8b04dc9bb3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D1-223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2023-07-05,
paskelbta TAR 2023-07-05, i. k. 2023-13930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54dd0aed2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2024-01-09,
paskelbta TAR 2024-01-09, i. k. 2024-00287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6839" w:h="11907" w:orient="landscape"/>
      <w:pgMar w:top="851" w:right="1060" w:bottom="709" w:left="1032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 xml:space="preserve">PAGE   \* </w:instrText>
    </w:r>
    <w:r>
      <w:instrText>MERGEFORMAT</w:instrText>
    </w:r>
    <w:r>
      <w:fldChar w:fldCharType="separate"/>
    </w:r>
    <w:r>
      <w:t>2</w:t>
    </w:r>
    <w:r>
      <w:fldChar w:fldCharType="end"/>
    </w:r>
  </w:p>
  <w:p>
    <w:pPr>
      <w:pStyle w:val="Antrats"/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>
    <w:pPr>
      <w:pStyle w:val="Antrats"/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pStyle w:val="Antrats"/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pStyle w:val="Antrats"/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6</w:t>
    </w:r>
    <w:r>
      <w:fldChar w:fldCharType="end"/>
    </w:r>
  </w:p>
  <w:p>
    <w:pPr>
      <w:pStyle w:val="Antrats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>
    <w:pPr>
      <w:pStyle w:val="Antrats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JUOSPONIENĖ Karolina">
    <w15:presenceInfo w15:providerId="AD" w15:userId="S-1-5-21-4015230268-3135662936-2741650420-4574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68"/>
  <w:hideGrammaticalErrors/>
  <w:proofState w:spelling="clean" w:grammar="clean"/>
  <w:defaultTabStop w:val="1296"/>
  <w:hyphenationZone w:val="396"/>
  <w:doNotHyphenateCaps/>
  <w:drawingGridHorizontalSpacing w:val="5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E1szCwMDMyMDWwNLNQ0lEKTi0uzszPAykwNKoFALNc9mstAAAA"/>
  </w:docVars>
  <w:rsids>
    <w:rsidRoot w:val="001B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7D172F"/>
  <w15:docId w15:val="{F7947480-DB38-401C-9F46-B33FE412B72B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  <w:style w:type="paragraph" w:styleId="Porat">
    <w:name w:val="footer"/>
    <w:basedOn w:val="prastasis"/>
    <w:link w:val="PoratDiagrama"/>
    <w:unhideWhenUsed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1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81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9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6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9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4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4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9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7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8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7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4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3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1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8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8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6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3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6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2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6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1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8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0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11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6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8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6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footer" Target="footer3.xml"/>
  <Relationship Id="rId16" Type="http://schemas.openxmlformats.org/officeDocument/2006/relationships/footnotes" Target="footnotes.xml"/>
  <Relationship Id="rId17" Type="http://schemas.openxmlformats.org/officeDocument/2006/relationships/header" Target="header1.xml"/>
  <Relationship Id="rId18" Type="http://schemas.openxmlformats.org/officeDocument/2006/relationships/header" Target="header2.xml"/>
  <Relationship Id="rId19" Type="http://schemas.openxmlformats.org/officeDocument/2006/relationships/header" Target="header3.xml"/>
  <Relationship Id="rId2" Type="http://schemas.openxmlformats.org/officeDocument/2006/relationships/header" Target="header11.xml"/>
  <Relationship Id="rId20" Type="http://schemas.openxmlformats.org/officeDocument/2006/relationships/settings" Target="settings.xml"/>
  <Relationship Id="rId21" Type="http://schemas.openxmlformats.org/officeDocument/2006/relationships/styles" Target="styles.xml"/>
  <Relationship Id="rId22" Type="http://schemas.openxmlformats.org/officeDocument/2006/relationships/theme" Target="theme/theme1.xml"/>
  <Relationship Id="rId23" Type="http://schemas.openxmlformats.org/officeDocument/2006/relationships/webSettings" Target="webSettings.xml"/>
  <Relationship Id="rId24" Type="http://schemas.openxmlformats.org/officeDocument/2006/relationships/image" Target="media/image2.png"/>
  <Relationship Id="rId25" Type="http://schemas.openxmlformats.org/officeDocument/2006/relationships/header" Target="header31.xml"/>
  <Relationship Id="rId26" Type="http://schemas.openxmlformats.org/officeDocument/2006/relationships/header" Target="header32.xml"/>
  <Relationship Id="rId27" Type="http://schemas.openxmlformats.org/officeDocument/2006/relationships/footer" Target="footer31.xml"/>
  <Relationship Id="rId28" Type="http://schemas.openxmlformats.org/officeDocument/2006/relationships/footer" Target="footer32.xml"/>
  <Relationship Id="rId29" Type="http://schemas.openxmlformats.org/officeDocument/2006/relationships/header" Target="header33.xml"/>
  <Relationship Id="rId3" Type="http://schemas.openxmlformats.org/officeDocument/2006/relationships/footer" Target="footer10.xml"/>
  <Relationship Id="rId30" Type="http://schemas.openxmlformats.org/officeDocument/2006/relationships/footer" Target="footer33.xml"/>
  <Relationship Id="rId31" Type="http://schemas.openxmlformats.org/officeDocument/2006/relationships/customXml" Target="../customXml/item4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4A78A0A-17C9-4A06-BEA7-8A7411D37D80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C93"/>
    <w:rsid w:val="00603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3C93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>
  <documentManagement>
    <SharedWithUsers xmlns="19cf09c5-daa1-4028-a0ff-74a0be4ec5cc">
      <UserInfo>
        <DisplayName>Tomas Aukštinaitis</DisplayName>
        <AccountId>216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3" ma:contentTypeDescription="Kurkite naują dokumentą." ma:contentTypeScope="" ma:versionID="9a6544f70b8e3826adf7846939731ada">
  <xsd:schema xmlns:xsd="http://www.w3.org/2001/XMLSchema" xmlns:ns2="f5aad5d0-9c26-490e-8743-a6c7ceabd501" xmlns:ns3="19cf09c5-daa1-4028-a0ff-74a0be4ec5cc" targetNamespace="http://schemas.microsoft.com/office/2006/metadata/properties" ma:root="true" ma:fieldsID="14ee47fbebd168da061638065793f307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Title="„DĖL EUROPOS SĄJUNGOS ŠILTNAMIO EFEKTĄ SUKELIANČIŲ DUJŲ APYVARTINIŲ TARŠOS LEIDIMŲ PREKYBOS SISTEMOJE 2021–2025 m. LAIKOTARPIU DALYVAUJANČIŲ VEIKLOS VYKDYTOJŲ, KURIEMS NEMOKAMAI SKIRIAMI APYVARTINIAI TARŠOS LEIDIMAI, SĄRAŠO PATVIRTINIMO“." DocPartId="92963f251fad43af8b20803b3a92f471" PartId="878356da96804bd9a1eff52ac44eb39f">
    <Part Type="preambule" DocPartId="4ff5422af41a49b0b954752366cd77e9" PartId="225170ae86a143329eb0e5c00aff66a5"/>
    <Part Type="punktas" Nr="1" Abbr="1 p." DocPartId="a0d3f0f0b99e488c9db87114a14fcff4" PartId="a61e7a2d53564e66928abe2599dfe92c"/>
    <Part Type="punktas" Nr="2" Abbr="2 p." DocPartId="6e311034f34f44c0b4c3d62b100c6048" PartId="bef9e366d1c04e8dba9e23b1b2489916">
      <Part Type="papunktis" Nr="2.1" Abbr="2.1 pp." DocPartId="3516f94190fc4995870abad4c7b9d2af" PartId="e1c3c8ae3a7f4c1e8d35c3d015559800"/>
      <Part Type="papunktis" Nr="2.2" Abbr="2.2 pp." DocPartId="9054c0e070854a95b4db82ea56ee3a71" PartId="39d9e9aba9784912b244528f979dd47f"/>
    </Part>
    <Part Type="signatura" DocPartId="5ac7a50c773b497b8a7cb79aa6f5c0b4" PartId="fbc8d4331aad4df28441b2e25aaf6ea6"/>
  </Part>
  <Part Type="patvirtinta" Title="EUROPOS SĄJUNGOS ŠILTNAMIO EFEKTĄ SUKELIANČIŲ DUJŲ APYVARTINIŲ TARŠOS LEIDIMŲ PREKYBOS SISTEMOJE 2021–2025 M. LAIKOTARPIU DALYVAUJANČIŲ VEIKLOS VYKDYTOJŲ, KURIEMS NEMOKAMAI SKIRIAMI APYVARTINIAI TARŠOS LEIDIMAI, SĄRAŠAS" DocPartId="f7419d2322c141ca85b00425fd931663" PartId="f7983c4599c643d888c8cdf347be5a88"/>
</Parts>
</file>

<file path=customXml/item5.xml><?xml version="1.0" encoding="utf-8"?>
<b:Sources xmlns:b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2E82E-9C05-4D86-A451-33207A3124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558729-CAF9-4781-A677-33734B0A01D0}">
  <ds:schemaRefs>
    <ds:schemaRef ds:uri="http://schemas.microsoft.com/office/2006/metadata/properties"/>
    <ds:schemaRef ds:uri="http://schemas.microsoft.com/office/infopath/2007/PartnerControls"/>
    <ds:schemaRef ds:uri="19cf09c5-daa1-4028-a0ff-74a0be4ec5cc"/>
  </ds:schemaRefs>
</ds:datastoreItem>
</file>

<file path=customXml/itemProps3.xml><?xml version="1.0" encoding="utf-8"?>
<ds:datastoreItem xmlns:ds="http://schemas.openxmlformats.org/officeDocument/2006/customXml" ds:itemID="{7956F7D8-C884-4E77-9EE8-795FEF4F6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213C8E8-4460-4491-9745-FE26D9FA2FB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8DA0CBB-DCDC-46AB-9772-A29F41EB02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41C20F1F-9C76-4FC6-B4FB-161A83A0D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20</TotalTime>
  <Pages>13</Pages>
  <Words>11391</Words>
  <Characters>6493</Characters>
  <Application>Microsoft Office Word</Application>
  <DocSecurity>0</DocSecurity>
  <Lines>54</Lines>
  <Paragraphs>35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17849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2022-01-31T12:50:00Z</dcterms:created>
  <dc:creator>Tadeuš Buivid</dc:creator>
  <lastModifiedBy>JUOSPONIENĖ Karolina</lastModifiedBy>
  <lastPrinted>2020-07-20T07:07:00Z</lastPrinted>
  <dcterms:modified xsi:type="dcterms:W3CDTF">2024-01-10T13:39:00Z</dcterms:modified>
  <revision>11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0x010100AA351E0ECF89C14A900DE8C04996CFDF</vt:lpwstr>
  </property>
</Properties>
</file>